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74" w:type="dxa"/>
        <w:jc w:val="center"/>
        <w:tblCellMar>
          <w:left w:w="0" w:type="dxa"/>
          <w:right w:w="0" w:type="dxa"/>
        </w:tblCellMar>
        <w:tblLook w:val="04A0" w:firstRow="1" w:lastRow="0" w:firstColumn="1" w:lastColumn="0" w:noHBand="0" w:noVBand="1"/>
      </w:tblPr>
      <w:tblGrid>
        <w:gridCol w:w="1788"/>
        <w:gridCol w:w="1813"/>
        <w:gridCol w:w="5773"/>
      </w:tblGrid>
      <w:tr w:rsidR="008C6540" w:rsidRPr="00D2164E" w14:paraId="66D605F6" w14:textId="77777777" w:rsidTr="00EF7DBF">
        <w:trPr>
          <w:trHeight w:val="1665"/>
          <w:jc w:val="center"/>
        </w:trPr>
        <w:tc>
          <w:tcPr>
            <w:tcW w:w="3349" w:type="dxa"/>
            <w:gridSpan w:val="2"/>
            <w:vMerge w:val="restart"/>
            <w:vAlign w:val="bottom"/>
          </w:tcPr>
          <w:p w14:paraId="78F24D21" w14:textId="453E3D37" w:rsidR="008C6540" w:rsidRPr="00D2164E" w:rsidRDefault="00D7066F" w:rsidP="00E359E6">
            <w:pPr>
              <w:jc w:val="center"/>
              <w:rPr>
                <w:rFonts w:cs="Arial"/>
              </w:rPr>
            </w:pPr>
            <w:r>
              <w:rPr>
                <w:rFonts w:cs="Arial"/>
                <w:noProof/>
              </w:rPr>
              <w:drawing>
                <wp:inline distT="0" distB="0" distL="0" distR="0" wp14:anchorId="7FBF46E3" wp14:editId="680F5F7C">
                  <wp:extent cx="2286720" cy="18516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CF_logo_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8754" cy="1853307"/>
                          </a:xfrm>
                          <a:prstGeom prst="rect">
                            <a:avLst/>
                          </a:prstGeom>
                        </pic:spPr>
                      </pic:pic>
                    </a:graphicData>
                  </a:graphic>
                </wp:inline>
              </w:drawing>
            </w:r>
          </w:p>
        </w:tc>
        <w:tc>
          <w:tcPr>
            <w:tcW w:w="6119" w:type="dxa"/>
            <w:vAlign w:val="bottom"/>
          </w:tcPr>
          <w:p w14:paraId="0285ECB1" w14:textId="77777777" w:rsidR="008C6540" w:rsidRPr="00D2164E" w:rsidRDefault="008C6540" w:rsidP="004553CD">
            <w:pPr>
              <w:pStyle w:val="DateTitlePage"/>
            </w:pPr>
          </w:p>
        </w:tc>
      </w:tr>
      <w:tr w:rsidR="008C6540" w:rsidRPr="00D2164E" w14:paraId="456BBB4D" w14:textId="77777777" w:rsidTr="00EF7DBF">
        <w:trPr>
          <w:trHeight w:val="1584"/>
          <w:jc w:val="center"/>
        </w:trPr>
        <w:tc>
          <w:tcPr>
            <w:tcW w:w="3349" w:type="dxa"/>
            <w:gridSpan w:val="2"/>
            <w:vMerge/>
            <w:vAlign w:val="bottom"/>
          </w:tcPr>
          <w:p w14:paraId="3BAF8909" w14:textId="77777777" w:rsidR="008C6540" w:rsidRPr="00D2164E" w:rsidRDefault="008C6540" w:rsidP="00E359E6">
            <w:pPr>
              <w:spacing w:line="23" w:lineRule="atLeast"/>
              <w:jc w:val="center"/>
              <w:rPr>
                <w:rFonts w:cs="Arial"/>
              </w:rPr>
            </w:pPr>
          </w:p>
        </w:tc>
        <w:tc>
          <w:tcPr>
            <w:tcW w:w="6119" w:type="dxa"/>
            <w:vAlign w:val="center"/>
          </w:tcPr>
          <w:p w14:paraId="5828E081" w14:textId="77777777" w:rsidR="002E1CD1" w:rsidRDefault="002E1CD1" w:rsidP="002E1CD1">
            <w:pPr>
              <w:pStyle w:val="DocumentTitle"/>
            </w:pPr>
            <w:r>
              <w:t>NCHRP 25-46</w:t>
            </w:r>
          </w:p>
          <w:p w14:paraId="3339A495" w14:textId="77777777" w:rsidR="002E1CD1" w:rsidRPr="002E1CD1" w:rsidRDefault="003B3DD3" w:rsidP="003B3DD3">
            <w:pPr>
              <w:pStyle w:val="DocumentTitle"/>
            </w:pPr>
            <w:r>
              <w:t xml:space="preserve">User Manual for </w:t>
            </w:r>
            <w:r w:rsidR="0067512C">
              <w:t xml:space="preserve">Clean Truck Strategies Analysis </w:t>
            </w:r>
            <w:r w:rsidR="002E1CD1">
              <w:t xml:space="preserve">Tool </w:t>
            </w:r>
          </w:p>
        </w:tc>
      </w:tr>
      <w:tr w:rsidR="00EA4F50" w:rsidRPr="00D2164E" w14:paraId="556D9253" w14:textId="77777777" w:rsidTr="00EF7DBF">
        <w:trPr>
          <w:trHeight w:val="1584"/>
          <w:jc w:val="center"/>
        </w:trPr>
        <w:tc>
          <w:tcPr>
            <w:tcW w:w="1663" w:type="dxa"/>
            <w:vAlign w:val="center"/>
          </w:tcPr>
          <w:p w14:paraId="50FD4446" w14:textId="77777777" w:rsidR="00EA4F50" w:rsidRPr="00D2164E" w:rsidRDefault="00EA4F50" w:rsidP="00E359E6">
            <w:pPr>
              <w:spacing w:line="23" w:lineRule="atLeast"/>
              <w:jc w:val="center"/>
              <w:rPr>
                <w:rFonts w:cs="Arial"/>
              </w:rPr>
            </w:pPr>
          </w:p>
        </w:tc>
        <w:tc>
          <w:tcPr>
            <w:tcW w:w="1686" w:type="dxa"/>
            <w:vAlign w:val="center"/>
          </w:tcPr>
          <w:p w14:paraId="1F312053" w14:textId="77777777" w:rsidR="00EA4F50" w:rsidRPr="00D2164E" w:rsidRDefault="00EA4F50" w:rsidP="00E359E6">
            <w:pPr>
              <w:spacing w:line="23" w:lineRule="atLeast"/>
              <w:jc w:val="center"/>
              <w:rPr>
                <w:rFonts w:cs="Arial"/>
              </w:rPr>
            </w:pPr>
          </w:p>
        </w:tc>
        <w:tc>
          <w:tcPr>
            <w:tcW w:w="6119" w:type="dxa"/>
            <w:vAlign w:val="bottom"/>
          </w:tcPr>
          <w:p w14:paraId="3AB1E366" w14:textId="77777777" w:rsidR="00EA4F50" w:rsidRPr="00D2164E" w:rsidRDefault="00EA4F50" w:rsidP="00E359E6">
            <w:pPr>
              <w:spacing w:line="23" w:lineRule="atLeast"/>
              <w:rPr>
                <w:rFonts w:cs="Arial"/>
              </w:rPr>
            </w:pPr>
          </w:p>
        </w:tc>
      </w:tr>
      <w:tr w:rsidR="00EA4F50" w:rsidRPr="00D2164E" w14:paraId="01651D64" w14:textId="77777777" w:rsidTr="00EF7DBF">
        <w:trPr>
          <w:trHeight w:hRule="exact" w:val="1440"/>
          <w:jc w:val="center"/>
        </w:trPr>
        <w:tc>
          <w:tcPr>
            <w:tcW w:w="1663" w:type="dxa"/>
            <w:vAlign w:val="center"/>
          </w:tcPr>
          <w:p w14:paraId="679364EC" w14:textId="77777777" w:rsidR="00EA4F50" w:rsidRPr="00D2164E" w:rsidRDefault="00EA4F50" w:rsidP="00E359E6">
            <w:pPr>
              <w:spacing w:line="23" w:lineRule="atLeast"/>
              <w:jc w:val="center"/>
              <w:rPr>
                <w:rFonts w:cs="Arial"/>
              </w:rPr>
            </w:pPr>
          </w:p>
        </w:tc>
        <w:tc>
          <w:tcPr>
            <w:tcW w:w="1686" w:type="dxa"/>
            <w:vAlign w:val="center"/>
          </w:tcPr>
          <w:p w14:paraId="1C93ABB8" w14:textId="77777777" w:rsidR="00EA4F50" w:rsidRPr="00D2164E" w:rsidRDefault="00EA4F50" w:rsidP="00E359E6">
            <w:pPr>
              <w:spacing w:line="23" w:lineRule="atLeast"/>
              <w:jc w:val="center"/>
              <w:rPr>
                <w:rFonts w:cs="Arial"/>
              </w:rPr>
            </w:pPr>
          </w:p>
        </w:tc>
        <w:tc>
          <w:tcPr>
            <w:tcW w:w="6119" w:type="dxa"/>
            <w:vAlign w:val="center"/>
          </w:tcPr>
          <w:p w14:paraId="682F8097" w14:textId="2F1DB856" w:rsidR="00EA4F50" w:rsidRPr="00076859" w:rsidRDefault="00FA6893" w:rsidP="006D7078">
            <w:pPr>
              <w:pStyle w:val="DateTitlePage"/>
            </w:pPr>
            <w:r>
              <w:t>May</w:t>
            </w:r>
            <w:r w:rsidR="0094238C">
              <w:t xml:space="preserve"> 2017</w:t>
            </w:r>
          </w:p>
        </w:tc>
      </w:tr>
      <w:tr w:rsidR="00EA4F50" w:rsidRPr="00D2164E" w14:paraId="42815820" w14:textId="77777777" w:rsidTr="00EF7DBF">
        <w:trPr>
          <w:jc w:val="center"/>
        </w:trPr>
        <w:tc>
          <w:tcPr>
            <w:tcW w:w="1663" w:type="dxa"/>
            <w:vAlign w:val="center"/>
          </w:tcPr>
          <w:p w14:paraId="1F253476" w14:textId="77777777" w:rsidR="00EA4F50" w:rsidRPr="00D2164E" w:rsidRDefault="00EA4F50" w:rsidP="00E359E6">
            <w:pPr>
              <w:spacing w:line="23" w:lineRule="atLeast"/>
              <w:jc w:val="center"/>
              <w:rPr>
                <w:rFonts w:cs="Arial"/>
              </w:rPr>
            </w:pPr>
          </w:p>
        </w:tc>
        <w:tc>
          <w:tcPr>
            <w:tcW w:w="1686" w:type="dxa"/>
            <w:vAlign w:val="center"/>
          </w:tcPr>
          <w:p w14:paraId="715A5002" w14:textId="77777777" w:rsidR="00EA4F50" w:rsidRPr="00D2164E" w:rsidRDefault="00EA4F50" w:rsidP="00E359E6">
            <w:pPr>
              <w:spacing w:line="23" w:lineRule="atLeast"/>
              <w:jc w:val="center"/>
              <w:rPr>
                <w:rFonts w:cs="Arial"/>
              </w:rPr>
            </w:pPr>
          </w:p>
        </w:tc>
        <w:tc>
          <w:tcPr>
            <w:tcW w:w="6119" w:type="dxa"/>
            <w:vAlign w:val="bottom"/>
          </w:tcPr>
          <w:p w14:paraId="30BC4A76" w14:textId="77777777" w:rsidR="00EA4F50" w:rsidRPr="00026177" w:rsidRDefault="00EA4F50" w:rsidP="00026177">
            <w:pPr>
              <w:pStyle w:val="For-From1"/>
            </w:pPr>
            <w:r w:rsidRPr="00026177">
              <w:t>Prepared for</w:t>
            </w:r>
          </w:p>
        </w:tc>
      </w:tr>
      <w:tr w:rsidR="00EA4F50" w:rsidRPr="00D2164E" w14:paraId="2FB964E0" w14:textId="77777777" w:rsidTr="00EF7DBF">
        <w:trPr>
          <w:jc w:val="center"/>
        </w:trPr>
        <w:tc>
          <w:tcPr>
            <w:tcW w:w="1663" w:type="dxa"/>
            <w:vAlign w:val="center"/>
          </w:tcPr>
          <w:p w14:paraId="771E937F" w14:textId="77777777" w:rsidR="00EA4F50" w:rsidRPr="00D2164E" w:rsidRDefault="00EA4F50" w:rsidP="00E359E6">
            <w:pPr>
              <w:spacing w:line="23" w:lineRule="atLeast"/>
              <w:jc w:val="center"/>
              <w:rPr>
                <w:rFonts w:cs="Arial"/>
              </w:rPr>
            </w:pPr>
          </w:p>
        </w:tc>
        <w:tc>
          <w:tcPr>
            <w:tcW w:w="1686" w:type="dxa"/>
            <w:vAlign w:val="center"/>
          </w:tcPr>
          <w:p w14:paraId="6B0D611A" w14:textId="77777777" w:rsidR="00EA4F50" w:rsidRPr="00D2164E" w:rsidRDefault="00EA4F50" w:rsidP="00FD0BF6">
            <w:pPr>
              <w:pStyle w:val="For-From2"/>
            </w:pPr>
          </w:p>
        </w:tc>
        <w:tc>
          <w:tcPr>
            <w:tcW w:w="6119" w:type="dxa"/>
            <w:vAlign w:val="bottom"/>
          </w:tcPr>
          <w:p w14:paraId="7B5306EC" w14:textId="77777777" w:rsidR="002E1CD1" w:rsidRPr="00E100B6" w:rsidRDefault="002E1CD1" w:rsidP="002E1CD1">
            <w:pPr>
              <w:pStyle w:val="For-From2"/>
            </w:pPr>
            <w:r w:rsidRPr="00E100B6">
              <w:t>National Academies</w:t>
            </w:r>
          </w:p>
          <w:p w14:paraId="3B3D7BE7" w14:textId="77777777" w:rsidR="002E1CD1" w:rsidRPr="00E100B6" w:rsidRDefault="002E1CD1" w:rsidP="002E1CD1">
            <w:pPr>
              <w:pStyle w:val="For-From2"/>
            </w:pPr>
            <w:r w:rsidRPr="00E100B6">
              <w:t>Transportation Research Board</w:t>
            </w:r>
          </w:p>
          <w:p w14:paraId="40C7239C" w14:textId="77777777" w:rsidR="002E1CD1" w:rsidRPr="00E100B6" w:rsidRDefault="002E1CD1" w:rsidP="002E1CD1">
            <w:pPr>
              <w:pStyle w:val="For-From2"/>
            </w:pPr>
            <w:r w:rsidRPr="00E100B6">
              <w:t>Cooperative Research Programs</w:t>
            </w:r>
          </w:p>
          <w:p w14:paraId="32ADF795" w14:textId="77777777" w:rsidR="002E1CD1" w:rsidRPr="00E100B6" w:rsidRDefault="002E1CD1" w:rsidP="002E1CD1">
            <w:pPr>
              <w:pStyle w:val="For-From2"/>
            </w:pPr>
            <w:r w:rsidRPr="00E100B6">
              <w:t>500 5th Street, N.W.</w:t>
            </w:r>
          </w:p>
          <w:p w14:paraId="56FFD5C9" w14:textId="77777777" w:rsidR="00EA4F50" w:rsidRPr="00B859CF" w:rsidRDefault="002E1CD1" w:rsidP="002E1CD1">
            <w:pPr>
              <w:pStyle w:val="For-From2"/>
              <w:rPr>
                <w:rFonts w:ascii="Arial" w:hAnsi="Arial" w:cs="Arial"/>
              </w:rPr>
            </w:pPr>
            <w:r w:rsidRPr="00E100B6">
              <w:t>Washington, D.C. 20001</w:t>
            </w:r>
          </w:p>
        </w:tc>
      </w:tr>
      <w:tr w:rsidR="00EA4F50" w:rsidRPr="00D2164E" w14:paraId="41A9DA8D" w14:textId="77777777" w:rsidTr="00EF7DBF">
        <w:trPr>
          <w:jc w:val="center"/>
        </w:trPr>
        <w:tc>
          <w:tcPr>
            <w:tcW w:w="1663" w:type="dxa"/>
            <w:vAlign w:val="center"/>
          </w:tcPr>
          <w:p w14:paraId="765FAB94" w14:textId="77777777" w:rsidR="00EA4F50" w:rsidRPr="00D2164E" w:rsidRDefault="00EA4F50" w:rsidP="00E359E6">
            <w:pPr>
              <w:spacing w:line="23" w:lineRule="atLeast"/>
              <w:jc w:val="center"/>
              <w:rPr>
                <w:rFonts w:cs="Arial"/>
              </w:rPr>
            </w:pPr>
          </w:p>
        </w:tc>
        <w:tc>
          <w:tcPr>
            <w:tcW w:w="1686" w:type="dxa"/>
            <w:vAlign w:val="center"/>
          </w:tcPr>
          <w:p w14:paraId="4F465489" w14:textId="77777777" w:rsidR="00EA4F50" w:rsidRPr="00D2164E" w:rsidRDefault="00EA4F50" w:rsidP="00E359E6">
            <w:pPr>
              <w:spacing w:line="23" w:lineRule="atLeast"/>
              <w:jc w:val="center"/>
              <w:rPr>
                <w:rFonts w:cs="Arial"/>
              </w:rPr>
            </w:pPr>
          </w:p>
        </w:tc>
        <w:tc>
          <w:tcPr>
            <w:tcW w:w="6119" w:type="dxa"/>
            <w:vAlign w:val="bottom"/>
          </w:tcPr>
          <w:p w14:paraId="5825EAB4" w14:textId="77777777" w:rsidR="00EA4F50" w:rsidRPr="00026177" w:rsidRDefault="00EA4F50" w:rsidP="00026177">
            <w:pPr>
              <w:pStyle w:val="For-From1"/>
            </w:pPr>
            <w:r w:rsidRPr="00026177">
              <w:t>Prepared by</w:t>
            </w:r>
          </w:p>
        </w:tc>
      </w:tr>
      <w:tr w:rsidR="00EA4F50" w:rsidRPr="00D2164E" w14:paraId="0784D5CA" w14:textId="77777777" w:rsidTr="00EF7DBF">
        <w:trPr>
          <w:jc w:val="center"/>
        </w:trPr>
        <w:tc>
          <w:tcPr>
            <w:tcW w:w="1663" w:type="dxa"/>
            <w:vAlign w:val="center"/>
          </w:tcPr>
          <w:p w14:paraId="2C3220ED" w14:textId="77777777" w:rsidR="00EA4F50" w:rsidRPr="00D2164E" w:rsidRDefault="00EA4F50" w:rsidP="00E359E6">
            <w:pPr>
              <w:spacing w:line="23" w:lineRule="atLeast"/>
              <w:jc w:val="center"/>
              <w:rPr>
                <w:rFonts w:cs="Arial"/>
              </w:rPr>
            </w:pPr>
          </w:p>
        </w:tc>
        <w:tc>
          <w:tcPr>
            <w:tcW w:w="1686" w:type="dxa"/>
            <w:vAlign w:val="center"/>
          </w:tcPr>
          <w:p w14:paraId="1A25E570" w14:textId="77777777" w:rsidR="00EA4F50" w:rsidRPr="00D2164E" w:rsidRDefault="00EA4F50" w:rsidP="00E359E6">
            <w:pPr>
              <w:spacing w:line="23" w:lineRule="atLeast"/>
              <w:jc w:val="center"/>
              <w:rPr>
                <w:rFonts w:cs="Arial"/>
              </w:rPr>
            </w:pPr>
          </w:p>
        </w:tc>
        <w:tc>
          <w:tcPr>
            <w:tcW w:w="6119" w:type="dxa"/>
            <w:vAlign w:val="bottom"/>
          </w:tcPr>
          <w:p w14:paraId="3ADFBC26" w14:textId="77777777" w:rsidR="00EA4F50" w:rsidRPr="00D2164E" w:rsidRDefault="00EA4F50" w:rsidP="00FD0BF6">
            <w:pPr>
              <w:pStyle w:val="For-From2"/>
            </w:pPr>
            <w:r w:rsidRPr="00D2164E">
              <w:t>ICF International</w:t>
            </w:r>
          </w:p>
          <w:p w14:paraId="3441DC11" w14:textId="77777777" w:rsidR="00402537" w:rsidRPr="00402537" w:rsidRDefault="00402537" w:rsidP="00FD0BF6">
            <w:pPr>
              <w:pStyle w:val="For-From2"/>
            </w:pPr>
            <w:r w:rsidRPr="00402537">
              <w:t>620 Folsom St.</w:t>
            </w:r>
          </w:p>
          <w:p w14:paraId="5DA43EFB" w14:textId="77777777" w:rsidR="00EA4F50" w:rsidRPr="00D2164E" w:rsidRDefault="00EA4F50" w:rsidP="00FD0BF6">
            <w:pPr>
              <w:pStyle w:val="For-From2"/>
            </w:pPr>
            <w:r w:rsidRPr="00D2164E">
              <w:t>Suite No.</w:t>
            </w:r>
            <w:r w:rsidR="00402537">
              <w:t xml:space="preserve"> 200</w:t>
            </w:r>
          </w:p>
          <w:p w14:paraId="011115FA" w14:textId="77777777" w:rsidR="00EA4F50" w:rsidRPr="00D2164E" w:rsidRDefault="00402537" w:rsidP="00FD0BF6">
            <w:pPr>
              <w:pStyle w:val="For-From2"/>
            </w:pPr>
            <w:r>
              <w:t>San Francisco, CA 94107</w:t>
            </w:r>
          </w:p>
        </w:tc>
      </w:tr>
    </w:tbl>
    <w:p w14:paraId="0E0A622E" w14:textId="77777777" w:rsidR="005F6257" w:rsidRDefault="005F6257" w:rsidP="00393BD4">
      <w:pPr>
        <w:pStyle w:val="BodyText"/>
        <w:sectPr w:rsidR="005F6257" w:rsidSect="00E359E6">
          <w:headerReference w:type="default" r:id="rId12"/>
          <w:footerReference w:type="default" r:id="rId13"/>
          <w:headerReference w:type="first" r:id="rId14"/>
          <w:footerReference w:type="first" r:id="rId15"/>
          <w:pgSz w:w="12240" w:h="15840" w:code="1"/>
          <w:pgMar w:top="2160" w:right="1440" w:bottom="1440" w:left="1440" w:header="576" w:footer="576" w:gutter="0"/>
          <w:pgNumType w:fmt="lowerRoman"/>
          <w:cols w:space="720"/>
          <w:titlePg/>
          <w:docGrid w:linePitch="360"/>
        </w:sectPr>
      </w:pPr>
    </w:p>
    <w:p w14:paraId="3F653BBE" w14:textId="77777777" w:rsidR="008C6540" w:rsidRPr="00642DDE" w:rsidRDefault="008C6540" w:rsidP="00642DDE"/>
    <w:p w14:paraId="29B1AC9F" w14:textId="77777777" w:rsidR="00474256" w:rsidRPr="00D2164E" w:rsidRDefault="008F5AB9" w:rsidP="00642DDE">
      <w:pPr>
        <w:pStyle w:val="BlankPage"/>
        <w:sectPr w:rsidR="00474256" w:rsidRPr="00D2164E" w:rsidSect="007D2DAE">
          <w:headerReference w:type="first" r:id="rId16"/>
          <w:footerReference w:type="first" r:id="rId17"/>
          <w:pgSz w:w="12240" w:h="15840" w:code="1"/>
          <w:pgMar w:top="1440" w:right="1440" w:bottom="1440" w:left="1440" w:header="576" w:footer="576" w:gutter="0"/>
          <w:pgNumType w:fmt="lowerRoman"/>
          <w:cols w:space="720"/>
          <w:titlePg/>
          <w:docGrid w:linePitch="360"/>
        </w:sectPr>
      </w:pPr>
      <w:r w:rsidRPr="00642DDE">
        <w:rPr>
          <w:noProof/>
        </w:rPr>
        <w:drawing>
          <wp:inline distT="0" distB="0" distL="0" distR="0" wp14:anchorId="6D60925E" wp14:editId="2CDC2380">
            <wp:extent cx="923925" cy="466725"/>
            <wp:effectExtent l="0" t="0" r="0" b="0"/>
            <wp:docPr id="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cstate="print"/>
                    <a:srcRect/>
                    <a:stretch>
                      <a:fillRect/>
                    </a:stretch>
                  </pic:blipFill>
                  <pic:spPr bwMode="auto">
                    <a:xfrm>
                      <a:off x="0" y="0"/>
                      <a:ext cx="924560" cy="467360"/>
                    </a:xfrm>
                    <a:prstGeom prst="rect">
                      <a:avLst/>
                    </a:prstGeom>
                    <a:noFill/>
                  </pic:spPr>
                </pic:pic>
              </a:graphicData>
            </a:graphic>
          </wp:inline>
        </w:drawing>
      </w:r>
    </w:p>
    <w:p w14:paraId="20382196" w14:textId="77777777" w:rsidR="00FB0227" w:rsidRPr="00F642D0" w:rsidRDefault="00FB0227" w:rsidP="00F642D0">
      <w:pPr>
        <w:rPr>
          <w:b/>
          <w:color w:val="0067AB"/>
          <w:sz w:val="36"/>
          <w:szCs w:val="36"/>
        </w:rPr>
      </w:pPr>
      <w:r w:rsidRPr="00F642D0">
        <w:rPr>
          <w:b/>
          <w:color w:val="0067AB"/>
          <w:sz w:val="36"/>
          <w:szCs w:val="36"/>
        </w:rPr>
        <w:lastRenderedPageBreak/>
        <w:t>Contents</w:t>
      </w:r>
    </w:p>
    <w:p w14:paraId="44C0F133" w14:textId="77777777" w:rsidR="001512C6" w:rsidRDefault="00833B69">
      <w:pPr>
        <w:pStyle w:val="TOC1"/>
        <w:rPr>
          <w:rFonts w:asciiTheme="minorHAnsi" w:eastAsiaTheme="minorEastAsia" w:hAnsiTheme="minorHAnsi" w:cstheme="minorBidi"/>
          <w:b w:val="0"/>
        </w:rPr>
      </w:pPr>
      <w:r>
        <w:rPr>
          <w:b w:val="0"/>
        </w:rPr>
        <w:fldChar w:fldCharType="begin"/>
      </w:r>
      <w:r w:rsidR="007E5CAE">
        <w:rPr>
          <w:b w:val="0"/>
        </w:rPr>
        <w:instrText xml:space="preserve"> TOC \o "1-3" \h \z \u \t "Heading 6,1" </w:instrText>
      </w:r>
      <w:r>
        <w:rPr>
          <w:b w:val="0"/>
        </w:rPr>
        <w:fldChar w:fldCharType="separate"/>
      </w:r>
      <w:hyperlink w:anchor="_Toc482973538" w:history="1">
        <w:r w:rsidR="001512C6" w:rsidRPr="00BC6949">
          <w:rPr>
            <w:rStyle w:val="Hyperlink"/>
          </w:rPr>
          <w:t>1.</w:t>
        </w:r>
        <w:r w:rsidR="001512C6">
          <w:rPr>
            <w:rFonts w:asciiTheme="minorHAnsi" w:eastAsiaTheme="minorEastAsia" w:hAnsiTheme="minorHAnsi" w:cstheme="minorBidi"/>
            <w:b w:val="0"/>
          </w:rPr>
          <w:tab/>
        </w:r>
        <w:r w:rsidR="001512C6" w:rsidRPr="00BC6949">
          <w:rPr>
            <w:rStyle w:val="Hyperlink"/>
          </w:rPr>
          <w:t>Introduction</w:t>
        </w:r>
        <w:r w:rsidR="001512C6">
          <w:rPr>
            <w:webHidden/>
          </w:rPr>
          <w:tab/>
        </w:r>
        <w:r w:rsidR="001512C6">
          <w:rPr>
            <w:webHidden/>
          </w:rPr>
          <w:fldChar w:fldCharType="begin"/>
        </w:r>
        <w:r w:rsidR="001512C6">
          <w:rPr>
            <w:webHidden/>
          </w:rPr>
          <w:instrText xml:space="preserve"> PAGEREF _Toc482973538 \h </w:instrText>
        </w:r>
        <w:r w:rsidR="001512C6">
          <w:rPr>
            <w:webHidden/>
          </w:rPr>
        </w:r>
        <w:r w:rsidR="001512C6">
          <w:rPr>
            <w:webHidden/>
          </w:rPr>
          <w:fldChar w:fldCharType="separate"/>
        </w:r>
        <w:r w:rsidR="00E764A8">
          <w:rPr>
            <w:webHidden/>
          </w:rPr>
          <w:t>1</w:t>
        </w:r>
        <w:r w:rsidR="001512C6">
          <w:rPr>
            <w:webHidden/>
          </w:rPr>
          <w:fldChar w:fldCharType="end"/>
        </w:r>
      </w:hyperlink>
    </w:p>
    <w:p w14:paraId="38F2097E" w14:textId="77777777" w:rsidR="001512C6" w:rsidRDefault="00923641">
      <w:pPr>
        <w:pStyle w:val="TOC2"/>
        <w:rPr>
          <w:rFonts w:asciiTheme="minorHAnsi" w:eastAsiaTheme="minorEastAsia" w:hAnsiTheme="minorHAnsi" w:cstheme="minorBidi"/>
        </w:rPr>
      </w:pPr>
      <w:hyperlink w:anchor="_Toc482973539" w:history="1">
        <w:r w:rsidR="001512C6" w:rsidRPr="00BC6949">
          <w:rPr>
            <w:rStyle w:val="Hyperlink"/>
          </w:rPr>
          <w:t>1.1.</w:t>
        </w:r>
        <w:r w:rsidR="001512C6">
          <w:rPr>
            <w:rFonts w:asciiTheme="minorHAnsi" w:eastAsiaTheme="minorEastAsia" w:hAnsiTheme="minorHAnsi" w:cstheme="minorBidi"/>
          </w:rPr>
          <w:tab/>
        </w:r>
        <w:r w:rsidR="001512C6" w:rsidRPr="00BC6949">
          <w:rPr>
            <w:rStyle w:val="Hyperlink"/>
          </w:rPr>
          <w:t>Installation of the Tool and Computer Requirements</w:t>
        </w:r>
        <w:r w:rsidR="001512C6">
          <w:rPr>
            <w:webHidden/>
          </w:rPr>
          <w:tab/>
        </w:r>
        <w:r w:rsidR="001512C6">
          <w:rPr>
            <w:webHidden/>
          </w:rPr>
          <w:fldChar w:fldCharType="begin"/>
        </w:r>
        <w:r w:rsidR="001512C6">
          <w:rPr>
            <w:webHidden/>
          </w:rPr>
          <w:instrText xml:space="preserve"> PAGEREF _Toc482973539 \h </w:instrText>
        </w:r>
        <w:r w:rsidR="001512C6">
          <w:rPr>
            <w:webHidden/>
          </w:rPr>
        </w:r>
        <w:r w:rsidR="001512C6">
          <w:rPr>
            <w:webHidden/>
          </w:rPr>
          <w:fldChar w:fldCharType="separate"/>
        </w:r>
        <w:r w:rsidR="00E764A8">
          <w:rPr>
            <w:webHidden/>
          </w:rPr>
          <w:t>1</w:t>
        </w:r>
        <w:r w:rsidR="001512C6">
          <w:rPr>
            <w:webHidden/>
          </w:rPr>
          <w:fldChar w:fldCharType="end"/>
        </w:r>
      </w:hyperlink>
    </w:p>
    <w:p w14:paraId="38630A0E" w14:textId="77777777" w:rsidR="001512C6" w:rsidRDefault="00923641">
      <w:pPr>
        <w:pStyle w:val="TOC1"/>
        <w:rPr>
          <w:rFonts w:asciiTheme="minorHAnsi" w:eastAsiaTheme="minorEastAsia" w:hAnsiTheme="minorHAnsi" w:cstheme="minorBidi"/>
          <w:b w:val="0"/>
        </w:rPr>
      </w:pPr>
      <w:hyperlink w:anchor="_Toc482973540" w:history="1">
        <w:r w:rsidR="001512C6" w:rsidRPr="00BC6949">
          <w:rPr>
            <w:rStyle w:val="Hyperlink"/>
          </w:rPr>
          <w:t>2.</w:t>
        </w:r>
        <w:r w:rsidR="001512C6">
          <w:rPr>
            <w:rFonts w:asciiTheme="minorHAnsi" w:eastAsiaTheme="minorEastAsia" w:hAnsiTheme="minorHAnsi" w:cstheme="minorBidi"/>
            <w:b w:val="0"/>
          </w:rPr>
          <w:tab/>
        </w:r>
        <w:r w:rsidR="001512C6" w:rsidRPr="00BC6949">
          <w:rPr>
            <w:rStyle w:val="Hyperlink"/>
          </w:rPr>
          <w:t>Overview of Tool Scope and Outputs</w:t>
        </w:r>
        <w:r w:rsidR="001512C6">
          <w:rPr>
            <w:webHidden/>
          </w:rPr>
          <w:tab/>
        </w:r>
        <w:r w:rsidR="001512C6">
          <w:rPr>
            <w:webHidden/>
          </w:rPr>
          <w:fldChar w:fldCharType="begin"/>
        </w:r>
        <w:r w:rsidR="001512C6">
          <w:rPr>
            <w:webHidden/>
          </w:rPr>
          <w:instrText xml:space="preserve"> PAGEREF _Toc482973540 \h </w:instrText>
        </w:r>
        <w:r w:rsidR="001512C6">
          <w:rPr>
            <w:webHidden/>
          </w:rPr>
        </w:r>
        <w:r w:rsidR="001512C6">
          <w:rPr>
            <w:webHidden/>
          </w:rPr>
          <w:fldChar w:fldCharType="separate"/>
        </w:r>
        <w:r w:rsidR="00E764A8">
          <w:rPr>
            <w:webHidden/>
          </w:rPr>
          <w:t>3</w:t>
        </w:r>
        <w:r w:rsidR="001512C6">
          <w:rPr>
            <w:webHidden/>
          </w:rPr>
          <w:fldChar w:fldCharType="end"/>
        </w:r>
      </w:hyperlink>
    </w:p>
    <w:p w14:paraId="4A858869" w14:textId="77777777" w:rsidR="001512C6" w:rsidRDefault="00923641">
      <w:pPr>
        <w:pStyle w:val="TOC2"/>
        <w:rPr>
          <w:rFonts w:asciiTheme="minorHAnsi" w:eastAsiaTheme="minorEastAsia" w:hAnsiTheme="minorHAnsi" w:cstheme="minorBidi"/>
        </w:rPr>
      </w:pPr>
      <w:hyperlink w:anchor="_Toc482973541" w:history="1">
        <w:r w:rsidR="001512C6" w:rsidRPr="00BC6949">
          <w:rPr>
            <w:rStyle w:val="Hyperlink"/>
          </w:rPr>
          <w:t>2.1.</w:t>
        </w:r>
        <w:r w:rsidR="001512C6">
          <w:rPr>
            <w:rFonts w:asciiTheme="minorHAnsi" w:eastAsiaTheme="minorEastAsia" w:hAnsiTheme="minorHAnsi" w:cstheme="minorBidi"/>
          </w:rPr>
          <w:tab/>
        </w:r>
        <w:r w:rsidR="001512C6" w:rsidRPr="00BC6949">
          <w:rPr>
            <w:rStyle w:val="Hyperlink"/>
          </w:rPr>
          <w:t>Analysis Types</w:t>
        </w:r>
        <w:r w:rsidR="001512C6">
          <w:rPr>
            <w:webHidden/>
          </w:rPr>
          <w:tab/>
        </w:r>
        <w:r w:rsidR="001512C6">
          <w:rPr>
            <w:webHidden/>
          </w:rPr>
          <w:fldChar w:fldCharType="begin"/>
        </w:r>
        <w:r w:rsidR="001512C6">
          <w:rPr>
            <w:webHidden/>
          </w:rPr>
          <w:instrText xml:space="preserve"> PAGEREF _Toc482973541 \h </w:instrText>
        </w:r>
        <w:r w:rsidR="001512C6">
          <w:rPr>
            <w:webHidden/>
          </w:rPr>
        </w:r>
        <w:r w:rsidR="001512C6">
          <w:rPr>
            <w:webHidden/>
          </w:rPr>
          <w:fldChar w:fldCharType="separate"/>
        </w:r>
        <w:r w:rsidR="00E764A8">
          <w:rPr>
            <w:webHidden/>
          </w:rPr>
          <w:t>3</w:t>
        </w:r>
        <w:r w:rsidR="001512C6">
          <w:rPr>
            <w:webHidden/>
          </w:rPr>
          <w:fldChar w:fldCharType="end"/>
        </w:r>
      </w:hyperlink>
    </w:p>
    <w:p w14:paraId="7FCF0F5D" w14:textId="77777777" w:rsidR="001512C6" w:rsidRDefault="00923641">
      <w:pPr>
        <w:pStyle w:val="TOC2"/>
        <w:rPr>
          <w:rFonts w:asciiTheme="minorHAnsi" w:eastAsiaTheme="minorEastAsia" w:hAnsiTheme="minorHAnsi" w:cstheme="minorBidi"/>
        </w:rPr>
      </w:pPr>
      <w:hyperlink w:anchor="_Toc482973542" w:history="1">
        <w:r w:rsidR="001512C6" w:rsidRPr="00BC6949">
          <w:rPr>
            <w:rStyle w:val="Hyperlink"/>
          </w:rPr>
          <w:t>2.2.</w:t>
        </w:r>
        <w:r w:rsidR="001512C6">
          <w:rPr>
            <w:rFonts w:asciiTheme="minorHAnsi" w:eastAsiaTheme="minorEastAsia" w:hAnsiTheme="minorHAnsi" w:cstheme="minorBidi"/>
          </w:rPr>
          <w:tab/>
        </w:r>
        <w:r w:rsidR="001512C6" w:rsidRPr="00BC6949">
          <w:rPr>
            <w:rStyle w:val="Hyperlink"/>
          </w:rPr>
          <w:t>Analysis Years</w:t>
        </w:r>
        <w:r w:rsidR="001512C6">
          <w:rPr>
            <w:webHidden/>
          </w:rPr>
          <w:tab/>
        </w:r>
        <w:r w:rsidR="001512C6">
          <w:rPr>
            <w:webHidden/>
          </w:rPr>
          <w:fldChar w:fldCharType="begin"/>
        </w:r>
        <w:r w:rsidR="001512C6">
          <w:rPr>
            <w:webHidden/>
          </w:rPr>
          <w:instrText xml:space="preserve"> PAGEREF _Toc482973542 \h </w:instrText>
        </w:r>
        <w:r w:rsidR="001512C6">
          <w:rPr>
            <w:webHidden/>
          </w:rPr>
        </w:r>
        <w:r w:rsidR="001512C6">
          <w:rPr>
            <w:webHidden/>
          </w:rPr>
          <w:fldChar w:fldCharType="separate"/>
        </w:r>
        <w:r w:rsidR="00E764A8">
          <w:rPr>
            <w:webHidden/>
          </w:rPr>
          <w:t>3</w:t>
        </w:r>
        <w:r w:rsidR="001512C6">
          <w:rPr>
            <w:webHidden/>
          </w:rPr>
          <w:fldChar w:fldCharType="end"/>
        </w:r>
      </w:hyperlink>
    </w:p>
    <w:p w14:paraId="458D6037" w14:textId="77777777" w:rsidR="001512C6" w:rsidRDefault="00923641">
      <w:pPr>
        <w:pStyle w:val="TOC2"/>
        <w:rPr>
          <w:rFonts w:asciiTheme="minorHAnsi" w:eastAsiaTheme="minorEastAsia" w:hAnsiTheme="minorHAnsi" w:cstheme="minorBidi"/>
        </w:rPr>
      </w:pPr>
      <w:hyperlink w:anchor="_Toc482973543" w:history="1">
        <w:r w:rsidR="001512C6" w:rsidRPr="00BC6949">
          <w:rPr>
            <w:rStyle w:val="Hyperlink"/>
          </w:rPr>
          <w:t>2.3.</w:t>
        </w:r>
        <w:r w:rsidR="001512C6">
          <w:rPr>
            <w:rFonts w:asciiTheme="minorHAnsi" w:eastAsiaTheme="minorEastAsia" w:hAnsiTheme="minorHAnsi" w:cstheme="minorBidi"/>
          </w:rPr>
          <w:tab/>
        </w:r>
        <w:r w:rsidR="001512C6" w:rsidRPr="00BC6949">
          <w:rPr>
            <w:rStyle w:val="Hyperlink"/>
          </w:rPr>
          <w:t>Geographic Scale</w:t>
        </w:r>
        <w:r w:rsidR="001512C6">
          <w:rPr>
            <w:webHidden/>
          </w:rPr>
          <w:tab/>
        </w:r>
        <w:r w:rsidR="001512C6">
          <w:rPr>
            <w:webHidden/>
          </w:rPr>
          <w:fldChar w:fldCharType="begin"/>
        </w:r>
        <w:r w:rsidR="001512C6">
          <w:rPr>
            <w:webHidden/>
          </w:rPr>
          <w:instrText xml:space="preserve"> PAGEREF _Toc482973543 \h </w:instrText>
        </w:r>
        <w:r w:rsidR="001512C6">
          <w:rPr>
            <w:webHidden/>
          </w:rPr>
        </w:r>
        <w:r w:rsidR="001512C6">
          <w:rPr>
            <w:webHidden/>
          </w:rPr>
          <w:fldChar w:fldCharType="separate"/>
        </w:r>
        <w:r w:rsidR="00E764A8">
          <w:rPr>
            <w:webHidden/>
          </w:rPr>
          <w:t>4</w:t>
        </w:r>
        <w:r w:rsidR="001512C6">
          <w:rPr>
            <w:webHidden/>
          </w:rPr>
          <w:fldChar w:fldCharType="end"/>
        </w:r>
      </w:hyperlink>
    </w:p>
    <w:p w14:paraId="5BB0FA84" w14:textId="77777777" w:rsidR="001512C6" w:rsidRDefault="00923641">
      <w:pPr>
        <w:pStyle w:val="TOC2"/>
        <w:rPr>
          <w:rFonts w:asciiTheme="minorHAnsi" w:eastAsiaTheme="minorEastAsia" w:hAnsiTheme="minorHAnsi" w:cstheme="minorBidi"/>
        </w:rPr>
      </w:pPr>
      <w:hyperlink w:anchor="_Toc482973544" w:history="1">
        <w:r w:rsidR="001512C6" w:rsidRPr="00BC6949">
          <w:rPr>
            <w:rStyle w:val="Hyperlink"/>
          </w:rPr>
          <w:t>2.4.</w:t>
        </w:r>
        <w:r w:rsidR="001512C6">
          <w:rPr>
            <w:rFonts w:asciiTheme="minorHAnsi" w:eastAsiaTheme="minorEastAsia" w:hAnsiTheme="minorHAnsi" w:cstheme="minorBidi"/>
          </w:rPr>
          <w:tab/>
        </w:r>
        <w:r w:rsidR="001512C6" w:rsidRPr="00BC6949">
          <w:rPr>
            <w:rStyle w:val="Hyperlink"/>
          </w:rPr>
          <w:t>Truck Types</w:t>
        </w:r>
        <w:r w:rsidR="001512C6">
          <w:rPr>
            <w:webHidden/>
          </w:rPr>
          <w:tab/>
        </w:r>
        <w:r w:rsidR="001512C6">
          <w:rPr>
            <w:webHidden/>
          </w:rPr>
          <w:fldChar w:fldCharType="begin"/>
        </w:r>
        <w:r w:rsidR="001512C6">
          <w:rPr>
            <w:webHidden/>
          </w:rPr>
          <w:instrText xml:space="preserve"> PAGEREF _Toc482973544 \h </w:instrText>
        </w:r>
        <w:r w:rsidR="001512C6">
          <w:rPr>
            <w:webHidden/>
          </w:rPr>
        </w:r>
        <w:r w:rsidR="001512C6">
          <w:rPr>
            <w:webHidden/>
          </w:rPr>
          <w:fldChar w:fldCharType="separate"/>
        </w:r>
        <w:r w:rsidR="00E764A8">
          <w:rPr>
            <w:webHidden/>
          </w:rPr>
          <w:t>5</w:t>
        </w:r>
        <w:r w:rsidR="001512C6">
          <w:rPr>
            <w:webHidden/>
          </w:rPr>
          <w:fldChar w:fldCharType="end"/>
        </w:r>
      </w:hyperlink>
    </w:p>
    <w:p w14:paraId="2F87804E" w14:textId="77777777" w:rsidR="001512C6" w:rsidRDefault="00923641">
      <w:pPr>
        <w:pStyle w:val="TOC2"/>
        <w:rPr>
          <w:rFonts w:asciiTheme="minorHAnsi" w:eastAsiaTheme="minorEastAsia" w:hAnsiTheme="minorHAnsi" w:cstheme="minorBidi"/>
        </w:rPr>
      </w:pPr>
      <w:hyperlink w:anchor="_Toc482973545" w:history="1">
        <w:r w:rsidR="001512C6" w:rsidRPr="00BC6949">
          <w:rPr>
            <w:rStyle w:val="Hyperlink"/>
          </w:rPr>
          <w:t>2.5.</w:t>
        </w:r>
        <w:r w:rsidR="001512C6">
          <w:rPr>
            <w:rFonts w:asciiTheme="minorHAnsi" w:eastAsiaTheme="minorEastAsia" w:hAnsiTheme="minorHAnsi" w:cstheme="minorBidi"/>
          </w:rPr>
          <w:tab/>
        </w:r>
        <w:r w:rsidR="001512C6" w:rsidRPr="00BC6949">
          <w:rPr>
            <w:rStyle w:val="Hyperlink"/>
          </w:rPr>
          <w:t>Types of Outputs</w:t>
        </w:r>
        <w:r w:rsidR="001512C6">
          <w:rPr>
            <w:webHidden/>
          </w:rPr>
          <w:tab/>
        </w:r>
        <w:r w:rsidR="001512C6">
          <w:rPr>
            <w:webHidden/>
          </w:rPr>
          <w:fldChar w:fldCharType="begin"/>
        </w:r>
        <w:r w:rsidR="001512C6">
          <w:rPr>
            <w:webHidden/>
          </w:rPr>
          <w:instrText xml:space="preserve"> PAGEREF _Toc482973545 \h </w:instrText>
        </w:r>
        <w:r w:rsidR="001512C6">
          <w:rPr>
            <w:webHidden/>
          </w:rPr>
        </w:r>
        <w:r w:rsidR="001512C6">
          <w:rPr>
            <w:webHidden/>
          </w:rPr>
          <w:fldChar w:fldCharType="separate"/>
        </w:r>
        <w:r w:rsidR="00E764A8">
          <w:rPr>
            <w:webHidden/>
          </w:rPr>
          <w:t>6</w:t>
        </w:r>
        <w:r w:rsidR="001512C6">
          <w:rPr>
            <w:webHidden/>
          </w:rPr>
          <w:fldChar w:fldCharType="end"/>
        </w:r>
      </w:hyperlink>
    </w:p>
    <w:p w14:paraId="7C520ED1" w14:textId="77777777" w:rsidR="001512C6" w:rsidRDefault="00923641">
      <w:pPr>
        <w:pStyle w:val="TOC2"/>
        <w:rPr>
          <w:rFonts w:asciiTheme="minorHAnsi" w:eastAsiaTheme="minorEastAsia" w:hAnsiTheme="minorHAnsi" w:cstheme="minorBidi"/>
        </w:rPr>
      </w:pPr>
      <w:hyperlink w:anchor="_Toc482973546" w:history="1">
        <w:r w:rsidR="001512C6" w:rsidRPr="00BC6949">
          <w:rPr>
            <w:rStyle w:val="Hyperlink"/>
          </w:rPr>
          <w:t>2.6.</w:t>
        </w:r>
        <w:r w:rsidR="001512C6">
          <w:rPr>
            <w:rFonts w:asciiTheme="minorHAnsi" w:eastAsiaTheme="minorEastAsia" w:hAnsiTheme="minorHAnsi" w:cstheme="minorBidi"/>
          </w:rPr>
          <w:tab/>
        </w:r>
        <w:r w:rsidR="001512C6" w:rsidRPr="00BC6949">
          <w:rPr>
            <w:rStyle w:val="Hyperlink"/>
          </w:rPr>
          <w:t>Strategies</w:t>
        </w:r>
        <w:r w:rsidR="001512C6">
          <w:rPr>
            <w:webHidden/>
          </w:rPr>
          <w:tab/>
        </w:r>
        <w:r w:rsidR="001512C6">
          <w:rPr>
            <w:webHidden/>
          </w:rPr>
          <w:fldChar w:fldCharType="begin"/>
        </w:r>
        <w:r w:rsidR="001512C6">
          <w:rPr>
            <w:webHidden/>
          </w:rPr>
          <w:instrText xml:space="preserve"> PAGEREF _Toc482973546 \h </w:instrText>
        </w:r>
        <w:r w:rsidR="001512C6">
          <w:rPr>
            <w:webHidden/>
          </w:rPr>
        </w:r>
        <w:r w:rsidR="001512C6">
          <w:rPr>
            <w:webHidden/>
          </w:rPr>
          <w:fldChar w:fldCharType="separate"/>
        </w:r>
        <w:r w:rsidR="00E764A8">
          <w:rPr>
            <w:webHidden/>
          </w:rPr>
          <w:t>6</w:t>
        </w:r>
        <w:r w:rsidR="001512C6">
          <w:rPr>
            <w:webHidden/>
          </w:rPr>
          <w:fldChar w:fldCharType="end"/>
        </w:r>
      </w:hyperlink>
    </w:p>
    <w:p w14:paraId="730F6A00" w14:textId="77777777" w:rsidR="001512C6" w:rsidRDefault="00923641">
      <w:pPr>
        <w:pStyle w:val="TOC3"/>
        <w:rPr>
          <w:rFonts w:asciiTheme="minorHAnsi" w:hAnsiTheme="minorHAnsi"/>
        </w:rPr>
      </w:pPr>
      <w:hyperlink w:anchor="_Toc482973547" w:history="1">
        <w:r w:rsidR="001512C6" w:rsidRPr="00BC6949">
          <w:rPr>
            <w:rStyle w:val="Hyperlink"/>
          </w:rPr>
          <w:t>2.6.1.</w:t>
        </w:r>
        <w:r w:rsidR="001512C6">
          <w:rPr>
            <w:rFonts w:asciiTheme="minorHAnsi" w:hAnsiTheme="minorHAnsi"/>
          </w:rPr>
          <w:tab/>
        </w:r>
        <w:r w:rsidR="001512C6" w:rsidRPr="00BC6949">
          <w:rPr>
            <w:rStyle w:val="Hyperlink"/>
          </w:rPr>
          <w:t>Alternative Fuels</w:t>
        </w:r>
        <w:r w:rsidR="001512C6">
          <w:rPr>
            <w:webHidden/>
          </w:rPr>
          <w:tab/>
        </w:r>
        <w:r w:rsidR="001512C6">
          <w:rPr>
            <w:webHidden/>
          </w:rPr>
          <w:fldChar w:fldCharType="begin"/>
        </w:r>
        <w:r w:rsidR="001512C6">
          <w:rPr>
            <w:webHidden/>
          </w:rPr>
          <w:instrText xml:space="preserve"> PAGEREF _Toc482973547 \h </w:instrText>
        </w:r>
        <w:r w:rsidR="001512C6">
          <w:rPr>
            <w:webHidden/>
          </w:rPr>
        </w:r>
        <w:r w:rsidR="001512C6">
          <w:rPr>
            <w:webHidden/>
          </w:rPr>
          <w:fldChar w:fldCharType="separate"/>
        </w:r>
        <w:r w:rsidR="00E764A8">
          <w:rPr>
            <w:webHidden/>
          </w:rPr>
          <w:t>7</w:t>
        </w:r>
        <w:r w:rsidR="001512C6">
          <w:rPr>
            <w:webHidden/>
          </w:rPr>
          <w:fldChar w:fldCharType="end"/>
        </w:r>
      </w:hyperlink>
    </w:p>
    <w:p w14:paraId="3162686E" w14:textId="77777777" w:rsidR="001512C6" w:rsidRDefault="00923641">
      <w:pPr>
        <w:pStyle w:val="TOC3"/>
        <w:rPr>
          <w:rFonts w:asciiTheme="minorHAnsi" w:hAnsiTheme="minorHAnsi"/>
        </w:rPr>
      </w:pPr>
      <w:hyperlink w:anchor="_Toc482973548" w:history="1">
        <w:r w:rsidR="001512C6" w:rsidRPr="00BC6949">
          <w:rPr>
            <w:rStyle w:val="Hyperlink"/>
          </w:rPr>
          <w:t>2.6.2.</w:t>
        </w:r>
        <w:r w:rsidR="001512C6">
          <w:rPr>
            <w:rFonts w:asciiTheme="minorHAnsi" w:hAnsiTheme="minorHAnsi"/>
          </w:rPr>
          <w:tab/>
        </w:r>
        <w:r w:rsidR="001512C6" w:rsidRPr="00BC6949">
          <w:rPr>
            <w:rStyle w:val="Hyperlink"/>
          </w:rPr>
          <w:t>Exhaust Retrofits</w:t>
        </w:r>
        <w:r w:rsidR="001512C6">
          <w:rPr>
            <w:webHidden/>
          </w:rPr>
          <w:tab/>
        </w:r>
        <w:r w:rsidR="001512C6">
          <w:rPr>
            <w:webHidden/>
          </w:rPr>
          <w:fldChar w:fldCharType="begin"/>
        </w:r>
        <w:r w:rsidR="001512C6">
          <w:rPr>
            <w:webHidden/>
          </w:rPr>
          <w:instrText xml:space="preserve"> PAGEREF _Toc482973548 \h </w:instrText>
        </w:r>
        <w:r w:rsidR="001512C6">
          <w:rPr>
            <w:webHidden/>
          </w:rPr>
        </w:r>
        <w:r w:rsidR="001512C6">
          <w:rPr>
            <w:webHidden/>
          </w:rPr>
          <w:fldChar w:fldCharType="separate"/>
        </w:r>
        <w:r w:rsidR="00E764A8">
          <w:rPr>
            <w:webHidden/>
          </w:rPr>
          <w:t>10</w:t>
        </w:r>
        <w:r w:rsidR="001512C6">
          <w:rPr>
            <w:webHidden/>
          </w:rPr>
          <w:fldChar w:fldCharType="end"/>
        </w:r>
      </w:hyperlink>
    </w:p>
    <w:p w14:paraId="274D0321" w14:textId="77777777" w:rsidR="001512C6" w:rsidRDefault="00923641">
      <w:pPr>
        <w:pStyle w:val="TOC3"/>
        <w:rPr>
          <w:rFonts w:asciiTheme="minorHAnsi" w:hAnsiTheme="minorHAnsi"/>
        </w:rPr>
      </w:pPr>
      <w:hyperlink w:anchor="_Toc482973549" w:history="1">
        <w:r w:rsidR="001512C6" w:rsidRPr="00BC6949">
          <w:rPr>
            <w:rStyle w:val="Hyperlink"/>
          </w:rPr>
          <w:t>2.6.3.</w:t>
        </w:r>
        <w:r w:rsidR="001512C6">
          <w:rPr>
            <w:rFonts w:asciiTheme="minorHAnsi" w:hAnsiTheme="minorHAnsi"/>
          </w:rPr>
          <w:tab/>
        </w:r>
        <w:r w:rsidR="001512C6" w:rsidRPr="00BC6949">
          <w:rPr>
            <w:rStyle w:val="Hyperlink"/>
          </w:rPr>
          <w:t>Aerodynamic Devices</w:t>
        </w:r>
        <w:r w:rsidR="001512C6">
          <w:rPr>
            <w:webHidden/>
          </w:rPr>
          <w:tab/>
        </w:r>
        <w:r w:rsidR="001512C6">
          <w:rPr>
            <w:webHidden/>
          </w:rPr>
          <w:fldChar w:fldCharType="begin"/>
        </w:r>
        <w:r w:rsidR="001512C6">
          <w:rPr>
            <w:webHidden/>
          </w:rPr>
          <w:instrText xml:space="preserve"> PAGEREF _Toc482973549 \h </w:instrText>
        </w:r>
        <w:r w:rsidR="001512C6">
          <w:rPr>
            <w:webHidden/>
          </w:rPr>
        </w:r>
        <w:r w:rsidR="001512C6">
          <w:rPr>
            <w:webHidden/>
          </w:rPr>
          <w:fldChar w:fldCharType="separate"/>
        </w:r>
        <w:r w:rsidR="00E764A8">
          <w:rPr>
            <w:webHidden/>
          </w:rPr>
          <w:t>11</w:t>
        </w:r>
        <w:r w:rsidR="001512C6">
          <w:rPr>
            <w:webHidden/>
          </w:rPr>
          <w:fldChar w:fldCharType="end"/>
        </w:r>
      </w:hyperlink>
    </w:p>
    <w:p w14:paraId="507DC12F" w14:textId="77777777" w:rsidR="001512C6" w:rsidRDefault="00923641">
      <w:pPr>
        <w:pStyle w:val="TOC3"/>
        <w:rPr>
          <w:rFonts w:asciiTheme="minorHAnsi" w:hAnsiTheme="minorHAnsi"/>
        </w:rPr>
      </w:pPr>
      <w:hyperlink w:anchor="_Toc482973550" w:history="1">
        <w:r w:rsidR="001512C6" w:rsidRPr="00BC6949">
          <w:rPr>
            <w:rStyle w:val="Hyperlink"/>
          </w:rPr>
          <w:t>2.6.4.</w:t>
        </w:r>
        <w:r w:rsidR="001512C6">
          <w:rPr>
            <w:rFonts w:asciiTheme="minorHAnsi" w:hAnsiTheme="minorHAnsi"/>
          </w:rPr>
          <w:tab/>
        </w:r>
        <w:r w:rsidR="001512C6" w:rsidRPr="00BC6949">
          <w:rPr>
            <w:rStyle w:val="Hyperlink"/>
          </w:rPr>
          <w:t>Tires</w:t>
        </w:r>
        <w:r w:rsidR="001512C6">
          <w:rPr>
            <w:webHidden/>
          </w:rPr>
          <w:tab/>
        </w:r>
        <w:r w:rsidR="001512C6">
          <w:rPr>
            <w:webHidden/>
          </w:rPr>
          <w:fldChar w:fldCharType="begin"/>
        </w:r>
        <w:r w:rsidR="001512C6">
          <w:rPr>
            <w:webHidden/>
          </w:rPr>
          <w:instrText xml:space="preserve"> PAGEREF _Toc482973550 \h </w:instrText>
        </w:r>
        <w:r w:rsidR="001512C6">
          <w:rPr>
            <w:webHidden/>
          </w:rPr>
        </w:r>
        <w:r w:rsidR="001512C6">
          <w:rPr>
            <w:webHidden/>
          </w:rPr>
          <w:fldChar w:fldCharType="separate"/>
        </w:r>
        <w:r w:rsidR="00E764A8">
          <w:rPr>
            <w:webHidden/>
          </w:rPr>
          <w:t>13</w:t>
        </w:r>
        <w:r w:rsidR="001512C6">
          <w:rPr>
            <w:webHidden/>
          </w:rPr>
          <w:fldChar w:fldCharType="end"/>
        </w:r>
      </w:hyperlink>
    </w:p>
    <w:p w14:paraId="03690AC2" w14:textId="77777777" w:rsidR="001512C6" w:rsidRDefault="00923641">
      <w:pPr>
        <w:pStyle w:val="TOC3"/>
        <w:rPr>
          <w:rFonts w:asciiTheme="minorHAnsi" w:hAnsiTheme="minorHAnsi"/>
        </w:rPr>
      </w:pPr>
      <w:hyperlink w:anchor="_Toc482973551" w:history="1">
        <w:r w:rsidR="001512C6" w:rsidRPr="00BC6949">
          <w:rPr>
            <w:rStyle w:val="Hyperlink"/>
          </w:rPr>
          <w:t>2.6.5.</w:t>
        </w:r>
        <w:r w:rsidR="001512C6">
          <w:rPr>
            <w:rFonts w:asciiTheme="minorHAnsi" w:hAnsiTheme="minorHAnsi"/>
          </w:rPr>
          <w:tab/>
        </w:r>
        <w:r w:rsidR="001512C6" w:rsidRPr="00BC6949">
          <w:rPr>
            <w:rStyle w:val="Hyperlink"/>
          </w:rPr>
          <w:t>Idle Reduction</w:t>
        </w:r>
        <w:r w:rsidR="001512C6">
          <w:rPr>
            <w:webHidden/>
          </w:rPr>
          <w:tab/>
        </w:r>
        <w:r w:rsidR="001512C6">
          <w:rPr>
            <w:webHidden/>
          </w:rPr>
          <w:fldChar w:fldCharType="begin"/>
        </w:r>
        <w:r w:rsidR="001512C6">
          <w:rPr>
            <w:webHidden/>
          </w:rPr>
          <w:instrText xml:space="preserve"> PAGEREF _Toc482973551 \h </w:instrText>
        </w:r>
        <w:r w:rsidR="001512C6">
          <w:rPr>
            <w:webHidden/>
          </w:rPr>
        </w:r>
        <w:r w:rsidR="001512C6">
          <w:rPr>
            <w:webHidden/>
          </w:rPr>
          <w:fldChar w:fldCharType="separate"/>
        </w:r>
        <w:r w:rsidR="00E764A8">
          <w:rPr>
            <w:webHidden/>
          </w:rPr>
          <w:t>14</w:t>
        </w:r>
        <w:r w:rsidR="001512C6">
          <w:rPr>
            <w:webHidden/>
          </w:rPr>
          <w:fldChar w:fldCharType="end"/>
        </w:r>
      </w:hyperlink>
    </w:p>
    <w:p w14:paraId="6FCE706B" w14:textId="77777777" w:rsidR="001512C6" w:rsidRDefault="00923641">
      <w:pPr>
        <w:pStyle w:val="TOC3"/>
        <w:rPr>
          <w:rFonts w:asciiTheme="minorHAnsi" w:hAnsiTheme="minorHAnsi"/>
        </w:rPr>
      </w:pPr>
      <w:hyperlink w:anchor="_Toc482973552" w:history="1">
        <w:r w:rsidR="001512C6" w:rsidRPr="00BC6949">
          <w:rPr>
            <w:rStyle w:val="Hyperlink"/>
          </w:rPr>
          <w:t>2.6.6.</w:t>
        </w:r>
        <w:r w:rsidR="001512C6">
          <w:rPr>
            <w:rFonts w:asciiTheme="minorHAnsi" w:hAnsiTheme="minorHAnsi"/>
          </w:rPr>
          <w:tab/>
        </w:r>
        <w:r w:rsidR="001512C6" w:rsidRPr="00BC6949">
          <w:rPr>
            <w:rStyle w:val="Hyperlink"/>
          </w:rPr>
          <w:t>Accelerated Retirement</w:t>
        </w:r>
        <w:r w:rsidR="001512C6">
          <w:rPr>
            <w:webHidden/>
          </w:rPr>
          <w:tab/>
        </w:r>
        <w:r w:rsidR="001512C6">
          <w:rPr>
            <w:webHidden/>
          </w:rPr>
          <w:fldChar w:fldCharType="begin"/>
        </w:r>
        <w:r w:rsidR="001512C6">
          <w:rPr>
            <w:webHidden/>
          </w:rPr>
          <w:instrText xml:space="preserve"> PAGEREF _Toc482973552 \h </w:instrText>
        </w:r>
        <w:r w:rsidR="001512C6">
          <w:rPr>
            <w:webHidden/>
          </w:rPr>
        </w:r>
        <w:r w:rsidR="001512C6">
          <w:rPr>
            <w:webHidden/>
          </w:rPr>
          <w:fldChar w:fldCharType="separate"/>
        </w:r>
        <w:r w:rsidR="00E764A8">
          <w:rPr>
            <w:webHidden/>
          </w:rPr>
          <w:t>14</w:t>
        </w:r>
        <w:r w:rsidR="001512C6">
          <w:rPr>
            <w:webHidden/>
          </w:rPr>
          <w:fldChar w:fldCharType="end"/>
        </w:r>
      </w:hyperlink>
    </w:p>
    <w:p w14:paraId="5DBB9EB2" w14:textId="77777777" w:rsidR="001512C6" w:rsidRDefault="00923641">
      <w:pPr>
        <w:pStyle w:val="TOC1"/>
        <w:rPr>
          <w:rFonts w:asciiTheme="minorHAnsi" w:eastAsiaTheme="minorEastAsia" w:hAnsiTheme="minorHAnsi" w:cstheme="minorBidi"/>
          <w:b w:val="0"/>
        </w:rPr>
      </w:pPr>
      <w:hyperlink w:anchor="_Toc482973553" w:history="1">
        <w:r w:rsidR="001512C6" w:rsidRPr="00BC6949">
          <w:rPr>
            <w:rStyle w:val="Hyperlink"/>
          </w:rPr>
          <w:t>3.</w:t>
        </w:r>
        <w:r w:rsidR="001512C6">
          <w:rPr>
            <w:rFonts w:asciiTheme="minorHAnsi" w:eastAsiaTheme="minorEastAsia" w:hAnsiTheme="minorHAnsi" w:cstheme="minorBidi"/>
            <w:b w:val="0"/>
          </w:rPr>
          <w:tab/>
        </w:r>
        <w:r w:rsidR="001512C6" w:rsidRPr="00BC6949">
          <w:rPr>
            <w:rStyle w:val="Hyperlink"/>
          </w:rPr>
          <w:t>Default Inputs in the Tool</w:t>
        </w:r>
        <w:r w:rsidR="001512C6">
          <w:rPr>
            <w:webHidden/>
          </w:rPr>
          <w:tab/>
        </w:r>
        <w:r w:rsidR="001512C6">
          <w:rPr>
            <w:webHidden/>
          </w:rPr>
          <w:fldChar w:fldCharType="begin"/>
        </w:r>
        <w:r w:rsidR="001512C6">
          <w:rPr>
            <w:webHidden/>
          </w:rPr>
          <w:instrText xml:space="preserve"> PAGEREF _Toc482973553 \h </w:instrText>
        </w:r>
        <w:r w:rsidR="001512C6">
          <w:rPr>
            <w:webHidden/>
          </w:rPr>
        </w:r>
        <w:r w:rsidR="001512C6">
          <w:rPr>
            <w:webHidden/>
          </w:rPr>
          <w:fldChar w:fldCharType="separate"/>
        </w:r>
        <w:r w:rsidR="00E764A8">
          <w:rPr>
            <w:webHidden/>
          </w:rPr>
          <w:t>16</w:t>
        </w:r>
        <w:r w:rsidR="001512C6">
          <w:rPr>
            <w:webHidden/>
          </w:rPr>
          <w:fldChar w:fldCharType="end"/>
        </w:r>
      </w:hyperlink>
    </w:p>
    <w:p w14:paraId="01C40D2D" w14:textId="77777777" w:rsidR="001512C6" w:rsidRDefault="00923641">
      <w:pPr>
        <w:pStyle w:val="TOC1"/>
        <w:rPr>
          <w:rFonts w:asciiTheme="minorHAnsi" w:eastAsiaTheme="minorEastAsia" w:hAnsiTheme="minorHAnsi" w:cstheme="minorBidi"/>
          <w:b w:val="0"/>
        </w:rPr>
      </w:pPr>
      <w:hyperlink w:anchor="_Toc482973554" w:history="1">
        <w:r w:rsidR="001512C6" w:rsidRPr="00BC6949">
          <w:rPr>
            <w:rStyle w:val="Hyperlink"/>
          </w:rPr>
          <w:t>4.</w:t>
        </w:r>
        <w:r w:rsidR="001512C6">
          <w:rPr>
            <w:rFonts w:asciiTheme="minorHAnsi" w:eastAsiaTheme="minorEastAsia" w:hAnsiTheme="minorHAnsi" w:cstheme="minorBidi"/>
            <w:b w:val="0"/>
          </w:rPr>
          <w:tab/>
        </w:r>
        <w:r w:rsidR="001512C6" w:rsidRPr="00BC6949">
          <w:rPr>
            <w:rStyle w:val="Hyperlink"/>
          </w:rPr>
          <w:t>Implementation of the Analysis Options</w:t>
        </w:r>
        <w:r w:rsidR="001512C6">
          <w:rPr>
            <w:webHidden/>
          </w:rPr>
          <w:tab/>
        </w:r>
        <w:r w:rsidR="001512C6">
          <w:rPr>
            <w:webHidden/>
          </w:rPr>
          <w:fldChar w:fldCharType="begin"/>
        </w:r>
        <w:r w:rsidR="001512C6">
          <w:rPr>
            <w:webHidden/>
          </w:rPr>
          <w:instrText xml:space="preserve"> PAGEREF _Toc482973554 \h </w:instrText>
        </w:r>
        <w:r w:rsidR="001512C6">
          <w:rPr>
            <w:webHidden/>
          </w:rPr>
        </w:r>
        <w:r w:rsidR="001512C6">
          <w:rPr>
            <w:webHidden/>
          </w:rPr>
          <w:fldChar w:fldCharType="separate"/>
        </w:r>
        <w:r w:rsidR="00E764A8">
          <w:rPr>
            <w:webHidden/>
          </w:rPr>
          <w:t>17</w:t>
        </w:r>
        <w:r w:rsidR="001512C6">
          <w:rPr>
            <w:webHidden/>
          </w:rPr>
          <w:fldChar w:fldCharType="end"/>
        </w:r>
      </w:hyperlink>
    </w:p>
    <w:p w14:paraId="593A2A26" w14:textId="77777777" w:rsidR="001512C6" w:rsidRDefault="00923641">
      <w:pPr>
        <w:pStyle w:val="TOC2"/>
        <w:rPr>
          <w:rFonts w:asciiTheme="minorHAnsi" w:eastAsiaTheme="minorEastAsia" w:hAnsiTheme="minorHAnsi" w:cstheme="minorBidi"/>
        </w:rPr>
      </w:pPr>
      <w:hyperlink w:anchor="_Toc482973555" w:history="1">
        <w:r w:rsidR="001512C6" w:rsidRPr="00BC6949">
          <w:rPr>
            <w:rStyle w:val="Hyperlink"/>
          </w:rPr>
          <w:t>4.1.</w:t>
        </w:r>
        <w:r w:rsidR="001512C6">
          <w:rPr>
            <w:rFonts w:asciiTheme="minorHAnsi" w:eastAsiaTheme="minorEastAsia" w:hAnsiTheme="minorHAnsi" w:cstheme="minorBidi"/>
          </w:rPr>
          <w:tab/>
        </w:r>
        <w:r w:rsidR="001512C6" w:rsidRPr="00BC6949">
          <w:rPr>
            <w:rStyle w:val="Hyperlink"/>
          </w:rPr>
          <w:t>Tool Structure</w:t>
        </w:r>
        <w:r w:rsidR="001512C6">
          <w:rPr>
            <w:webHidden/>
          </w:rPr>
          <w:tab/>
        </w:r>
        <w:r w:rsidR="001512C6">
          <w:rPr>
            <w:webHidden/>
          </w:rPr>
          <w:fldChar w:fldCharType="begin"/>
        </w:r>
        <w:r w:rsidR="001512C6">
          <w:rPr>
            <w:webHidden/>
          </w:rPr>
          <w:instrText xml:space="preserve"> PAGEREF _Toc482973555 \h </w:instrText>
        </w:r>
        <w:r w:rsidR="001512C6">
          <w:rPr>
            <w:webHidden/>
          </w:rPr>
        </w:r>
        <w:r w:rsidR="001512C6">
          <w:rPr>
            <w:webHidden/>
          </w:rPr>
          <w:fldChar w:fldCharType="separate"/>
        </w:r>
        <w:r w:rsidR="00E764A8">
          <w:rPr>
            <w:webHidden/>
          </w:rPr>
          <w:t>17</w:t>
        </w:r>
        <w:r w:rsidR="001512C6">
          <w:rPr>
            <w:webHidden/>
          </w:rPr>
          <w:fldChar w:fldCharType="end"/>
        </w:r>
      </w:hyperlink>
    </w:p>
    <w:p w14:paraId="276FD37E" w14:textId="77777777" w:rsidR="001512C6" w:rsidRDefault="00923641">
      <w:pPr>
        <w:pStyle w:val="TOC2"/>
        <w:rPr>
          <w:rFonts w:asciiTheme="minorHAnsi" w:eastAsiaTheme="minorEastAsia" w:hAnsiTheme="minorHAnsi" w:cstheme="minorBidi"/>
        </w:rPr>
      </w:pPr>
      <w:hyperlink w:anchor="_Toc482973556" w:history="1">
        <w:r w:rsidR="001512C6" w:rsidRPr="00BC6949">
          <w:rPr>
            <w:rStyle w:val="Hyperlink"/>
          </w:rPr>
          <w:t>4.2.</w:t>
        </w:r>
        <w:r w:rsidR="001512C6">
          <w:rPr>
            <w:rFonts w:asciiTheme="minorHAnsi" w:eastAsiaTheme="minorEastAsia" w:hAnsiTheme="minorHAnsi" w:cstheme="minorBidi"/>
          </w:rPr>
          <w:tab/>
        </w:r>
        <w:r w:rsidR="001512C6" w:rsidRPr="00BC6949">
          <w:rPr>
            <w:rStyle w:val="Hyperlink"/>
          </w:rPr>
          <w:t>Tool Buttons</w:t>
        </w:r>
        <w:r w:rsidR="001512C6">
          <w:rPr>
            <w:webHidden/>
          </w:rPr>
          <w:tab/>
        </w:r>
        <w:r w:rsidR="001512C6">
          <w:rPr>
            <w:webHidden/>
          </w:rPr>
          <w:fldChar w:fldCharType="begin"/>
        </w:r>
        <w:r w:rsidR="001512C6">
          <w:rPr>
            <w:webHidden/>
          </w:rPr>
          <w:instrText xml:space="preserve"> PAGEREF _Toc482973556 \h </w:instrText>
        </w:r>
        <w:r w:rsidR="001512C6">
          <w:rPr>
            <w:webHidden/>
          </w:rPr>
        </w:r>
        <w:r w:rsidR="001512C6">
          <w:rPr>
            <w:webHidden/>
          </w:rPr>
          <w:fldChar w:fldCharType="separate"/>
        </w:r>
        <w:r w:rsidR="00E764A8">
          <w:rPr>
            <w:webHidden/>
          </w:rPr>
          <w:t>19</w:t>
        </w:r>
        <w:r w:rsidR="001512C6">
          <w:rPr>
            <w:webHidden/>
          </w:rPr>
          <w:fldChar w:fldCharType="end"/>
        </w:r>
      </w:hyperlink>
    </w:p>
    <w:p w14:paraId="08115188" w14:textId="77777777" w:rsidR="001512C6" w:rsidRDefault="00923641">
      <w:pPr>
        <w:pStyle w:val="TOC2"/>
        <w:rPr>
          <w:rFonts w:asciiTheme="minorHAnsi" w:eastAsiaTheme="minorEastAsia" w:hAnsiTheme="minorHAnsi" w:cstheme="minorBidi"/>
        </w:rPr>
      </w:pPr>
      <w:hyperlink w:anchor="_Toc482973557" w:history="1">
        <w:r w:rsidR="001512C6" w:rsidRPr="00BC6949">
          <w:rPr>
            <w:rStyle w:val="Hyperlink"/>
          </w:rPr>
          <w:t>4.3.</w:t>
        </w:r>
        <w:r w:rsidR="001512C6">
          <w:rPr>
            <w:rFonts w:asciiTheme="minorHAnsi" w:eastAsiaTheme="minorEastAsia" w:hAnsiTheme="minorHAnsi" w:cstheme="minorBidi"/>
          </w:rPr>
          <w:tab/>
        </w:r>
        <w:r w:rsidR="001512C6" w:rsidRPr="00BC6949">
          <w:rPr>
            <w:rStyle w:val="Hyperlink"/>
          </w:rPr>
          <w:t>Truck Deployment Analysis</w:t>
        </w:r>
        <w:r w:rsidR="001512C6">
          <w:rPr>
            <w:webHidden/>
          </w:rPr>
          <w:tab/>
        </w:r>
        <w:r w:rsidR="001512C6">
          <w:rPr>
            <w:webHidden/>
          </w:rPr>
          <w:fldChar w:fldCharType="begin"/>
        </w:r>
        <w:r w:rsidR="001512C6">
          <w:rPr>
            <w:webHidden/>
          </w:rPr>
          <w:instrText xml:space="preserve"> PAGEREF _Toc482973557 \h </w:instrText>
        </w:r>
        <w:r w:rsidR="001512C6">
          <w:rPr>
            <w:webHidden/>
          </w:rPr>
        </w:r>
        <w:r w:rsidR="001512C6">
          <w:rPr>
            <w:webHidden/>
          </w:rPr>
          <w:fldChar w:fldCharType="separate"/>
        </w:r>
        <w:r w:rsidR="00E764A8">
          <w:rPr>
            <w:webHidden/>
          </w:rPr>
          <w:t>20</w:t>
        </w:r>
        <w:r w:rsidR="001512C6">
          <w:rPr>
            <w:webHidden/>
          </w:rPr>
          <w:fldChar w:fldCharType="end"/>
        </w:r>
      </w:hyperlink>
    </w:p>
    <w:p w14:paraId="1B719032" w14:textId="77777777" w:rsidR="001512C6" w:rsidRDefault="00923641">
      <w:pPr>
        <w:pStyle w:val="TOC2"/>
        <w:rPr>
          <w:rFonts w:asciiTheme="minorHAnsi" w:eastAsiaTheme="minorEastAsia" w:hAnsiTheme="minorHAnsi" w:cstheme="minorBidi"/>
        </w:rPr>
      </w:pPr>
      <w:hyperlink w:anchor="_Toc482973558" w:history="1">
        <w:r w:rsidR="001512C6" w:rsidRPr="00BC6949">
          <w:rPr>
            <w:rStyle w:val="Hyperlink"/>
          </w:rPr>
          <w:t>4.4.</w:t>
        </w:r>
        <w:r w:rsidR="001512C6">
          <w:rPr>
            <w:rFonts w:asciiTheme="minorHAnsi" w:eastAsiaTheme="minorEastAsia" w:hAnsiTheme="minorHAnsi" w:cstheme="minorBidi"/>
          </w:rPr>
          <w:tab/>
        </w:r>
        <w:r w:rsidR="001512C6" w:rsidRPr="00BC6949">
          <w:rPr>
            <w:rStyle w:val="Hyperlink"/>
          </w:rPr>
          <w:t>Funding Impact Analysis</w:t>
        </w:r>
        <w:r w:rsidR="001512C6">
          <w:rPr>
            <w:webHidden/>
          </w:rPr>
          <w:tab/>
        </w:r>
        <w:r w:rsidR="001512C6">
          <w:rPr>
            <w:webHidden/>
          </w:rPr>
          <w:fldChar w:fldCharType="begin"/>
        </w:r>
        <w:r w:rsidR="001512C6">
          <w:rPr>
            <w:webHidden/>
          </w:rPr>
          <w:instrText xml:space="preserve"> PAGEREF _Toc482973558 \h </w:instrText>
        </w:r>
        <w:r w:rsidR="001512C6">
          <w:rPr>
            <w:webHidden/>
          </w:rPr>
        </w:r>
        <w:r w:rsidR="001512C6">
          <w:rPr>
            <w:webHidden/>
          </w:rPr>
          <w:fldChar w:fldCharType="separate"/>
        </w:r>
        <w:r w:rsidR="00E764A8">
          <w:rPr>
            <w:webHidden/>
          </w:rPr>
          <w:t>27</w:t>
        </w:r>
        <w:r w:rsidR="001512C6">
          <w:rPr>
            <w:webHidden/>
          </w:rPr>
          <w:fldChar w:fldCharType="end"/>
        </w:r>
      </w:hyperlink>
    </w:p>
    <w:p w14:paraId="6EB59412" w14:textId="77777777" w:rsidR="001512C6" w:rsidRDefault="00923641">
      <w:pPr>
        <w:pStyle w:val="TOC2"/>
        <w:rPr>
          <w:rFonts w:asciiTheme="minorHAnsi" w:eastAsiaTheme="minorEastAsia" w:hAnsiTheme="minorHAnsi" w:cstheme="minorBidi"/>
        </w:rPr>
      </w:pPr>
      <w:hyperlink w:anchor="_Toc482973559" w:history="1">
        <w:r w:rsidR="001512C6" w:rsidRPr="00BC6949">
          <w:rPr>
            <w:rStyle w:val="Hyperlink"/>
          </w:rPr>
          <w:t>4.5.</w:t>
        </w:r>
        <w:r w:rsidR="001512C6">
          <w:rPr>
            <w:rFonts w:asciiTheme="minorHAnsi" w:eastAsiaTheme="minorEastAsia" w:hAnsiTheme="minorHAnsi" w:cstheme="minorBidi"/>
          </w:rPr>
          <w:tab/>
        </w:r>
        <w:r w:rsidR="001512C6" w:rsidRPr="00BC6949">
          <w:rPr>
            <w:rStyle w:val="Hyperlink"/>
          </w:rPr>
          <w:t>Incentive Analysis</w:t>
        </w:r>
        <w:r w:rsidR="001512C6">
          <w:rPr>
            <w:webHidden/>
          </w:rPr>
          <w:tab/>
        </w:r>
        <w:r w:rsidR="001512C6">
          <w:rPr>
            <w:webHidden/>
          </w:rPr>
          <w:fldChar w:fldCharType="begin"/>
        </w:r>
        <w:r w:rsidR="001512C6">
          <w:rPr>
            <w:webHidden/>
          </w:rPr>
          <w:instrText xml:space="preserve"> PAGEREF _Toc482973559 \h </w:instrText>
        </w:r>
        <w:r w:rsidR="001512C6">
          <w:rPr>
            <w:webHidden/>
          </w:rPr>
        </w:r>
        <w:r w:rsidR="001512C6">
          <w:rPr>
            <w:webHidden/>
          </w:rPr>
          <w:fldChar w:fldCharType="separate"/>
        </w:r>
        <w:r w:rsidR="00E764A8">
          <w:rPr>
            <w:webHidden/>
          </w:rPr>
          <w:t>31</w:t>
        </w:r>
        <w:r w:rsidR="001512C6">
          <w:rPr>
            <w:webHidden/>
          </w:rPr>
          <w:fldChar w:fldCharType="end"/>
        </w:r>
      </w:hyperlink>
    </w:p>
    <w:p w14:paraId="46FE6270" w14:textId="77777777" w:rsidR="001512C6" w:rsidRDefault="00923641">
      <w:pPr>
        <w:pStyle w:val="TOC1"/>
        <w:rPr>
          <w:rFonts w:asciiTheme="minorHAnsi" w:eastAsiaTheme="minorEastAsia" w:hAnsiTheme="minorHAnsi" w:cstheme="minorBidi"/>
          <w:b w:val="0"/>
        </w:rPr>
      </w:pPr>
      <w:hyperlink w:anchor="_Toc482973560" w:history="1">
        <w:r w:rsidR="001512C6" w:rsidRPr="00BC6949">
          <w:rPr>
            <w:rStyle w:val="Hyperlink"/>
          </w:rPr>
          <w:t>5.</w:t>
        </w:r>
        <w:r w:rsidR="001512C6">
          <w:rPr>
            <w:rFonts w:asciiTheme="minorHAnsi" w:eastAsiaTheme="minorEastAsia" w:hAnsiTheme="minorHAnsi" w:cstheme="minorBidi"/>
            <w:b w:val="0"/>
          </w:rPr>
          <w:tab/>
        </w:r>
        <w:r w:rsidR="001512C6" w:rsidRPr="00BC6949">
          <w:rPr>
            <w:rStyle w:val="Hyperlink"/>
          </w:rPr>
          <w:t>Development of Inputs</w:t>
        </w:r>
        <w:r w:rsidR="001512C6">
          <w:rPr>
            <w:webHidden/>
          </w:rPr>
          <w:tab/>
        </w:r>
        <w:r w:rsidR="001512C6">
          <w:rPr>
            <w:webHidden/>
          </w:rPr>
          <w:fldChar w:fldCharType="begin"/>
        </w:r>
        <w:r w:rsidR="001512C6">
          <w:rPr>
            <w:webHidden/>
          </w:rPr>
          <w:instrText xml:space="preserve"> PAGEREF _Toc482973560 \h </w:instrText>
        </w:r>
        <w:r w:rsidR="001512C6">
          <w:rPr>
            <w:webHidden/>
          </w:rPr>
        </w:r>
        <w:r w:rsidR="001512C6">
          <w:rPr>
            <w:webHidden/>
          </w:rPr>
          <w:fldChar w:fldCharType="separate"/>
        </w:r>
        <w:r w:rsidR="00E764A8">
          <w:rPr>
            <w:webHidden/>
          </w:rPr>
          <w:t>34</w:t>
        </w:r>
        <w:r w:rsidR="001512C6">
          <w:rPr>
            <w:webHidden/>
          </w:rPr>
          <w:fldChar w:fldCharType="end"/>
        </w:r>
      </w:hyperlink>
    </w:p>
    <w:p w14:paraId="28132BBF" w14:textId="77777777" w:rsidR="001512C6" w:rsidRDefault="00923641">
      <w:pPr>
        <w:pStyle w:val="TOC2"/>
        <w:rPr>
          <w:rFonts w:asciiTheme="minorHAnsi" w:eastAsiaTheme="minorEastAsia" w:hAnsiTheme="minorHAnsi" w:cstheme="minorBidi"/>
        </w:rPr>
      </w:pPr>
      <w:hyperlink w:anchor="_Toc482973561" w:history="1">
        <w:r w:rsidR="001512C6" w:rsidRPr="00BC6949">
          <w:rPr>
            <w:rStyle w:val="Hyperlink"/>
          </w:rPr>
          <w:t>5.1.</w:t>
        </w:r>
        <w:r w:rsidR="001512C6">
          <w:rPr>
            <w:rFonts w:asciiTheme="minorHAnsi" w:eastAsiaTheme="minorEastAsia" w:hAnsiTheme="minorHAnsi" w:cstheme="minorBidi"/>
          </w:rPr>
          <w:tab/>
        </w:r>
        <w:r w:rsidR="001512C6" w:rsidRPr="00BC6949">
          <w:rPr>
            <w:rStyle w:val="Hyperlink"/>
          </w:rPr>
          <w:t>Emission Factors</w:t>
        </w:r>
        <w:r w:rsidR="001512C6">
          <w:rPr>
            <w:webHidden/>
          </w:rPr>
          <w:tab/>
        </w:r>
        <w:r w:rsidR="001512C6">
          <w:rPr>
            <w:webHidden/>
          </w:rPr>
          <w:fldChar w:fldCharType="begin"/>
        </w:r>
        <w:r w:rsidR="001512C6">
          <w:rPr>
            <w:webHidden/>
          </w:rPr>
          <w:instrText xml:space="preserve"> PAGEREF _Toc482973561 \h </w:instrText>
        </w:r>
        <w:r w:rsidR="001512C6">
          <w:rPr>
            <w:webHidden/>
          </w:rPr>
        </w:r>
        <w:r w:rsidR="001512C6">
          <w:rPr>
            <w:webHidden/>
          </w:rPr>
          <w:fldChar w:fldCharType="separate"/>
        </w:r>
        <w:r w:rsidR="00E764A8">
          <w:rPr>
            <w:webHidden/>
          </w:rPr>
          <w:t>34</w:t>
        </w:r>
        <w:r w:rsidR="001512C6">
          <w:rPr>
            <w:webHidden/>
          </w:rPr>
          <w:fldChar w:fldCharType="end"/>
        </w:r>
      </w:hyperlink>
    </w:p>
    <w:p w14:paraId="0281F5B0" w14:textId="77777777" w:rsidR="001512C6" w:rsidRDefault="00923641">
      <w:pPr>
        <w:pStyle w:val="TOC3"/>
        <w:rPr>
          <w:rFonts w:asciiTheme="minorHAnsi" w:hAnsiTheme="minorHAnsi"/>
        </w:rPr>
      </w:pPr>
      <w:hyperlink w:anchor="_Toc482973562" w:history="1">
        <w:r w:rsidR="001512C6" w:rsidRPr="00BC6949">
          <w:rPr>
            <w:rStyle w:val="Hyperlink"/>
          </w:rPr>
          <w:t>5.1.1.</w:t>
        </w:r>
        <w:r w:rsidR="001512C6">
          <w:rPr>
            <w:rFonts w:asciiTheme="minorHAnsi" w:hAnsiTheme="minorHAnsi"/>
          </w:rPr>
          <w:tab/>
        </w:r>
        <w:r w:rsidR="001512C6" w:rsidRPr="00BC6949">
          <w:rPr>
            <w:rStyle w:val="Hyperlink"/>
          </w:rPr>
          <w:t>Truck Categories</w:t>
        </w:r>
        <w:r w:rsidR="001512C6">
          <w:rPr>
            <w:webHidden/>
          </w:rPr>
          <w:tab/>
        </w:r>
        <w:r w:rsidR="001512C6">
          <w:rPr>
            <w:webHidden/>
          </w:rPr>
          <w:fldChar w:fldCharType="begin"/>
        </w:r>
        <w:r w:rsidR="001512C6">
          <w:rPr>
            <w:webHidden/>
          </w:rPr>
          <w:instrText xml:space="preserve"> PAGEREF _Toc482973562 \h </w:instrText>
        </w:r>
        <w:r w:rsidR="001512C6">
          <w:rPr>
            <w:webHidden/>
          </w:rPr>
        </w:r>
        <w:r w:rsidR="001512C6">
          <w:rPr>
            <w:webHidden/>
          </w:rPr>
          <w:fldChar w:fldCharType="separate"/>
        </w:r>
        <w:r w:rsidR="00E764A8">
          <w:rPr>
            <w:webHidden/>
          </w:rPr>
          <w:t>34</w:t>
        </w:r>
        <w:r w:rsidR="001512C6">
          <w:rPr>
            <w:webHidden/>
          </w:rPr>
          <w:fldChar w:fldCharType="end"/>
        </w:r>
      </w:hyperlink>
    </w:p>
    <w:p w14:paraId="4EBB165C" w14:textId="77777777" w:rsidR="001512C6" w:rsidRDefault="00923641">
      <w:pPr>
        <w:pStyle w:val="TOC3"/>
        <w:rPr>
          <w:rFonts w:asciiTheme="minorHAnsi" w:hAnsiTheme="minorHAnsi"/>
        </w:rPr>
      </w:pPr>
      <w:hyperlink w:anchor="_Toc482973563" w:history="1">
        <w:r w:rsidR="001512C6" w:rsidRPr="00BC6949">
          <w:rPr>
            <w:rStyle w:val="Hyperlink"/>
          </w:rPr>
          <w:t>5.1.2.</w:t>
        </w:r>
        <w:r w:rsidR="001512C6">
          <w:rPr>
            <w:rFonts w:asciiTheme="minorHAnsi" w:hAnsiTheme="minorHAnsi"/>
          </w:rPr>
          <w:tab/>
        </w:r>
        <w:r w:rsidR="001512C6" w:rsidRPr="00BC6949">
          <w:rPr>
            <w:rStyle w:val="Hyperlink"/>
          </w:rPr>
          <w:t>Geographic Categories</w:t>
        </w:r>
        <w:r w:rsidR="001512C6">
          <w:rPr>
            <w:webHidden/>
          </w:rPr>
          <w:tab/>
        </w:r>
        <w:r w:rsidR="001512C6">
          <w:rPr>
            <w:webHidden/>
          </w:rPr>
          <w:fldChar w:fldCharType="begin"/>
        </w:r>
        <w:r w:rsidR="001512C6">
          <w:rPr>
            <w:webHidden/>
          </w:rPr>
          <w:instrText xml:space="preserve"> PAGEREF _Toc482973563 \h </w:instrText>
        </w:r>
        <w:r w:rsidR="001512C6">
          <w:rPr>
            <w:webHidden/>
          </w:rPr>
        </w:r>
        <w:r w:rsidR="001512C6">
          <w:rPr>
            <w:webHidden/>
          </w:rPr>
          <w:fldChar w:fldCharType="separate"/>
        </w:r>
        <w:r w:rsidR="00E764A8">
          <w:rPr>
            <w:webHidden/>
          </w:rPr>
          <w:t>34</w:t>
        </w:r>
        <w:r w:rsidR="001512C6">
          <w:rPr>
            <w:webHidden/>
          </w:rPr>
          <w:fldChar w:fldCharType="end"/>
        </w:r>
      </w:hyperlink>
    </w:p>
    <w:p w14:paraId="7A55B4D1" w14:textId="77777777" w:rsidR="001512C6" w:rsidRDefault="00923641">
      <w:pPr>
        <w:pStyle w:val="TOC3"/>
        <w:rPr>
          <w:rFonts w:asciiTheme="minorHAnsi" w:hAnsiTheme="minorHAnsi"/>
        </w:rPr>
      </w:pPr>
      <w:hyperlink w:anchor="_Toc482973564" w:history="1">
        <w:r w:rsidR="001512C6" w:rsidRPr="00BC6949">
          <w:rPr>
            <w:rStyle w:val="Hyperlink"/>
          </w:rPr>
          <w:t>5.1.3.</w:t>
        </w:r>
        <w:r w:rsidR="001512C6">
          <w:rPr>
            <w:rFonts w:asciiTheme="minorHAnsi" w:hAnsiTheme="minorHAnsi"/>
          </w:rPr>
          <w:tab/>
        </w:r>
        <w:r w:rsidR="001512C6" w:rsidRPr="00BC6949">
          <w:rPr>
            <w:rStyle w:val="Hyperlink"/>
          </w:rPr>
          <w:t>Parameters Extracted from MOVES</w:t>
        </w:r>
        <w:r w:rsidR="001512C6">
          <w:rPr>
            <w:webHidden/>
          </w:rPr>
          <w:tab/>
        </w:r>
        <w:r w:rsidR="001512C6">
          <w:rPr>
            <w:webHidden/>
          </w:rPr>
          <w:fldChar w:fldCharType="begin"/>
        </w:r>
        <w:r w:rsidR="001512C6">
          <w:rPr>
            <w:webHidden/>
          </w:rPr>
          <w:instrText xml:space="preserve"> PAGEREF _Toc482973564 \h </w:instrText>
        </w:r>
        <w:r w:rsidR="001512C6">
          <w:rPr>
            <w:webHidden/>
          </w:rPr>
        </w:r>
        <w:r w:rsidR="001512C6">
          <w:rPr>
            <w:webHidden/>
          </w:rPr>
          <w:fldChar w:fldCharType="separate"/>
        </w:r>
        <w:r w:rsidR="00E764A8">
          <w:rPr>
            <w:webHidden/>
          </w:rPr>
          <w:t>40</w:t>
        </w:r>
        <w:r w:rsidR="001512C6">
          <w:rPr>
            <w:webHidden/>
          </w:rPr>
          <w:fldChar w:fldCharType="end"/>
        </w:r>
      </w:hyperlink>
    </w:p>
    <w:p w14:paraId="4506AE43" w14:textId="77777777" w:rsidR="001512C6" w:rsidRDefault="00923641">
      <w:pPr>
        <w:pStyle w:val="TOC2"/>
        <w:rPr>
          <w:rFonts w:asciiTheme="minorHAnsi" w:eastAsiaTheme="minorEastAsia" w:hAnsiTheme="minorHAnsi" w:cstheme="minorBidi"/>
        </w:rPr>
      </w:pPr>
      <w:hyperlink w:anchor="_Toc482973565" w:history="1">
        <w:r w:rsidR="001512C6" w:rsidRPr="00BC6949">
          <w:rPr>
            <w:rStyle w:val="Hyperlink"/>
          </w:rPr>
          <w:t>5.2.</w:t>
        </w:r>
        <w:r w:rsidR="001512C6">
          <w:rPr>
            <w:rFonts w:asciiTheme="minorHAnsi" w:eastAsiaTheme="minorEastAsia" w:hAnsiTheme="minorHAnsi" w:cstheme="minorBidi"/>
          </w:rPr>
          <w:tab/>
        </w:r>
        <w:r w:rsidR="001512C6" w:rsidRPr="00BC6949">
          <w:rPr>
            <w:rStyle w:val="Hyperlink"/>
          </w:rPr>
          <w:t>Relative Reduction Factors</w:t>
        </w:r>
        <w:r w:rsidR="001512C6">
          <w:rPr>
            <w:webHidden/>
          </w:rPr>
          <w:tab/>
        </w:r>
        <w:r w:rsidR="001512C6">
          <w:rPr>
            <w:webHidden/>
          </w:rPr>
          <w:fldChar w:fldCharType="begin"/>
        </w:r>
        <w:r w:rsidR="001512C6">
          <w:rPr>
            <w:webHidden/>
          </w:rPr>
          <w:instrText xml:space="preserve"> PAGEREF _Toc482973565 \h </w:instrText>
        </w:r>
        <w:r w:rsidR="001512C6">
          <w:rPr>
            <w:webHidden/>
          </w:rPr>
        </w:r>
        <w:r w:rsidR="001512C6">
          <w:rPr>
            <w:webHidden/>
          </w:rPr>
          <w:fldChar w:fldCharType="separate"/>
        </w:r>
        <w:r w:rsidR="00E764A8">
          <w:rPr>
            <w:webHidden/>
          </w:rPr>
          <w:t>43</w:t>
        </w:r>
        <w:r w:rsidR="001512C6">
          <w:rPr>
            <w:webHidden/>
          </w:rPr>
          <w:fldChar w:fldCharType="end"/>
        </w:r>
      </w:hyperlink>
    </w:p>
    <w:p w14:paraId="2C580F64" w14:textId="77777777" w:rsidR="001512C6" w:rsidRDefault="00923641">
      <w:pPr>
        <w:pStyle w:val="TOC2"/>
        <w:rPr>
          <w:rFonts w:asciiTheme="minorHAnsi" w:eastAsiaTheme="minorEastAsia" w:hAnsiTheme="minorHAnsi" w:cstheme="minorBidi"/>
        </w:rPr>
      </w:pPr>
      <w:hyperlink w:anchor="_Toc482973566" w:history="1">
        <w:r w:rsidR="001512C6" w:rsidRPr="00BC6949">
          <w:rPr>
            <w:rStyle w:val="Hyperlink"/>
          </w:rPr>
          <w:t>5.3.</w:t>
        </w:r>
        <w:r w:rsidR="001512C6">
          <w:rPr>
            <w:rFonts w:asciiTheme="minorHAnsi" w:eastAsiaTheme="minorEastAsia" w:hAnsiTheme="minorHAnsi" w:cstheme="minorBidi"/>
          </w:rPr>
          <w:tab/>
        </w:r>
        <w:r w:rsidR="001512C6" w:rsidRPr="00BC6949">
          <w:rPr>
            <w:rStyle w:val="Hyperlink"/>
          </w:rPr>
          <w:t>Cost Estimates</w:t>
        </w:r>
        <w:r w:rsidR="001512C6">
          <w:rPr>
            <w:webHidden/>
          </w:rPr>
          <w:tab/>
        </w:r>
        <w:r w:rsidR="001512C6">
          <w:rPr>
            <w:webHidden/>
          </w:rPr>
          <w:fldChar w:fldCharType="begin"/>
        </w:r>
        <w:r w:rsidR="001512C6">
          <w:rPr>
            <w:webHidden/>
          </w:rPr>
          <w:instrText xml:space="preserve"> PAGEREF _Toc482973566 \h </w:instrText>
        </w:r>
        <w:r w:rsidR="001512C6">
          <w:rPr>
            <w:webHidden/>
          </w:rPr>
        </w:r>
        <w:r w:rsidR="001512C6">
          <w:rPr>
            <w:webHidden/>
          </w:rPr>
          <w:fldChar w:fldCharType="separate"/>
        </w:r>
        <w:r w:rsidR="00E764A8">
          <w:rPr>
            <w:webHidden/>
          </w:rPr>
          <w:t>47</w:t>
        </w:r>
        <w:r w:rsidR="001512C6">
          <w:rPr>
            <w:webHidden/>
          </w:rPr>
          <w:fldChar w:fldCharType="end"/>
        </w:r>
      </w:hyperlink>
    </w:p>
    <w:p w14:paraId="49533B01" w14:textId="77777777" w:rsidR="001512C6" w:rsidRDefault="00923641">
      <w:pPr>
        <w:pStyle w:val="TOC2"/>
        <w:rPr>
          <w:rFonts w:asciiTheme="minorHAnsi" w:eastAsiaTheme="minorEastAsia" w:hAnsiTheme="minorHAnsi" w:cstheme="minorBidi"/>
        </w:rPr>
      </w:pPr>
      <w:hyperlink w:anchor="_Toc482973567" w:history="1">
        <w:r w:rsidR="001512C6" w:rsidRPr="00BC6949">
          <w:rPr>
            <w:rStyle w:val="Hyperlink"/>
          </w:rPr>
          <w:t>5.4.</w:t>
        </w:r>
        <w:r w:rsidR="001512C6">
          <w:rPr>
            <w:rFonts w:asciiTheme="minorHAnsi" w:eastAsiaTheme="minorEastAsia" w:hAnsiTheme="minorHAnsi" w:cstheme="minorBidi"/>
          </w:rPr>
          <w:tab/>
        </w:r>
        <w:r w:rsidR="001512C6" w:rsidRPr="00BC6949">
          <w:rPr>
            <w:rStyle w:val="Hyperlink"/>
          </w:rPr>
          <w:t>Useful Lifetime</w:t>
        </w:r>
        <w:r w:rsidR="001512C6">
          <w:rPr>
            <w:webHidden/>
          </w:rPr>
          <w:tab/>
        </w:r>
        <w:r w:rsidR="001512C6">
          <w:rPr>
            <w:webHidden/>
          </w:rPr>
          <w:fldChar w:fldCharType="begin"/>
        </w:r>
        <w:r w:rsidR="001512C6">
          <w:rPr>
            <w:webHidden/>
          </w:rPr>
          <w:instrText xml:space="preserve"> PAGEREF _Toc482973567 \h </w:instrText>
        </w:r>
        <w:r w:rsidR="001512C6">
          <w:rPr>
            <w:webHidden/>
          </w:rPr>
        </w:r>
        <w:r w:rsidR="001512C6">
          <w:rPr>
            <w:webHidden/>
          </w:rPr>
          <w:fldChar w:fldCharType="separate"/>
        </w:r>
        <w:r w:rsidR="00E764A8">
          <w:rPr>
            <w:webHidden/>
          </w:rPr>
          <w:t>51</w:t>
        </w:r>
        <w:r w:rsidR="001512C6">
          <w:rPr>
            <w:webHidden/>
          </w:rPr>
          <w:fldChar w:fldCharType="end"/>
        </w:r>
      </w:hyperlink>
    </w:p>
    <w:p w14:paraId="190B80BD" w14:textId="77777777" w:rsidR="001512C6" w:rsidRDefault="00923641">
      <w:pPr>
        <w:pStyle w:val="TOC1"/>
        <w:rPr>
          <w:rFonts w:asciiTheme="minorHAnsi" w:eastAsiaTheme="minorEastAsia" w:hAnsiTheme="minorHAnsi" w:cstheme="minorBidi"/>
          <w:b w:val="0"/>
        </w:rPr>
      </w:pPr>
      <w:hyperlink w:anchor="_Toc482973568" w:history="1">
        <w:r w:rsidR="001512C6" w:rsidRPr="00BC6949">
          <w:rPr>
            <w:rStyle w:val="Hyperlink"/>
          </w:rPr>
          <w:t>6.</w:t>
        </w:r>
        <w:r w:rsidR="001512C6">
          <w:rPr>
            <w:rFonts w:asciiTheme="minorHAnsi" w:eastAsiaTheme="minorEastAsia" w:hAnsiTheme="minorHAnsi" w:cstheme="minorBidi"/>
            <w:b w:val="0"/>
          </w:rPr>
          <w:tab/>
        </w:r>
        <w:r w:rsidR="001512C6" w:rsidRPr="00BC6949">
          <w:rPr>
            <w:rStyle w:val="Hyperlink"/>
          </w:rPr>
          <w:t>Examples</w:t>
        </w:r>
        <w:r w:rsidR="001512C6">
          <w:rPr>
            <w:webHidden/>
          </w:rPr>
          <w:tab/>
        </w:r>
        <w:r w:rsidR="001512C6">
          <w:rPr>
            <w:webHidden/>
          </w:rPr>
          <w:fldChar w:fldCharType="begin"/>
        </w:r>
        <w:r w:rsidR="001512C6">
          <w:rPr>
            <w:webHidden/>
          </w:rPr>
          <w:instrText xml:space="preserve"> PAGEREF _Toc482973568 \h </w:instrText>
        </w:r>
        <w:r w:rsidR="001512C6">
          <w:rPr>
            <w:webHidden/>
          </w:rPr>
        </w:r>
        <w:r w:rsidR="001512C6">
          <w:rPr>
            <w:webHidden/>
          </w:rPr>
          <w:fldChar w:fldCharType="separate"/>
        </w:r>
        <w:r w:rsidR="00E764A8">
          <w:rPr>
            <w:webHidden/>
          </w:rPr>
          <w:t>52</w:t>
        </w:r>
        <w:r w:rsidR="001512C6">
          <w:rPr>
            <w:webHidden/>
          </w:rPr>
          <w:fldChar w:fldCharType="end"/>
        </w:r>
      </w:hyperlink>
    </w:p>
    <w:p w14:paraId="6956914C" w14:textId="77777777" w:rsidR="001512C6" w:rsidRDefault="00923641">
      <w:pPr>
        <w:pStyle w:val="TOC2"/>
        <w:rPr>
          <w:rFonts w:asciiTheme="minorHAnsi" w:eastAsiaTheme="minorEastAsia" w:hAnsiTheme="minorHAnsi" w:cstheme="minorBidi"/>
        </w:rPr>
      </w:pPr>
      <w:hyperlink w:anchor="_Toc482973569" w:history="1">
        <w:r w:rsidR="001512C6" w:rsidRPr="00BC6949">
          <w:rPr>
            <w:rStyle w:val="Hyperlink"/>
          </w:rPr>
          <w:t>6.1.</w:t>
        </w:r>
        <w:r w:rsidR="001512C6">
          <w:rPr>
            <w:rFonts w:asciiTheme="minorHAnsi" w:eastAsiaTheme="minorEastAsia" w:hAnsiTheme="minorHAnsi" w:cstheme="minorBidi"/>
          </w:rPr>
          <w:tab/>
        </w:r>
        <w:r w:rsidR="001512C6" w:rsidRPr="00BC6949">
          <w:rPr>
            <w:rStyle w:val="Hyperlink"/>
          </w:rPr>
          <w:t>MPO Case Study</w:t>
        </w:r>
        <w:r w:rsidR="001512C6">
          <w:rPr>
            <w:webHidden/>
          </w:rPr>
          <w:tab/>
        </w:r>
        <w:r w:rsidR="001512C6">
          <w:rPr>
            <w:webHidden/>
          </w:rPr>
          <w:fldChar w:fldCharType="begin"/>
        </w:r>
        <w:r w:rsidR="001512C6">
          <w:rPr>
            <w:webHidden/>
          </w:rPr>
          <w:instrText xml:space="preserve"> PAGEREF _Toc482973569 \h </w:instrText>
        </w:r>
        <w:r w:rsidR="001512C6">
          <w:rPr>
            <w:webHidden/>
          </w:rPr>
        </w:r>
        <w:r w:rsidR="001512C6">
          <w:rPr>
            <w:webHidden/>
          </w:rPr>
          <w:fldChar w:fldCharType="separate"/>
        </w:r>
        <w:r w:rsidR="00E764A8">
          <w:rPr>
            <w:webHidden/>
          </w:rPr>
          <w:t>54</w:t>
        </w:r>
        <w:r w:rsidR="001512C6">
          <w:rPr>
            <w:webHidden/>
          </w:rPr>
          <w:fldChar w:fldCharType="end"/>
        </w:r>
      </w:hyperlink>
    </w:p>
    <w:p w14:paraId="39110B1E" w14:textId="77777777" w:rsidR="001512C6" w:rsidRDefault="00923641">
      <w:pPr>
        <w:pStyle w:val="TOC3"/>
        <w:rPr>
          <w:rFonts w:asciiTheme="minorHAnsi" w:hAnsiTheme="minorHAnsi"/>
        </w:rPr>
      </w:pPr>
      <w:hyperlink w:anchor="_Toc482973570" w:history="1">
        <w:r w:rsidR="001512C6" w:rsidRPr="00BC6949">
          <w:rPr>
            <w:rStyle w:val="Hyperlink"/>
          </w:rPr>
          <w:t>6.1.1.</w:t>
        </w:r>
        <w:r w:rsidR="001512C6">
          <w:rPr>
            <w:rFonts w:asciiTheme="minorHAnsi" w:hAnsiTheme="minorHAnsi"/>
          </w:rPr>
          <w:tab/>
        </w:r>
        <w:r w:rsidR="001512C6" w:rsidRPr="00BC6949">
          <w:rPr>
            <w:rStyle w:val="Hyperlink"/>
          </w:rPr>
          <w:t>Truck Deployment Analysis – Alternative Fuels</w:t>
        </w:r>
        <w:r w:rsidR="001512C6">
          <w:rPr>
            <w:webHidden/>
          </w:rPr>
          <w:tab/>
        </w:r>
        <w:r w:rsidR="001512C6">
          <w:rPr>
            <w:webHidden/>
          </w:rPr>
          <w:fldChar w:fldCharType="begin"/>
        </w:r>
        <w:r w:rsidR="001512C6">
          <w:rPr>
            <w:webHidden/>
          </w:rPr>
          <w:instrText xml:space="preserve"> PAGEREF _Toc482973570 \h </w:instrText>
        </w:r>
        <w:r w:rsidR="001512C6">
          <w:rPr>
            <w:webHidden/>
          </w:rPr>
        </w:r>
        <w:r w:rsidR="001512C6">
          <w:rPr>
            <w:webHidden/>
          </w:rPr>
          <w:fldChar w:fldCharType="separate"/>
        </w:r>
        <w:r w:rsidR="00E764A8">
          <w:rPr>
            <w:webHidden/>
          </w:rPr>
          <w:t>54</w:t>
        </w:r>
        <w:r w:rsidR="001512C6">
          <w:rPr>
            <w:webHidden/>
          </w:rPr>
          <w:fldChar w:fldCharType="end"/>
        </w:r>
      </w:hyperlink>
    </w:p>
    <w:p w14:paraId="5DE45710" w14:textId="77777777" w:rsidR="001512C6" w:rsidRDefault="00923641">
      <w:pPr>
        <w:pStyle w:val="TOC3"/>
        <w:rPr>
          <w:rFonts w:asciiTheme="minorHAnsi" w:hAnsiTheme="minorHAnsi"/>
        </w:rPr>
      </w:pPr>
      <w:hyperlink w:anchor="_Toc482973571" w:history="1">
        <w:r w:rsidR="001512C6" w:rsidRPr="00BC6949">
          <w:rPr>
            <w:rStyle w:val="Hyperlink"/>
          </w:rPr>
          <w:t>6.1.2.</w:t>
        </w:r>
        <w:r w:rsidR="001512C6">
          <w:rPr>
            <w:rFonts w:asciiTheme="minorHAnsi" w:hAnsiTheme="minorHAnsi"/>
          </w:rPr>
          <w:tab/>
        </w:r>
        <w:r w:rsidR="001512C6" w:rsidRPr="00BC6949">
          <w:rPr>
            <w:rStyle w:val="Hyperlink"/>
          </w:rPr>
          <w:t>Truck Deployment Analysis – Accelerated Retirement</w:t>
        </w:r>
        <w:r w:rsidR="001512C6">
          <w:rPr>
            <w:webHidden/>
          </w:rPr>
          <w:tab/>
        </w:r>
        <w:r w:rsidR="001512C6">
          <w:rPr>
            <w:webHidden/>
          </w:rPr>
          <w:fldChar w:fldCharType="begin"/>
        </w:r>
        <w:r w:rsidR="001512C6">
          <w:rPr>
            <w:webHidden/>
          </w:rPr>
          <w:instrText xml:space="preserve"> PAGEREF _Toc482973571 \h </w:instrText>
        </w:r>
        <w:r w:rsidR="001512C6">
          <w:rPr>
            <w:webHidden/>
          </w:rPr>
        </w:r>
        <w:r w:rsidR="001512C6">
          <w:rPr>
            <w:webHidden/>
          </w:rPr>
          <w:fldChar w:fldCharType="separate"/>
        </w:r>
        <w:r w:rsidR="00E764A8">
          <w:rPr>
            <w:webHidden/>
          </w:rPr>
          <w:t>56</w:t>
        </w:r>
        <w:r w:rsidR="001512C6">
          <w:rPr>
            <w:webHidden/>
          </w:rPr>
          <w:fldChar w:fldCharType="end"/>
        </w:r>
      </w:hyperlink>
    </w:p>
    <w:p w14:paraId="1BECE080" w14:textId="77777777" w:rsidR="001512C6" w:rsidRDefault="00923641">
      <w:pPr>
        <w:pStyle w:val="TOC3"/>
        <w:rPr>
          <w:rFonts w:asciiTheme="minorHAnsi" w:hAnsiTheme="minorHAnsi"/>
        </w:rPr>
      </w:pPr>
      <w:hyperlink w:anchor="_Toc482973572" w:history="1">
        <w:r w:rsidR="001512C6" w:rsidRPr="00BC6949">
          <w:rPr>
            <w:rStyle w:val="Hyperlink"/>
          </w:rPr>
          <w:t>6.1.3.</w:t>
        </w:r>
        <w:r w:rsidR="001512C6">
          <w:rPr>
            <w:rFonts w:asciiTheme="minorHAnsi" w:hAnsiTheme="minorHAnsi"/>
          </w:rPr>
          <w:tab/>
        </w:r>
        <w:r w:rsidR="001512C6" w:rsidRPr="00BC6949">
          <w:rPr>
            <w:rStyle w:val="Hyperlink"/>
          </w:rPr>
          <w:t>Funding Impact Analysis</w:t>
        </w:r>
        <w:r w:rsidR="001512C6">
          <w:rPr>
            <w:webHidden/>
          </w:rPr>
          <w:tab/>
        </w:r>
        <w:r w:rsidR="001512C6">
          <w:rPr>
            <w:webHidden/>
          </w:rPr>
          <w:fldChar w:fldCharType="begin"/>
        </w:r>
        <w:r w:rsidR="001512C6">
          <w:rPr>
            <w:webHidden/>
          </w:rPr>
          <w:instrText xml:space="preserve"> PAGEREF _Toc482973572 \h </w:instrText>
        </w:r>
        <w:r w:rsidR="001512C6">
          <w:rPr>
            <w:webHidden/>
          </w:rPr>
        </w:r>
        <w:r w:rsidR="001512C6">
          <w:rPr>
            <w:webHidden/>
          </w:rPr>
          <w:fldChar w:fldCharType="separate"/>
        </w:r>
        <w:r w:rsidR="00E764A8">
          <w:rPr>
            <w:webHidden/>
          </w:rPr>
          <w:t>58</w:t>
        </w:r>
        <w:r w:rsidR="001512C6">
          <w:rPr>
            <w:webHidden/>
          </w:rPr>
          <w:fldChar w:fldCharType="end"/>
        </w:r>
      </w:hyperlink>
    </w:p>
    <w:p w14:paraId="696D4040" w14:textId="77777777" w:rsidR="001512C6" w:rsidRDefault="00923641">
      <w:pPr>
        <w:pStyle w:val="TOC3"/>
        <w:rPr>
          <w:rFonts w:asciiTheme="minorHAnsi" w:hAnsiTheme="minorHAnsi"/>
        </w:rPr>
      </w:pPr>
      <w:hyperlink w:anchor="_Toc482973573" w:history="1">
        <w:r w:rsidR="001512C6" w:rsidRPr="00BC6949">
          <w:rPr>
            <w:rStyle w:val="Hyperlink"/>
          </w:rPr>
          <w:t>6.1.4.</w:t>
        </w:r>
        <w:r w:rsidR="001512C6">
          <w:rPr>
            <w:rFonts w:asciiTheme="minorHAnsi" w:hAnsiTheme="minorHAnsi"/>
          </w:rPr>
          <w:tab/>
        </w:r>
        <w:r w:rsidR="001512C6" w:rsidRPr="00BC6949">
          <w:rPr>
            <w:rStyle w:val="Hyperlink"/>
          </w:rPr>
          <w:t>Incentive Analysis</w:t>
        </w:r>
        <w:r w:rsidR="001512C6">
          <w:rPr>
            <w:webHidden/>
          </w:rPr>
          <w:tab/>
        </w:r>
        <w:r w:rsidR="001512C6">
          <w:rPr>
            <w:webHidden/>
          </w:rPr>
          <w:fldChar w:fldCharType="begin"/>
        </w:r>
        <w:r w:rsidR="001512C6">
          <w:rPr>
            <w:webHidden/>
          </w:rPr>
          <w:instrText xml:space="preserve"> PAGEREF _Toc482973573 \h </w:instrText>
        </w:r>
        <w:r w:rsidR="001512C6">
          <w:rPr>
            <w:webHidden/>
          </w:rPr>
        </w:r>
        <w:r w:rsidR="001512C6">
          <w:rPr>
            <w:webHidden/>
          </w:rPr>
          <w:fldChar w:fldCharType="separate"/>
        </w:r>
        <w:r w:rsidR="00E764A8">
          <w:rPr>
            <w:webHidden/>
          </w:rPr>
          <w:t>60</w:t>
        </w:r>
        <w:r w:rsidR="001512C6">
          <w:rPr>
            <w:webHidden/>
          </w:rPr>
          <w:fldChar w:fldCharType="end"/>
        </w:r>
      </w:hyperlink>
    </w:p>
    <w:p w14:paraId="1F46C878" w14:textId="77777777" w:rsidR="001512C6" w:rsidRDefault="00923641">
      <w:pPr>
        <w:pStyle w:val="TOC2"/>
        <w:rPr>
          <w:rFonts w:asciiTheme="minorHAnsi" w:eastAsiaTheme="minorEastAsia" w:hAnsiTheme="minorHAnsi" w:cstheme="minorBidi"/>
        </w:rPr>
      </w:pPr>
      <w:hyperlink w:anchor="_Toc482973574" w:history="1">
        <w:r w:rsidR="001512C6" w:rsidRPr="00BC6949">
          <w:rPr>
            <w:rStyle w:val="Hyperlink"/>
          </w:rPr>
          <w:t>6.2.</w:t>
        </w:r>
        <w:r w:rsidR="001512C6">
          <w:rPr>
            <w:rFonts w:asciiTheme="minorHAnsi" w:eastAsiaTheme="minorEastAsia" w:hAnsiTheme="minorHAnsi" w:cstheme="minorBidi"/>
          </w:rPr>
          <w:tab/>
        </w:r>
        <w:r w:rsidR="001512C6" w:rsidRPr="00BC6949">
          <w:rPr>
            <w:rStyle w:val="Hyperlink"/>
          </w:rPr>
          <w:t>State DOT Case Study</w:t>
        </w:r>
        <w:r w:rsidR="001512C6">
          <w:rPr>
            <w:webHidden/>
          </w:rPr>
          <w:tab/>
        </w:r>
        <w:r w:rsidR="001512C6">
          <w:rPr>
            <w:webHidden/>
          </w:rPr>
          <w:fldChar w:fldCharType="begin"/>
        </w:r>
        <w:r w:rsidR="001512C6">
          <w:rPr>
            <w:webHidden/>
          </w:rPr>
          <w:instrText xml:space="preserve"> PAGEREF _Toc482973574 \h </w:instrText>
        </w:r>
        <w:r w:rsidR="001512C6">
          <w:rPr>
            <w:webHidden/>
          </w:rPr>
        </w:r>
        <w:r w:rsidR="001512C6">
          <w:rPr>
            <w:webHidden/>
          </w:rPr>
          <w:fldChar w:fldCharType="separate"/>
        </w:r>
        <w:r w:rsidR="00E764A8">
          <w:rPr>
            <w:webHidden/>
          </w:rPr>
          <w:t>62</w:t>
        </w:r>
        <w:r w:rsidR="001512C6">
          <w:rPr>
            <w:webHidden/>
          </w:rPr>
          <w:fldChar w:fldCharType="end"/>
        </w:r>
      </w:hyperlink>
    </w:p>
    <w:p w14:paraId="798568AD" w14:textId="77777777" w:rsidR="001512C6" w:rsidRDefault="00923641">
      <w:pPr>
        <w:pStyle w:val="TOC3"/>
        <w:rPr>
          <w:rFonts w:asciiTheme="minorHAnsi" w:hAnsiTheme="minorHAnsi"/>
        </w:rPr>
      </w:pPr>
      <w:hyperlink w:anchor="_Toc482973575" w:history="1">
        <w:r w:rsidR="001512C6" w:rsidRPr="00BC6949">
          <w:rPr>
            <w:rStyle w:val="Hyperlink"/>
          </w:rPr>
          <w:t>6.2.1.</w:t>
        </w:r>
        <w:r w:rsidR="001512C6">
          <w:rPr>
            <w:rFonts w:asciiTheme="minorHAnsi" w:hAnsiTheme="minorHAnsi"/>
          </w:rPr>
          <w:tab/>
        </w:r>
        <w:r w:rsidR="001512C6" w:rsidRPr="00BC6949">
          <w:rPr>
            <w:rStyle w:val="Hyperlink"/>
          </w:rPr>
          <w:t>Incentive Analysis – Idle Reduction</w:t>
        </w:r>
        <w:r w:rsidR="001512C6">
          <w:rPr>
            <w:webHidden/>
          </w:rPr>
          <w:tab/>
        </w:r>
        <w:r w:rsidR="001512C6">
          <w:rPr>
            <w:webHidden/>
          </w:rPr>
          <w:fldChar w:fldCharType="begin"/>
        </w:r>
        <w:r w:rsidR="001512C6">
          <w:rPr>
            <w:webHidden/>
          </w:rPr>
          <w:instrText xml:space="preserve"> PAGEREF _Toc482973575 \h </w:instrText>
        </w:r>
        <w:r w:rsidR="001512C6">
          <w:rPr>
            <w:webHidden/>
          </w:rPr>
        </w:r>
        <w:r w:rsidR="001512C6">
          <w:rPr>
            <w:webHidden/>
          </w:rPr>
          <w:fldChar w:fldCharType="separate"/>
        </w:r>
        <w:r w:rsidR="00E764A8">
          <w:rPr>
            <w:webHidden/>
          </w:rPr>
          <w:t>62</w:t>
        </w:r>
        <w:r w:rsidR="001512C6">
          <w:rPr>
            <w:webHidden/>
          </w:rPr>
          <w:fldChar w:fldCharType="end"/>
        </w:r>
      </w:hyperlink>
    </w:p>
    <w:p w14:paraId="0E0DA0D3" w14:textId="77777777" w:rsidR="001512C6" w:rsidRDefault="00923641">
      <w:pPr>
        <w:pStyle w:val="TOC3"/>
        <w:rPr>
          <w:rFonts w:asciiTheme="minorHAnsi" w:hAnsiTheme="minorHAnsi"/>
        </w:rPr>
      </w:pPr>
      <w:hyperlink w:anchor="_Toc482973576" w:history="1">
        <w:r w:rsidR="001512C6" w:rsidRPr="00BC6949">
          <w:rPr>
            <w:rStyle w:val="Hyperlink"/>
          </w:rPr>
          <w:t>6.2.2.</w:t>
        </w:r>
        <w:r w:rsidR="001512C6">
          <w:rPr>
            <w:rFonts w:asciiTheme="minorHAnsi" w:hAnsiTheme="minorHAnsi"/>
          </w:rPr>
          <w:tab/>
        </w:r>
        <w:r w:rsidR="001512C6" w:rsidRPr="00BC6949">
          <w:rPr>
            <w:rStyle w:val="Hyperlink"/>
          </w:rPr>
          <w:t>Truck Deployment Analysis – Alternative Fuels</w:t>
        </w:r>
        <w:r w:rsidR="001512C6">
          <w:rPr>
            <w:webHidden/>
          </w:rPr>
          <w:tab/>
        </w:r>
        <w:r w:rsidR="001512C6">
          <w:rPr>
            <w:webHidden/>
          </w:rPr>
          <w:fldChar w:fldCharType="begin"/>
        </w:r>
        <w:r w:rsidR="001512C6">
          <w:rPr>
            <w:webHidden/>
          </w:rPr>
          <w:instrText xml:space="preserve"> PAGEREF _Toc482973576 \h </w:instrText>
        </w:r>
        <w:r w:rsidR="001512C6">
          <w:rPr>
            <w:webHidden/>
          </w:rPr>
        </w:r>
        <w:r w:rsidR="001512C6">
          <w:rPr>
            <w:webHidden/>
          </w:rPr>
          <w:fldChar w:fldCharType="separate"/>
        </w:r>
        <w:r w:rsidR="00E764A8">
          <w:rPr>
            <w:webHidden/>
          </w:rPr>
          <w:t>65</w:t>
        </w:r>
        <w:r w:rsidR="001512C6">
          <w:rPr>
            <w:webHidden/>
          </w:rPr>
          <w:fldChar w:fldCharType="end"/>
        </w:r>
      </w:hyperlink>
    </w:p>
    <w:p w14:paraId="3BDF6863" w14:textId="77777777" w:rsidR="001512C6" w:rsidRDefault="00923641">
      <w:pPr>
        <w:pStyle w:val="TOC3"/>
        <w:rPr>
          <w:rFonts w:asciiTheme="minorHAnsi" w:hAnsiTheme="minorHAnsi"/>
        </w:rPr>
      </w:pPr>
      <w:hyperlink w:anchor="_Toc482973577" w:history="1">
        <w:r w:rsidR="001512C6" w:rsidRPr="00BC6949">
          <w:rPr>
            <w:rStyle w:val="Hyperlink"/>
          </w:rPr>
          <w:t>6.2.3.</w:t>
        </w:r>
        <w:r w:rsidR="001512C6">
          <w:rPr>
            <w:rFonts w:asciiTheme="minorHAnsi" w:hAnsiTheme="minorHAnsi"/>
          </w:rPr>
          <w:tab/>
        </w:r>
        <w:r w:rsidR="001512C6" w:rsidRPr="00BC6949">
          <w:rPr>
            <w:rStyle w:val="Hyperlink"/>
          </w:rPr>
          <w:t>Funding Impact Analysis</w:t>
        </w:r>
        <w:r w:rsidR="001512C6">
          <w:rPr>
            <w:webHidden/>
          </w:rPr>
          <w:tab/>
        </w:r>
        <w:r w:rsidR="001512C6">
          <w:rPr>
            <w:webHidden/>
          </w:rPr>
          <w:fldChar w:fldCharType="begin"/>
        </w:r>
        <w:r w:rsidR="001512C6">
          <w:rPr>
            <w:webHidden/>
          </w:rPr>
          <w:instrText xml:space="preserve"> PAGEREF _Toc482973577 \h </w:instrText>
        </w:r>
        <w:r w:rsidR="001512C6">
          <w:rPr>
            <w:webHidden/>
          </w:rPr>
        </w:r>
        <w:r w:rsidR="001512C6">
          <w:rPr>
            <w:webHidden/>
          </w:rPr>
          <w:fldChar w:fldCharType="separate"/>
        </w:r>
        <w:r w:rsidR="00E764A8">
          <w:rPr>
            <w:webHidden/>
          </w:rPr>
          <w:t>68</w:t>
        </w:r>
        <w:r w:rsidR="001512C6">
          <w:rPr>
            <w:webHidden/>
          </w:rPr>
          <w:fldChar w:fldCharType="end"/>
        </w:r>
      </w:hyperlink>
    </w:p>
    <w:p w14:paraId="04B47E7A" w14:textId="77777777" w:rsidR="001512C6" w:rsidRDefault="00923641">
      <w:pPr>
        <w:pStyle w:val="TOC2"/>
        <w:rPr>
          <w:rFonts w:asciiTheme="minorHAnsi" w:eastAsiaTheme="minorEastAsia" w:hAnsiTheme="minorHAnsi" w:cstheme="minorBidi"/>
        </w:rPr>
      </w:pPr>
      <w:hyperlink w:anchor="_Toc482973578" w:history="1">
        <w:r w:rsidR="001512C6" w:rsidRPr="00BC6949">
          <w:rPr>
            <w:rStyle w:val="Hyperlink"/>
          </w:rPr>
          <w:t>6.3.</w:t>
        </w:r>
        <w:r w:rsidR="001512C6">
          <w:rPr>
            <w:rFonts w:asciiTheme="minorHAnsi" w:eastAsiaTheme="minorEastAsia" w:hAnsiTheme="minorHAnsi" w:cstheme="minorBidi"/>
          </w:rPr>
          <w:tab/>
        </w:r>
        <w:r w:rsidR="001512C6" w:rsidRPr="00BC6949">
          <w:rPr>
            <w:rStyle w:val="Hyperlink"/>
          </w:rPr>
          <w:t>Port Operator Case Study</w:t>
        </w:r>
        <w:r w:rsidR="001512C6">
          <w:rPr>
            <w:webHidden/>
          </w:rPr>
          <w:tab/>
        </w:r>
        <w:r w:rsidR="001512C6">
          <w:rPr>
            <w:webHidden/>
          </w:rPr>
          <w:fldChar w:fldCharType="begin"/>
        </w:r>
        <w:r w:rsidR="001512C6">
          <w:rPr>
            <w:webHidden/>
          </w:rPr>
          <w:instrText xml:space="preserve"> PAGEREF _Toc482973578 \h </w:instrText>
        </w:r>
        <w:r w:rsidR="001512C6">
          <w:rPr>
            <w:webHidden/>
          </w:rPr>
        </w:r>
        <w:r w:rsidR="001512C6">
          <w:rPr>
            <w:webHidden/>
          </w:rPr>
          <w:fldChar w:fldCharType="separate"/>
        </w:r>
        <w:r w:rsidR="00E764A8">
          <w:rPr>
            <w:webHidden/>
          </w:rPr>
          <w:t>70</w:t>
        </w:r>
        <w:r w:rsidR="001512C6">
          <w:rPr>
            <w:webHidden/>
          </w:rPr>
          <w:fldChar w:fldCharType="end"/>
        </w:r>
      </w:hyperlink>
    </w:p>
    <w:p w14:paraId="1B64C000" w14:textId="77777777" w:rsidR="001512C6" w:rsidRDefault="00923641">
      <w:pPr>
        <w:pStyle w:val="TOC3"/>
        <w:rPr>
          <w:rFonts w:asciiTheme="minorHAnsi" w:hAnsiTheme="minorHAnsi"/>
        </w:rPr>
      </w:pPr>
      <w:hyperlink w:anchor="_Toc482973579" w:history="1">
        <w:r w:rsidR="001512C6" w:rsidRPr="00BC6949">
          <w:rPr>
            <w:rStyle w:val="Hyperlink"/>
          </w:rPr>
          <w:t>6.3.1.</w:t>
        </w:r>
        <w:r w:rsidR="001512C6">
          <w:rPr>
            <w:rFonts w:asciiTheme="minorHAnsi" w:hAnsiTheme="minorHAnsi"/>
          </w:rPr>
          <w:tab/>
        </w:r>
        <w:r w:rsidR="001512C6" w:rsidRPr="00BC6949">
          <w:rPr>
            <w:rStyle w:val="Hyperlink"/>
          </w:rPr>
          <w:t>Truck Deployment Analysis – Alternative Fuels</w:t>
        </w:r>
        <w:r w:rsidR="001512C6">
          <w:rPr>
            <w:webHidden/>
          </w:rPr>
          <w:tab/>
        </w:r>
        <w:r w:rsidR="001512C6">
          <w:rPr>
            <w:webHidden/>
          </w:rPr>
          <w:fldChar w:fldCharType="begin"/>
        </w:r>
        <w:r w:rsidR="001512C6">
          <w:rPr>
            <w:webHidden/>
          </w:rPr>
          <w:instrText xml:space="preserve"> PAGEREF _Toc482973579 \h </w:instrText>
        </w:r>
        <w:r w:rsidR="001512C6">
          <w:rPr>
            <w:webHidden/>
          </w:rPr>
        </w:r>
        <w:r w:rsidR="001512C6">
          <w:rPr>
            <w:webHidden/>
          </w:rPr>
          <w:fldChar w:fldCharType="separate"/>
        </w:r>
        <w:r w:rsidR="00E764A8">
          <w:rPr>
            <w:webHidden/>
          </w:rPr>
          <w:t>70</w:t>
        </w:r>
        <w:r w:rsidR="001512C6">
          <w:rPr>
            <w:webHidden/>
          </w:rPr>
          <w:fldChar w:fldCharType="end"/>
        </w:r>
      </w:hyperlink>
    </w:p>
    <w:p w14:paraId="032683E4" w14:textId="77777777" w:rsidR="001512C6" w:rsidRDefault="00923641">
      <w:pPr>
        <w:pStyle w:val="TOC3"/>
        <w:rPr>
          <w:rFonts w:asciiTheme="minorHAnsi" w:hAnsiTheme="minorHAnsi"/>
        </w:rPr>
      </w:pPr>
      <w:hyperlink w:anchor="_Toc482973580" w:history="1">
        <w:r w:rsidR="001512C6" w:rsidRPr="00BC6949">
          <w:rPr>
            <w:rStyle w:val="Hyperlink"/>
          </w:rPr>
          <w:t>6.3.2.</w:t>
        </w:r>
        <w:r w:rsidR="001512C6">
          <w:rPr>
            <w:rFonts w:asciiTheme="minorHAnsi" w:hAnsiTheme="minorHAnsi"/>
          </w:rPr>
          <w:tab/>
        </w:r>
        <w:r w:rsidR="001512C6" w:rsidRPr="00BC6949">
          <w:rPr>
            <w:rStyle w:val="Hyperlink"/>
          </w:rPr>
          <w:t>Truck Deployment Analysis – Accelerated Retirement</w:t>
        </w:r>
        <w:r w:rsidR="001512C6">
          <w:rPr>
            <w:webHidden/>
          </w:rPr>
          <w:tab/>
        </w:r>
        <w:r w:rsidR="001512C6">
          <w:rPr>
            <w:webHidden/>
          </w:rPr>
          <w:fldChar w:fldCharType="begin"/>
        </w:r>
        <w:r w:rsidR="001512C6">
          <w:rPr>
            <w:webHidden/>
          </w:rPr>
          <w:instrText xml:space="preserve"> PAGEREF _Toc482973580 \h </w:instrText>
        </w:r>
        <w:r w:rsidR="001512C6">
          <w:rPr>
            <w:webHidden/>
          </w:rPr>
        </w:r>
        <w:r w:rsidR="001512C6">
          <w:rPr>
            <w:webHidden/>
          </w:rPr>
          <w:fldChar w:fldCharType="separate"/>
        </w:r>
        <w:r w:rsidR="00E764A8">
          <w:rPr>
            <w:webHidden/>
          </w:rPr>
          <w:t>72</w:t>
        </w:r>
        <w:r w:rsidR="001512C6">
          <w:rPr>
            <w:webHidden/>
          </w:rPr>
          <w:fldChar w:fldCharType="end"/>
        </w:r>
      </w:hyperlink>
    </w:p>
    <w:p w14:paraId="2161AE3D" w14:textId="780E6317" w:rsidR="005817F0" w:rsidRDefault="00833B69" w:rsidP="0010295D">
      <w:pPr>
        <w:pStyle w:val="TOC3"/>
        <w:ind w:left="0" w:firstLine="0"/>
        <w:rPr>
          <w:b/>
          <w:color w:val="0067AB"/>
          <w:sz w:val="36"/>
          <w:szCs w:val="36"/>
        </w:rPr>
      </w:pPr>
      <w:r>
        <w:rPr>
          <w:rFonts w:eastAsia="Times New Roman" w:cs="Arial"/>
          <w:b/>
        </w:rPr>
        <w:lastRenderedPageBreak/>
        <w:fldChar w:fldCharType="end"/>
      </w:r>
      <w:bookmarkStart w:id="0" w:name="_Ref292950256"/>
      <w:r w:rsidR="00C43F06" w:rsidRPr="00C43F06">
        <w:rPr>
          <w:b/>
          <w:color w:val="0067AB"/>
          <w:sz w:val="36"/>
          <w:szCs w:val="36"/>
        </w:rPr>
        <w:t>Tables</w:t>
      </w:r>
    </w:p>
    <w:p w14:paraId="3B6620AB" w14:textId="77777777" w:rsidR="00C43F06" w:rsidRPr="00C43F06" w:rsidRDefault="00C43F06" w:rsidP="00C43F06"/>
    <w:p w14:paraId="5F5937EA" w14:textId="77777777" w:rsidR="001512C6" w:rsidRDefault="00833B69">
      <w:pPr>
        <w:pStyle w:val="TableofFigures"/>
        <w:rPr>
          <w:rFonts w:eastAsiaTheme="minorEastAsia" w:cstheme="minorBidi"/>
        </w:rPr>
      </w:pPr>
      <w:r>
        <w:fldChar w:fldCharType="begin"/>
      </w:r>
      <w:r w:rsidR="00C43F06">
        <w:instrText xml:space="preserve"> TOC \h \z \c "Table" </w:instrText>
      </w:r>
      <w:r>
        <w:fldChar w:fldCharType="separate"/>
      </w:r>
      <w:hyperlink w:anchor="_Toc482973581" w:history="1">
        <w:r w:rsidR="001512C6" w:rsidRPr="00FB767B">
          <w:rPr>
            <w:rStyle w:val="Hyperlink"/>
          </w:rPr>
          <w:t>Table 1. Analysis Types Used in the Tool</w:t>
        </w:r>
        <w:r w:rsidR="001512C6">
          <w:rPr>
            <w:webHidden/>
          </w:rPr>
          <w:tab/>
        </w:r>
        <w:r w:rsidR="001512C6">
          <w:rPr>
            <w:webHidden/>
          </w:rPr>
          <w:fldChar w:fldCharType="begin"/>
        </w:r>
        <w:r w:rsidR="001512C6">
          <w:rPr>
            <w:webHidden/>
          </w:rPr>
          <w:instrText xml:space="preserve"> PAGEREF _Toc482973581 \h </w:instrText>
        </w:r>
        <w:r w:rsidR="001512C6">
          <w:rPr>
            <w:webHidden/>
          </w:rPr>
        </w:r>
        <w:r w:rsidR="001512C6">
          <w:rPr>
            <w:webHidden/>
          </w:rPr>
          <w:fldChar w:fldCharType="separate"/>
        </w:r>
        <w:r w:rsidR="00E764A8">
          <w:rPr>
            <w:webHidden/>
          </w:rPr>
          <w:t>3</w:t>
        </w:r>
        <w:r w:rsidR="001512C6">
          <w:rPr>
            <w:webHidden/>
          </w:rPr>
          <w:fldChar w:fldCharType="end"/>
        </w:r>
      </w:hyperlink>
    </w:p>
    <w:p w14:paraId="7CC2F19B" w14:textId="77777777" w:rsidR="001512C6" w:rsidRDefault="00923641">
      <w:pPr>
        <w:pStyle w:val="TableofFigures"/>
        <w:rPr>
          <w:rFonts w:eastAsiaTheme="minorEastAsia" w:cstheme="minorBidi"/>
        </w:rPr>
      </w:pPr>
      <w:hyperlink w:anchor="_Toc482973582" w:history="1">
        <w:r w:rsidR="001512C6" w:rsidRPr="00FB767B">
          <w:rPr>
            <w:rStyle w:val="Hyperlink"/>
          </w:rPr>
          <w:t>Table 2. Analysis Years Used in the Tool</w:t>
        </w:r>
        <w:r w:rsidR="001512C6">
          <w:rPr>
            <w:webHidden/>
          </w:rPr>
          <w:tab/>
        </w:r>
        <w:r w:rsidR="001512C6">
          <w:rPr>
            <w:webHidden/>
          </w:rPr>
          <w:fldChar w:fldCharType="begin"/>
        </w:r>
        <w:r w:rsidR="001512C6">
          <w:rPr>
            <w:webHidden/>
          </w:rPr>
          <w:instrText xml:space="preserve"> PAGEREF _Toc482973582 \h </w:instrText>
        </w:r>
        <w:r w:rsidR="001512C6">
          <w:rPr>
            <w:webHidden/>
          </w:rPr>
        </w:r>
        <w:r w:rsidR="001512C6">
          <w:rPr>
            <w:webHidden/>
          </w:rPr>
          <w:fldChar w:fldCharType="separate"/>
        </w:r>
        <w:r w:rsidR="00E764A8">
          <w:rPr>
            <w:webHidden/>
          </w:rPr>
          <w:t>3</w:t>
        </w:r>
        <w:r w:rsidR="001512C6">
          <w:rPr>
            <w:webHidden/>
          </w:rPr>
          <w:fldChar w:fldCharType="end"/>
        </w:r>
      </w:hyperlink>
    </w:p>
    <w:p w14:paraId="5DBBD333" w14:textId="77777777" w:rsidR="001512C6" w:rsidRDefault="00923641">
      <w:pPr>
        <w:pStyle w:val="TableofFigures"/>
        <w:rPr>
          <w:rFonts w:eastAsiaTheme="minorEastAsia" w:cstheme="minorBidi"/>
        </w:rPr>
      </w:pPr>
      <w:hyperlink w:anchor="_Toc482973583" w:history="1">
        <w:r w:rsidR="001512C6" w:rsidRPr="00FB767B">
          <w:rPr>
            <w:rStyle w:val="Hyperlink"/>
          </w:rPr>
          <w:t>Table 3. Geographic Scales Used in the Tool, and Related Truck Types</w:t>
        </w:r>
        <w:r w:rsidR="001512C6">
          <w:rPr>
            <w:webHidden/>
          </w:rPr>
          <w:tab/>
        </w:r>
        <w:r w:rsidR="001512C6">
          <w:rPr>
            <w:webHidden/>
          </w:rPr>
          <w:fldChar w:fldCharType="begin"/>
        </w:r>
        <w:r w:rsidR="001512C6">
          <w:rPr>
            <w:webHidden/>
          </w:rPr>
          <w:instrText xml:space="preserve"> PAGEREF _Toc482973583 \h </w:instrText>
        </w:r>
        <w:r w:rsidR="001512C6">
          <w:rPr>
            <w:webHidden/>
          </w:rPr>
        </w:r>
        <w:r w:rsidR="001512C6">
          <w:rPr>
            <w:webHidden/>
          </w:rPr>
          <w:fldChar w:fldCharType="separate"/>
        </w:r>
        <w:r w:rsidR="00E764A8">
          <w:rPr>
            <w:webHidden/>
          </w:rPr>
          <w:t>4</w:t>
        </w:r>
        <w:r w:rsidR="001512C6">
          <w:rPr>
            <w:webHidden/>
          </w:rPr>
          <w:fldChar w:fldCharType="end"/>
        </w:r>
      </w:hyperlink>
    </w:p>
    <w:p w14:paraId="09A22A2A" w14:textId="77777777" w:rsidR="001512C6" w:rsidRDefault="00923641">
      <w:pPr>
        <w:pStyle w:val="TableofFigures"/>
        <w:rPr>
          <w:rFonts w:eastAsiaTheme="minorEastAsia" w:cstheme="minorBidi"/>
        </w:rPr>
      </w:pPr>
      <w:hyperlink w:anchor="_Toc482973584" w:history="1">
        <w:r w:rsidR="001512C6" w:rsidRPr="00FB767B">
          <w:rPr>
            <w:rStyle w:val="Hyperlink"/>
          </w:rPr>
          <w:t>Table 4. Truck Types Used in the Tool</w:t>
        </w:r>
        <w:r w:rsidR="001512C6">
          <w:rPr>
            <w:webHidden/>
          </w:rPr>
          <w:tab/>
        </w:r>
        <w:r w:rsidR="001512C6">
          <w:rPr>
            <w:webHidden/>
          </w:rPr>
          <w:fldChar w:fldCharType="begin"/>
        </w:r>
        <w:r w:rsidR="001512C6">
          <w:rPr>
            <w:webHidden/>
          </w:rPr>
          <w:instrText xml:space="preserve"> PAGEREF _Toc482973584 \h </w:instrText>
        </w:r>
        <w:r w:rsidR="001512C6">
          <w:rPr>
            <w:webHidden/>
          </w:rPr>
        </w:r>
        <w:r w:rsidR="001512C6">
          <w:rPr>
            <w:webHidden/>
          </w:rPr>
          <w:fldChar w:fldCharType="separate"/>
        </w:r>
        <w:r w:rsidR="00E764A8">
          <w:rPr>
            <w:webHidden/>
          </w:rPr>
          <w:t>5</w:t>
        </w:r>
        <w:r w:rsidR="001512C6">
          <w:rPr>
            <w:webHidden/>
          </w:rPr>
          <w:fldChar w:fldCharType="end"/>
        </w:r>
      </w:hyperlink>
    </w:p>
    <w:p w14:paraId="2D38508B" w14:textId="77777777" w:rsidR="001512C6" w:rsidRDefault="00923641">
      <w:pPr>
        <w:pStyle w:val="TableofFigures"/>
        <w:rPr>
          <w:rFonts w:eastAsiaTheme="minorEastAsia" w:cstheme="minorBidi"/>
        </w:rPr>
      </w:pPr>
      <w:hyperlink w:anchor="_Toc482973585" w:history="1">
        <w:r w:rsidR="001512C6" w:rsidRPr="00FB767B">
          <w:rPr>
            <w:rStyle w:val="Hyperlink"/>
          </w:rPr>
          <w:t>Table 5. Types of Outputs Provided in the Tool</w:t>
        </w:r>
        <w:r w:rsidR="001512C6">
          <w:rPr>
            <w:webHidden/>
          </w:rPr>
          <w:tab/>
        </w:r>
        <w:r w:rsidR="001512C6">
          <w:rPr>
            <w:webHidden/>
          </w:rPr>
          <w:fldChar w:fldCharType="begin"/>
        </w:r>
        <w:r w:rsidR="001512C6">
          <w:rPr>
            <w:webHidden/>
          </w:rPr>
          <w:instrText xml:space="preserve"> PAGEREF _Toc482973585 \h </w:instrText>
        </w:r>
        <w:r w:rsidR="001512C6">
          <w:rPr>
            <w:webHidden/>
          </w:rPr>
        </w:r>
        <w:r w:rsidR="001512C6">
          <w:rPr>
            <w:webHidden/>
          </w:rPr>
          <w:fldChar w:fldCharType="separate"/>
        </w:r>
        <w:r w:rsidR="00E764A8">
          <w:rPr>
            <w:webHidden/>
          </w:rPr>
          <w:t>6</w:t>
        </w:r>
        <w:r w:rsidR="001512C6">
          <w:rPr>
            <w:webHidden/>
          </w:rPr>
          <w:fldChar w:fldCharType="end"/>
        </w:r>
      </w:hyperlink>
    </w:p>
    <w:p w14:paraId="6476C2AE" w14:textId="77777777" w:rsidR="001512C6" w:rsidRDefault="00923641">
      <w:pPr>
        <w:pStyle w:val="TableofFigures"/>
        <w:rPr>
          <w:rFonts w:eastAsiaTheme="minorEastAsia" w:cstheme="minorBidi"/>
        </w:rPr>
      </w:pPr>
      <w:hyperlink w:anchor="_Toc482973586" w:history="1">
        <w:r w:rsidR="001512C6" w:rsidRPr="00FB767B">
          <w:rPr>
            <w:rStyle w:val="Hyperlink"/>
          </w:rPr>
          <w:t>Table 6. Alternative Fuels Used in the Tool</w:t>
        </w:r>
        <w:r w:rsidR="001512C6">
          <w:rPr>
            <w:webHidden/>
          </w:rPr>
          <w:tab/>
        </w:r>
        <w:r w:rsidR="001512C6">
          <w:rPr>
            <w:webHidden/>
          </w:rPr>
          <w:fldChar w:fldCharType="begin"/>
        </w:r>
        <w:r w:rsidR="001512C6">
          <w:rPr>
            <w:webHidden/>
          </w:rPr>
          <w:instrText xml:space="preserve"> PAGEREF _Toc482973586 \h </w:instrText>
        </w:r>
        <w:r w:rsidR="001512C6">
          <w:rPr>
            <w:webHidden/>
          </w:rPr>
        </w:r>
        <w:r w:rsidR="001512C6">
          <w:rPr>
            <w:webHidden/>
          </w:rPr>
          <w:fldChar w:fldCharType="separate"/>
        </w:r>
        <w:r w:rsidR="00E764A8">
          <w:rPr>
            <w:webHidden/>
          </w:rPr>
          <w:t>7</w:t>
        </w:r>
        <w:r w:rsidR="001512C6">
          <w:rPr>
            <w:webHidden/>
          </w:rPr>
          <w:fldChar w:fldCharType="end"/>
        </w:r>
      </w:hyperlink>
    </w:p>
    <w:p w14:paraId="3B17736A" w14:textId="77777777" w:rsidR="001512C6" w:rsidRDefault="00923641">
      <w:pPr>
        <w:pStyle w:val="TableofFigures"/>
        <w:rPr>
          <w:rFonts w:eastAsiaTheme="minorEastAsia" w:cstheme="minorBidi"/>
        </w:rPr>
      </w:pPr>
      <w:hyperlink w:anchor="_Toc482973587" w:history="1">
        <w:r w:rsidR="001512C6" w:rsidRPr="00FB767B">
          <w:rPr>
            <w:rStyle w:val="Hyperlink"/>
          </w:rPr>
          <w:t>Table 7. Exhaust Retrofits Used in the Tool</w:t>
        </w:r>
        <w:r w:rsidR="001512C6">
          <w:rPr>
            <w:webHidden/>
          </w:rPr>
          <w:tab/>
        </w:r>
        <w:r w:rsidR="001512C6">
          <w:rPr>
            <w:webHidden/>
          </w:rPr>
          <w:fldChar w:fldCharType="begin"/>
        </w:r>
        <w:r w:rsidR="001512C6">
          <w:rPr>
            <w:webHidden/>
          </w:rPr>
          <w:instrText xml:space="preserve"> PAGEREF _Toc482973587 \h </w:instrText>
        </w:r>
        <w:r w:rsidR="001512C6">
          <w:rPr>
            <w:webHidden/>
          </w:rPr>
        </w:r>
        <w:r w:rsidR="001512C6">
          <w:rPr>
            <w:webHidden/>
          </w:rPr>
          <w:fldChar w:fldCharType="separate"/>
        </w:r>
        <w:r w:rsidR="00E764A8">
          <w:rPr>
            <w:webHidden/>
          </w:rPr>
          <w:t>10</w:t>
        </w:r>
        <w:r w:rsidR="001512C6">
          <w:rPr>
            <w:webHidden/>
          </w:rPr>
          <w:fldChar w:fldCharType="end"/>
        </w:r>
      </w:hyperlink>
    </w:p>
    <w:p w14:paraId="0DB37A0F" w14:textId="77777777" w:rsidR="001512C6" w:rsidRDefault="00923641">
      <w:pPr>
        <w:pStyle w:val="TableofFigures"/>
        <w:rPr>
          <w:rFonts w:eastAsiaTheme="minorEastAsia" w:cstheme="minorBidi"/>
        </w:rPr>
      </w:pPr>
      <w:hyperlink w:anchor="_Toc482973588" w:history="1">
        <w:r w:rsidR="001512C6" w:rsidRPr="00FB767B">
          <w:rPr>
            <w:rStyle w:val="Hyperlink"/>
          </w:rPr>
          <w:t>Table 8. Aerodynamic Devices Used in the Tool</w:t>
        </w:r>
        <w:r w:rsidR="001512C6">
          <w:rPr>
            <w:webHidden/>
          </w:rPr>
          <w:tab/>
        </w:r>
        <w:r w:rsidR="001512C6">
          <w:rPr>
            <w:webHidden/>
          </w:rPr>
          <w:fldChar w:fldCharType="begin"/>
        </w:r>
        <w:r w:rsidR="001512C6">
          <w:rPr>
            <w:webHidden/>
          </w:rPr>
          <w:instrText xml:space="preserve"> PAGEREF _Toc482973588 \h </w:instrText>
        </w:r>
        <w:r w:rsidR="001512C6">
          <w:rPr>
            <w:webHidden/>
          </w:rPr>
        </w:r>
        <w:r w:rsidR="001512C6">
          <w:rPr>
            <w:webHidden/>
          </w:rPr>
          <w:fldChar w:fldCharType="separate"/>
        </w:r>
        <w:r w:rsidR="00E764A8">
          <w:rPr>
            <w:webHidden/>
          </w:rPr>
          <w:t>11</w:t>
        </w:r>
        <w:r w:rsidR="001512C6">
          <w:rPr>
            <w:webHidden/>
          </w:rPr>
          <w:fldChar w:fldCharType="end"/>
        </w:r>
      </w:hyperlink>
    </w:p>
    <w:p w14:paraId="395E4F0A" w14:textId="77777777" w:rsidR="001512C6" w:rsidRDefault="00923641">
      <w:pPr>
        <w:pStyle w:val="TableofFigures"/>
        <w:rPr>
          <w:rFonts w:eastAsiaTheme="minorEastAsia" w:cstheme="minorBidi"/>
        </w:rPr>
      </w:pPr>
      <w:hyperlink w:anchor="_Toc482973589" w:history="1">
        <w:r w:rsidR="001512C6" w:rsidRPr="00FB767B">
          <w:rPr>
            <w:rStyle w:val="Hyperlink"/>
          </w:rPr>
          <w:t>Table 9. Tire Modifications Used in the Tool</w:t>
        </w:r>
        <w:r w:rsidR="001512C6">
          <w:rPr>
            <w:webHidden/>
          </w:rPr>
          <w:tab/>
        </w:r>
        <w:r w:rsidR="001512C6">
          <w:rPr>
            <w:webHidden/>
          </w:rPr>
          <w:fldChar w:fldCharType="begin"/>
        </w:r>
        <w:r w:rsidR="001512C6">
          <w:rPr>
            <w:webHidden/>
          </w:rPr>
          <w:instrText xml:space="preserve"> PAGEREF _Toc482973589 \h </w:instrText>
        </w:r>
        <w:r w:rsidR="001512C6">
          <w:rPr>
            <w:webHidden/>
          </w:rPr>
        </w:r>
        <w:r w:rsidR="001512C6">
          <w:rPr>
            <w:webHidden/>
          </w:rPr>
          <w:fldChar w:fldCharType="separate"/>
        </w:r>
        <w:r w:rsidR="00E764A8">
          <w:rPr>
            <w:webHidden/>
          </w:rPr>
          <w:t>13</w:t>
        </w:r>
        <w:r w:rsidR="001512C6">
          <w:rPr>
            <w:webHidden/>
          </w:rPr>
          <w:fldChar w:fldCharType="end"/>
        </w:r>
      </w:hyperlink>
    </w:p>
    <w:p w14:paraId="720B184F" w14:textId="77777777" w:rsidR="001512C6" w:rsidRDefault="00923641">
      <w:pPr>
        <w:pStyle w:val="TableofFigures"/>
        <w:rPr>
          <w:rFonts w:eastAsiaTheme="minorEastAsia" w:cstheme="minorBidi"/>
        </w:rPr>
      </w:pPr>
      <w:hyperlink w:anchor="_Toc482973590" w:history="1">
        <w:r w:rsidR="001512C6" w:rsidRPr="00FB767B">
          <w:rPr>
            <w:rStyle w:val="Hyperlink"/>
          </w:rPr>
          <w:t>Table 10. Idle Reductions Used in the Tool</w:t>
        </w:r>
        <w:r w:rsidR="001512C6">
          <w:rPr>
            <w:webHidden/>
          </w:rPr>
          <w:tab/>
        </w:r>
        <w:r w:rsidR="001512C6">
          <w:rPr>
            <w:webHidden/>
          </w:rPr>
          <w:fldChar w:fldCharType="begin"/>
        </w:r>
        <w:r w:rsidR="001512C6">
          <w:rPr>
            <w:webHidden/>
          </w:rPr>
          <w:instrText xml:space="preserve"> PAGEREF _Toc482973590 \h </w:instrText>
        </w:r>
        <w:r w:rsidR="001512C6">
          <w:rPr>
            <w:webHidden/>
          </w:rPr>
        </w:r>
        <w:r w:rsidR="001512C6">
          <w:rPr>
            <w:webHidden/>
          </w:rPr>
          <w:fldChar w:fldCharType="separate"/>
        </w:r>
        <w:r w:rsidR="00E764A8">
          <w:rPr>
            <w:webHidden/>
          </w:rPr>
          <w:t>14</w:t>
        </w:r>
        <w:r w:rsidR="001512C6">
          <w:rPr>
            <w:webHidden/>
          </w:rPr>
          <w:fldChar w:fldCharType="end"/>
        </w:r>
      </w:hyperlink>
    </w:p>
    <w:p w14:paraId="2EB07B32" w14:textId="77777777" w:rsidR="001512C6" w:rsidRDefault="00923641">
      <w:pPr>
        <w:pStyle w:val="TableofFigures"/>
        <w:rPr>
          <w:rFonts w:eastAsiaTheme="minorEastAsia" w:cstheme="minorBidi"/>
        </w:rPr>
      </w:pPr>
      <w:hyperlink w:anchor="_Toc482973591" w:history="1">
        <w:r w:rsidR="001512C6" w:rsidRPr="00FB767B">
          <w:rPr>
            <w:rStyle w:val="Hyperlink"/>
          </w:rPr>
          <w:t>Table 11. Types of Default Data Provided in the Tool</w:t>
        </w:r>
        <w:r w:rsidR="001512C6">
          <w:rPr>
            <w:webHidden/>
          </w:rPr>
          <w:tab/>
        </w:r>
        <w:r w:rsidR="001512C6">
          <w:rPr>
            <w:webHidden/>
          </w:rPr>
          <w:fldChar w:fldCharType="begin"/>
        </w:r>
        <w:r w:rsidR="001512C6">
          <w:rPr>
            <w:webHidden/>
          </w:rPr>
          <w:instrText xml:space="preserve"> PAGEREF _Toc482973591 \h </w:instrText>
        </w:r>
        <w:r w:rsidR="001512C6">
          <w:rPr>
            <w:webHidden/>
          </w:rPr>
        </w:r>
        <w:r w:rsidR="001512C6">
          <w:rPr>
            <w:webHidden/>
          </w:rPr>
          <w:fldChar w:fldCharType="separate"/>
        </w:r>
        <w:r w:rsidR="00E764A8">
          <w:rPr>
            <w:webHidden/>
          </w:rPr>
          <w:t>16</w:t>
        </w:r>
        <w:r w:rsidR="001512C6">
          <w:rPr>
            <w:webHidden/>
          </w:rPr>
          <w:fldChar w:fldCharType="end"/>
        </w:r>
      </w:hyperlink>
    </w:p>
    <w:p w14:paraId="4373079A" w14:textId="77777777" w:rsidR="001512C6" w:rsidRDefault="00923641">
      <w:pPr>
        <w:pStyle w:val="TableofFigures"/>
        <w:rPr>
          <w:rFonts w:eastAsiaTheme="minorEastAsia" w:cstheme="minorBidi"/>
        </w:rPr>
      </w:pPr>
      <w:hyperlink w:anchor="_Toc482973592" w:history="1">
        <w:r w:rsidR="001512C6" w:rsidRPr="00FB767B">
          <w:rPr>
            <w:rStyle w:val="Hyperlink"/>
          </w:rPr>
          <w:t>Table 12. Descriptions of Tool Symbols</w:t>
        </w:r>
        <w:r w:rsidR="001512C6">
          <w:rPr>
            <w:webHidden/>
          </w:rPr>
          <w:tab/>
        </w:r>
        <w:r w:rsidR="001512C6">
          <w:rPr>
            <w:webHidden/>
          </w:rPr>
          <w:fldChar w:fldCharType="begin"/>
        </w:r>
        <w:r w:rsidR="001512C6">
          <w:rPr>
            <w:webHidden/>
          </w:rPr>
          <w:instrText xml:space="preserve"> PAGEREF _Toc482973592 \h </w:instrText>
        </w:r>
        <w:r w:rsidR="001512C6">
          <w:rPr>
            <w:webHidden/>
          </w:rPr>
        </w:r>
        <w:r w:rsidR="001512C6">
          <w:rPr>
            <w:webHidden/>
          </w:rPr>
          <w:fldChar w:fldCharType="separate"/>
        </w:r>
        <w:r w:rsidR="00E764A8">
          <w:rPr>
            <w:webHidden/>
          </w:rPr>
          <w:t>19</w:t>
        </w:r>
        <w:r w:rsidR="001512C6">
          <w:rPr>
            <w:webHidden/>
          </w:rPr>
          <w:fldChar w:fldCharType="end"/>
        </w:r>
      </w:hyperlink>
    </w:p>
    <w:p w14:paraId="2EF78200" w14:textId="77777777" w:rsidR="001512C6" w:rsidRDefault="00923641">
      <w:pPr>
        <w:pStyle w:val="TableofFigures"/>
        <w:rPr>
          <w:rFonts w:eastAsiaTheme="minorEastAsia" w:cstheme="minorBidi"/>
        </w:rPr>
      </w:pPr>
      <w:hyperlink w:anchor="_Toc482973593" w:history="1">
        <w:r w:rsidR="001512C6" w:rsidRPr="00FB767B">
          <w:rPr>
            <w:rStyle w:val="Hyperlink"/>
          </w:rPr>
          <w:t>Table 13. Core-based Statistical Areas Used in the MOVES Modeling Supporting the Tool’s Metropolitan Geographic Scale</w:t>
        </w:r>
        <w:r w:rsidR="001512C6">
          <w:rPr>
            <w:webHidden/>
          </w:rPr>
          <w:tab/>
        </w:r>
        <w:r w:rsidR="001512C6">
          <w:rPr>
            <w:webHidden/>
          </w:rPr>
          <w:fldChar w:fldCharType="begin"/>
        </w:r>
        <w:r w:rsidR="001512C6">
          <w:rPr>
            <w:webHidden/>
          </w:rPr>
          <w:instrText xml:space="preserve"> PAGEREF _Toc482973593 \h </w:instrText>
        </w:r>
        <w:r w:rsidR="001512C6">
          <w:rPr>
            <w:webHidden/>
          </w:rPr>
        </w:r>
        <w:r w:rsidR="001512C6">
          <w:rPr>
            <w:webHidden/>
          </w:rPr>
          <w:fldChar w:fldCharType="separate"/>
        </w:r>
        <w:r w:rsidR="00E764A8">
          <w:rPr>
            <w:webHidden/>
          </w:rPr>
          <w:t>35</w:t>
        </w:r>
        <w:r w:rsidR="001512C6">
          <w:rPr>
            <w:webHidden/>
          </w:rPr>
          <w:fldChar w:fldCharType="end"/>
        </w:r>
      </w:hyperlink>
    </w:p>
    <w:p w14:paraId="684318C8" w14:textId="77777777" w:rsidR="001512C6" w:rsidRDefault="00923641">
      <w:pPr>
        <w:pStyle w:val="TableofFigures"/>
        <w:rPr>
          <w:rFonts w:eastAsiaTheme="minorEastAsia" w:cstheme="minorBidi"/>
        </w:rPr>
      </w:pPr>
      <w:hyperlink w:anchor="_Toc482973594" w:history="1">
        <w:r w:rsidR="001512C6" w:rsidRPr="00FB767B">
          <w:rPr>
            <w:rStyle w:val="Hyperlink"/>
          </w:rPr>
          <w:t>Table 14. Counties Used in the MOVES Modeling Supporting the Tool’s “County/Municipal” Geograhic Scale</w:t>
        </w:r>
        <w:r w:rsidR="001512C6">
          <w:rPr>
            <w:webHidden/>
          </w:rPr>
          <w:tab/>
        </w:r>
        <w:r w:rsidR="001512C6">
          <w:rPr>
            <w:webHidden/>
          </w:rPr>
          <w:fldChar w:fldCharType="begin"/>
        </w:r>
        <w:r w:rsidR="001512C6">
          <w:rPr>
            <w:webHidden/>
          </w:rPr>
          <w:instrText xml:space="preserve"> PAGEREF _Toc482973594 \h </w:instrText>
        </w:r>
        <w:r w:rsidR="001512C6">
          <w:rPr>
            <w:webHidden/>
          </w:rPr>
        </w:r>
        <w:r w:rsidR="001512C6">
          <w:rPr>
            <w:webHidden/>
          </w:rPr>
          <w:fldChar w:fldCharType="separate"/>
        </w:r>
        <w:r w:rsidR="00E764A8">
          <w:rPr>
            <w:webHidden/>
          </w:rPr>
          <w:t>37</w:t>
        </w:r>
        <w:r w:rsidR="001512C6">
          <w:rPr>
            <w:webHidden/>
          </w:rPr>
          <w:fldChar w:fldCharType="end"/>
        </w:r>
      </w:hyperlink>
    </w:p>
    <w:p w14:paraId="711AA83D" w14:textId="77777777" w:rsidR="001512C6" w:rsidRDefault="00923641">
      <w:pPr>
        <w:pStyle w:val="TableofFigures"/>
        <w:rPr>
          <w:rFonts w:eastAsiaTheme="minorEastAsia" w:cstheme="minorBidi"/>
        </w:rPr>
      </w:pPr>
      <w:hyperlink w:anchor="_Toc482973595" w:history="1">
        <w:r w:rsidR="001512C6" w:rsidRPr="00FB767B">
          <w:rPr>
            <w:rStyle w:val="Hyperlink"/>
          </w:rPr>
          <w:t>Table 15. Default Annual Average Mileage Accumulation Rates</w:t>
        </w:r>
        <w:r w:rsidR="001512C6">
          <w:rPr>
            <w:webHidden/>
          </w:rPr>
          <w:tab/>
        </w:r>
        <w:r w:rsidR="001512C6">
          <w:rPr>
            <w:webHidden/>
          </w:rPr>
          <w:fldChar w:fldCharType="begin"/>
        </w:r>
        <w:r w:rsidR="001512C6">
          <w:rPr>
            <w:webHidden/>
          </w:rPr>
          <w:instrText xml:space="preserve"> PAGEREF _Toc482973595 \h </w:instrText>
        </w:r>
        <w:r w:rsidR="001512C6">
          <w:rPr>
            <w:webHidden/>
          </w:rPr>
        </w:r>
        <w:r w:rsidR="001512C6">
          <w:rPr>
            <w:webHidden/>
          </w:rPr>
          <w:fldChar w:fldCharType="separate"/>
        </w:r>
        <w:r w:rsidR="00E764A8">
          <w:rPr>
            <w:webHidden/>
          </w:rPr>
          <w:t>41</w:t>
        </w:r>
        <w:r w:rsidR="001512C6">
          <w:rPr>
            <w:webHidden/>
          </w:rPr>
          <w:fldChar w:fldCharType="end"/>
        </w:r>
      </w:hyperlink>
    </w:p>
    <w:p w14:paraId="26B52878" w14:textId="77777777" w:rsidR="001512C6" w:rsidRDefault="00923641">
      <w:pPr>
        <w:pStyle w:val="TableofFigures"/>
        <w:rPr>
          <w:rFonts w:eastAsiaTheme="minorEastAsia" w:cstheme="minorBidi"/>
        </w:rPr>
      </w:pPr>
      <w:hyperlink w:anchor="_Toc482973596" w:history="1">
        <w:r w:rsidR="001512C6" w:rsidRPr="00FB767B">
          <w:rPr>
            <w:rStyle w:val="Hyperlink"/>
          </w:rPr>
          <w:t>Table 16. Average Age by Truck Type and Analysis Year used in the Tool</w:t>
        </w:r>
        <w:r w:rsidR="001512C6">
          <w:rPr>
            <w:webHidden/>
          </w:rPr>
          <w:tab/>
        </w:r>
        <w:r w:rsidR="001512C6">
          <w:rPr>
            <w:webHidden/>
          </w:rPr>
          <w:fldChar w:fldCharType="begin"/>
        </w:r>
        <w:r w:rsidR="001512C6">
          <w:rPr>
            <w:webHidden/>
          </w:rPr>
          <w:instrText xml:space="preserve"> PAGEREF _Toc482973596 \h </w:instrText>
        </w:r>
        <w:r w:rsidR="001512C6">
          <w:rPr>
            <w:webHidden/>
          </w:rPr>
        </w:r>
        <w:r w:rsidR="001512C6">
          <w:rPr>
            <w:webHidden/>
          </w:rPr>
          <w:fldChar w:fldCharType="separate"/>
        </w:r>
        <w:r w:rsidR="00E764A8">
          <w:rPr>
            <w:webHidden/>
          </w:rPr>
          <w:t>41</w:t>
        </w:r>
        <w:r w:rsidR="001512C6">
          <w:rPr>
            <w:webHidden/>
          </w:rPr>
          <w:fldChar w:fldCharType="end"/>
        </w:r>
      </w:hyperlink>
    </w:p>
    <w:p w14:paraId="0EDE4443" w14:textId="77777777" w:rsidR="001512C6" w:rsidRDefault="00923641">
      <w:pPr>
        <w:pStyle w:val="TableofFigures"/>
        <w:rPr>
          <w:rFonts w:eastAsiaTheme="minorEastAsia" w:cstheme="minorBidi"/>
        </w:rPr>
      </w:pPr>
      <w:hyperlink w:anchor="_Toc482973597" w:history="1">
        <w:r w:rsidR="001512C6" w:rsidRPr="00FB767B">
          <w:rPr>
            <w:rStyle w:val="Hyperlink"/>
          </w:rPr>
          <w:t>Table 17. Default Vehicle Populations used in the Tool</w:t>
        </w:r>
        <w:r w:rsidR="001512C6">
          <w:rPr>
            <w:webHidden/>
          </w:rPr>
          <w:tab/>
        </w:r>
        <w:r w:rsidR="001512C6">
          <w:rPr>
            <w:webHidden/>
          </w:rPr>
          <w:fldChar w:fldCharType="begin"/>
        </w:r>
        <w:r w:rsidR="001512C6">
          <w:rPr>
            <w:webHidden/>
          </w:rPr>
          <w:instrText xml:space="preserve"> PAGEREF _Toc482973597 \h </w:instrText>
        </w:r>
        <w:r w:rsidR="001512C6">
          <w:rPr>
            <w:webHidden/>
          </w:rPr>
        </w:r>
        <w:r w:rsidR="001512C6">
          <w:rPr>
            <w:webHidden/>
          </w:rPr>
          <w:fldChar w:fldCharType="separate"/>
        </w:r>
        <w:r w:rsidR="00E764A8">
          <w:rPr>
            <w:webHidden/>
          </w:rPr>
          <w:t>42</w:t>
        </w:r>
        <w:r w:rsidR="001512C6">
          <w:rPr>
            <w:webHidden/>
          </w:rPr>
          <w:fldChar w:fldCharType="end"/>
        </w:r>
      </w:hyperlink>
    </w:p>
    <w:p w14:paraId="7FED6872" w14:textId="77777777" w:rsidR="001512C6" w:rsidRDefault="00923641">
      <w:pPr>
        <w:pStyle w:val="TableofFigures"/>
        <w:rPr>
          <w:rFonts w:eastAsiaTheme="minorEastAsia" w:cstheme="minorBidi"/>
        </w:rPr>
      </w:pPr>
      <w:hyperlink w:anchor="_Toc482973598" w:history="1">
        <w:r w:rsidR="001512C6" w:rsidRPr="00FB767B">
          <w:rPr>
            <w:rStyle w:val="Hyperlink"/>
          </w:rPr>
          <w:t>Table 18. Default Extended Annual Idle Hours by Geographic Scale</w:t>
        </w:r>
        <w:r w:rsidR="001512C6">
          <w:rPr>
            <w:webHidden/>
          </w:rPr>
          <w:tab/>
        </w:r>
        <w:r w:rsidR="001512C6">
          <w:rPr>
            <w:webHidden/>
          </w:rPr>
          <w:fldChar w:fldCharType="begin"/>
        </w:r>
        <w:r w:rsidR="001512C6">
          <w:rPr>
            <w:webHidden/>
          </w:rPr>
          <w:instrText xml:space="preserve"> PAGEREF _Toc482973598 \h </w:instrText>
        </w:r>
        <w:r w:rsidR="001512C6">
          <w:rPr>
            <w:webHidden/>
          </w:rPr>
        </w:r>
        <w:r w:rsidR="001512C6">
          <w:rPr>
            <w:webHidden/>
          </w:rPr>
          <w:fldChar w:fldCharType="separate"/>
        </w:r>
        <w:r w:rsidR="00E764A8">
          <w:rPr>
            <w:webHidden/>
          </w:rPr>
          <w:t>42</w:t>
        </w:r>
        <w:r w:rsidR="001512C6">
          <w:rPr>
            <w:webHidden/>
          </w:rPr>
          <w:fldChar w:fldCharType="end"/>
        </w:r>
      </w:hyperlink>
    </w:p>
    <w:p w14:paraId="51CCE0C3" w14:textId="77777777" w:rsidR="001512C6" w:rsidRDefault="00923641">
      <w:pPr>
        <w:pStyle w:val="TableofFigures"/>
        <w:rPr>
          <w:rFonts w:eastAsiaTheme="minorEastAsia" w:cstheme="minorBidi"/>
        </w:rPr>
      </w:pPr>
      <w:hyperlink w:anchor="_Toc482973599" w:history="1">
        <w:r w:rsidR="001512C6" w:rsidRPr="00FB767B">
          <w:rPr>
            <w:rStyle w:val="Hyperlink"/>
          </w:rPr>
          <w:t>Table 19. RRFs for Alternative Fuel Scenarios</w:t>
        </w:r>
        <w:r w:rsidR="001512C6">
          <w:rPr>
            <w:webHidden/>
          </w:rPr>
          <w:tab/>
        </w:r>
        <w:r w:rsidR="001512C6">
          <w:rPr>
            <w:webHidden/>
          </w:rPr>
          <w:fldChar w:fldCharType="begin"/>
        </w:r>
        <w:r w:rsidR="001512C6">
          <w:rPr>
            <w:webHidden/>
          </w:rPr>
          <w:instrText xml:space="preserve"> PAGEREF _Toc482973599 \h </w:instrText>
        </w:r>
        <w:r w:rsidR="001512C6">
          <w:rPr>
            <w:webHidden/>
          </w:rPr>
        </w:r>
        <w:r w:rsidR="001512C6">
          <w:rPr>
            <w:webHidden/>
          </w:rPr>
          <w:fldChar w:fldCharType="separate"/>
        </w:r>
        <w:r w:rsidR="00E764A8">
          <w:rPr>
            <w:webHidden/>
          </w:rPr>
          <w:t>43</w:t>
        </w:r>
        <w:r w:rsidR="001512C6">
          <w:rPr>
            <w:webHidden/>
          </w:rPr>
          <w:fldChar w:fldCharType="end"/>
        </w:r>
      </w:hyperlink>
    </w:p>
    <w:p w14:paraId="3BD782B7" w14:textId="77777777" w:rsidR="001512C6" w:rsidRDefault="00923641">
      <w:pPr>
        <w:pStyle w:val="TableofFigures"/>
        <w:rPr>
          <w:rFonts w:eastAsiaTheme="minorEastAsia" w:cstheme="minorBidi"/>
        </w:rPr>
      </w:pPr>
      <w:hyperlink w:anchor="_Toc482973600" w:history="1">
        <w:r w:rsidR="001512C6" w:rsidRPr="00FB767B">
          <w:rPr>
            <w:rStyle w:val="Hyperlink"/>
          </w:rPr>
          <w:t>Table 20. CO</w:t>
        </w:r>
        <w:r w:rsidR="001512C6" w:rsidRPr="00FB767B">
          <w:rPr>
            <w:rStyle w:val="Hyperlink"/>
            <w:vertAlign w:val="subscript"/>
          </w:rPr>
          <w:t>2</w:t>
        </w:r>
        <w:r w:rsidR="001512C6" w:rsidRPr="00FB767B">
          <w:rPr>
            <w:rStyle w:val="Hyperlink"/>
          </w:rPr>
          <w:t xml:space="preserve"> Emissions per kWh from Power Plants for Charging Electric Vehicles</w:t>
        </w:r>
        <w:r w:rsidR="001512C6">
          <w:rPr>
            <w:webHidden/>
          </w:rPr>
          <w:tab/>
        </w:r>
        <w:r w:rsidR="001512C6">
          <w:rPr>
            <w:webHidden/>
          </w:rPr>
          <w:fldChar w:fldCharType="begin"/>
        </w:r>
        <w:r w:rsidR="001512C6">
          <w:rPr>
            <w:webHidden/>
          </w:rPr>
          <w:instrText xml:space="preserve"> PAGEREF _Toc482973600 \h </w:instrText>
        </w:r>
        <w:r w:rsidR="001512C6">
          <w:rPr>
            <w:webHidden/>
          </w:rPr>
        </w:r>
        <w:r w:rsidR="001512C6">
          <w:rPr>
            <w:webHidden/>
          </w:rPr>
          <w:fldChar w:fldCharType="separate"/>
        </w:r>
        <w:r w:rsidR="00E764A8">
          <w:rPr>
            <w:webHidden/>
          </w:rPr>
          <w:t>44</w:t>
        </w:r>
        <w:r w:rsidR="001512C6">
          <w:rPr>
            <w:webHidden/>
          </w:rPr>
          <w:fldChar w:fldCharType="end"/>
        </w:r>
      </w:hyperlink>
    </w:p>
    <w:p w14:paraId="55BE7335" w14:textId="77777777" w:rsidR="001512C6" w:rsidRDefault="00923641">
      <w:pPr>
        <w:pStyle w:val="TableofFigures"/>
        <w:rPr>
          <w:rFonts w:eastAsiaTheme="minorEastAsia" w:cstheme="minorBidi"/>
        </w:rPr>
      </w:pPr>
      <w:hyperlink w:anchor="_Toc482973601" w:history="1">
        <w:r w:rsidR="001512C6" w:rsidRPr="00FB767B">
          <w:rPr>
            <w:rStyle w:val="Hyperlink"/>
          </w:rPr>
          <w:t>Table 21. RRFs for Other Strategy Types</w:t>
        </w:r>
        <w:r w:rsidR="001512C6">
          <w:rPr>
            <w:webHidden/>
          </w:rPr>
          <w:tab/>
        </w:r>
        <w:r w:rsidR="001512C6">
          <w:rPr>
            <w:webHidden/>
          </w:rPr>
          <w:fldChar w:fldCharType="begin"/>
        </w:r>
        <w:r w:rsidR="001512C6">
          <w:rPr>
            <w:webHidden/>
          </w:rPr>
          <w:instrText xml:space="preserve"> PAGEREF _Toc482973601 \h </w:instrText>
        </w:r>
        <w:r w:rsidR="001512C6">
          <w:rPr>
            <w:webHidden/>
          </w:rPr>
        </w:r>
        <w:r w:rsidR="001512C6">
          <w:rPr>
            <w:webHidden/>
          </w:rPr>
          <w:fldChar w:fldCharType="separate"/>
        </w:r>
        <w:r w:rsidR="00E764A8">
          <w:rPr>
            <w:webHidden/>
          </w:rPr>
          <w:t>46</w:t>
        </w:r>
        <w:r w:rsidR="001512C6">
          <w:rPr>
            <w:webHidden/>
          </w:rPr>
          <w:fldChar w:fldCharType="end"/>
        </w:r>
      </w:hyperlink>
    </w:p>
    <w:p w14:paraId="06569219" w14:textId="77777777" w:rsidR="001512C6" w:rsidRDefault="00923641">
      <w:pPr>
        <w:pStyle w:val="TableofFigures"/>
        <w:rPr>
          <w:rFonts w:eastAsiaTheme="minorEastAsia" w:cstheme="minorBidi"/>
        </w:rPr>
      </w:pPr>
      <w:hyperlink w:anchor="_Toc482973602" w:history="1">
        <w:r w:rsidR="001512C6" w:rsidRPr="00FB767B">
          <w:rPr>
            <w:rStyle w:val="Hyperlink"/>
          </w:rPr>
          <w:t>Table 22. Incremental Capital Costs for Alternative-fuel Scenarios</w:t>
        </w:r>
        <w:r w:rsidR="001512C6">
          <w:rPr>
            <w:webHidden/>
          </w:rPr>
          <w:tab/>
        </w:r>
        <w:r w:rsidR="001512C6">
          <w:rPr>
            <w:webHidden/>
          </w:rPr>
          <w:fldChar w:fldCharType="begin"/>
        </w:r>
        <w:r w:rsidR="001512C6">
          <w:rPr>
            <w:webHidden/>
          </w:rPr>
          <w:instrText xml:space="preserve"> PAGEREF _Toc482973602 \h </w:instrText>
        </w:r>
        <w:r w:rsidR="001512C6">
          <w:rPr>
            <w:webHidden/>
          </w:rPr>
        </w:r>
        <w:r w:rsidR="001512C6">
          <w:rPr>
            <w:webHidden/>
          </w:rPr>
          <w:fldChar w:fldCharType="separate"/>
        </w:r>
        <w:r w:rsidR="00E764A8">
          <w:rPr>
            <w:webHidden/>
          </w:rPr>
          <w:t>47</w:t>
        </w:r>
        <w:r w:rsidR="001512C6">
          <w:rPr>
            <w:webHidden/>
          </w:rPr>
          <w:fldChar w:fldCharType="end"/>
        </w:r>
      </w:hyperlink>
    </w:p>
    <w:p w14:paraId="422F7464" w14:textId="77777777" w:rsidR="001512C6" w:rsidRDefault="00923641">
      <w:pPr>
        <w:pStyle w:val="TableofFigures"/>
        <w:rPr>
          <w:rFonts w:eastAsiaTheme="minorEastAsia" w:cstheme="minorBidi"/>
        </w:rPr>
      </w:pPr>
      <w:hyperlink w:anchor="_Toc482973603" w:history="1">
        <w:r w:rsidR="001512C6" w:rsidRPr="00FB767B">
          <w:rPr>
            <w:rStyle w:val="Hyperlink"/>
          </w:rPr>
          <w:t>Table 23. Incremental Capital Costs for Other Scenarios</w:t>
        </w:r>
        <w:r w:rsidR="001512C6">
          <w:rPr>
            <w:webHidden/>
          </w:rPr>
          <w:tab/>
        </w:r>
        <w:r w:rsidR="001512C6">
          <w:rPr>
            <w:webHidden/>
          </w:rPr>
          <w:fldChar w:fldCharType="begin"/>
        </w:r>
        <w:r w:rsidR="001512C6">
          <w:rPr>
            <w:webHidden/>
          </w:rPr>
          <w:instrText xml:space="preserve"> PAGEREF _Toc482973603 \h </w:instrText>
        </w:r>
        <w:r w:rsidR="001512C6">
          <w:rPr>
            <w:webHidden/>
          </w:rPr>
        </w:r>
        <w:r w:rsidR="001512C6">
          <w:rPr>
            <w:webHidden/>
          </w:rPr>
          <w:fldChar w:fldCharType="separate"/>
        </w:r>
        <w:r w:rsidR="00E764A8">
          <w:rPr>
            <w:webHidden/>
          </w:rPr>
          <w:t>48</w:t>
        </w:r>
        <w:r w:rsidR="001512C6">
          <w:rPr>
            <w:webHidden/>
          </w:rPr>
          <w:fldChar w:fldCharType="end"/>
        </w:r>
      </w:hyperlink>
    </w:p>
    <w:p w14:paraId="3190F9B8" w14:textId="77777777" w:rsidR="001512C6" w:rsidRDefault="00923641">
      <w:pPr>
        <w:pStyle w:val="TableofFigures"/>
        <w:rPr>
          <w:rFonts w:eastAsiaTheme="minorEastAsia" w:cstheme="minorBidi"/>
        </w:rPr>
      </w:pPr>
      <w:hyperlink w:anchor="_Toc482973604" w:history="1">
        <w:r w:rsidR="001512C6" w:rsidRPr="00FB767B">
          <w:rPr>
            <w:rStyle w:val="Hyperlink"/>
          </w:rPr>
          <w:t>Table 24. Incremental Operation and Maintenance Costs for Exhaust Retrofits</w:t>
        </w:r>
        <w:r w:rsidR="001512C6">
          <w:rPr>
            <w:webHidden/>
          </w:rPr>
          <w:tab/>
        </w:r>
        <w:r w:rsidR="001512C6">
          <w:rPr>
            <w:webHidden/>
          </w:rPr>
          <w:fldChar w:fldCharType="begin"/>
        </w:r>
        <w:r w:rsidR="001512C6">
          <w:rPr>
            <w:webHidden/>
          </w:rPr>
          <w:instrText xml:space="preserve"> PAGEREF _Toc482973604 \h </w:instrText>
        </w:r>
        <w:r w:rsidR="001512C6">
          <w:rPr>
            <w:webHidden/>
          </w:rPr>
        </w:r>
        <w:r w:rsidR="001512C6">
          <w:rPr>
            <w:webHidden/>
          </w:rPr>
          <w:fldChar w:fldCharType="separate"/>
        </w:r>
        <w:r w:rsidR="00E764A8">
          <w:rPr>
            <w:webHidden/>
          </w:rPr>
          <w:t>48</w:t>
        </w:r>
        <w:r w:rsidR="001512C6">
          <w:rPr>
            <w:webHidden/>
          </w:rPr>
          <w:fldChar w:fldCharType="end"/>
        </w:r>
      </w:hyperlink>
    </w:p>
    <w:p w14:paraId="21C8D612" w14:textId="77777777" w:rsidR="001512C6" w:rsidRDefault="00923641">
      <w:pPr>
        <w:pStyle w:val="TableofFigures"/>
        <w:rPr>
          <w:rFonts w:eastAsiaTheme="minorEastAsia" w:cstheme="minorBidi"/>
        </w:rPr>
      </w:pPr>
      <w:hyperlink w:anchor="_Toc482973605" w:history="1">
        <w:r w:rsidR="001512C6" w:rsidRPr="00FB767B">
          <w:rPr>
            <w:rStyle w:val="Hyperlink"/>
          </w:rPr>
          <w:t>Table 25. Search Criteria for Truck-purchase Costs</w:t>
        </w:r>
        <w:r w:rsidR="001512C6">
          <w:rPr>
            <w:webHidden/>
          </w:rPr>
          <w:tab/>
        </w:r>
        <w:r w:rsidR="001512C6">
          <w:rPr>
            <w:webHidden/>
          </w:rPr>
          <w:fldChar w:fldCharType="begin"/>
        </w:r>
        <w:r w:rsidR="001512C6">
          <w:rPr>
            <w:webHidden/>
          </w:rPr>
          <w:instrText xml:space="preserve"> PAGEREF _Toc482973605 \h </w:instrText>
        </w:r>
        <w:r w:rsidR="001512C6">
          <w:rPr>
            <w:webHidden/>
          </w:rPr>
        </w:r>
        <w:r w:rsidR="001512C6">
          <w:rPr>
            <w:webHidden/>
          </w:rPr>
          <w:fldChar w:fldCharType="separate"/>
        </w:r>
        <w:r w:rsidR="00E764A8">
          <w:rPr>
            <w:webHidden/>
          </w:rPr>
          <w:t>49</w:t>
        </w:r>
        <w:r w:rsidR="001512C6">
          <w:rPr>
            <w:webHidden/>
          </w:rPr>
          <w:fldChar w:fldCharType="end"/>
        </w:r>
      </w:hyperlink>
    </w:p>
    <w:p w14:paraId="30C93C4B" w14:textId="77777777" w:rsidR="001512C6" w:rsidRDefault="00923641">
      <w:pPr>
        <w:pStyle w:val="TableofFigures"/>
        <w:rPr>
          <w:rFonts w:eastAsiaTheme="minorEastAsia" w:cstheme="minorBidi"/>
        </w:rPr>
      </w:pPr>
      <w:hyperlink w:anchor="_Toc482973606" w:history="1">
        <w:r w:rsidR="001512C6" w:rsidRPr="00FB767B">
          <w:rPr>
            <w:rStyle w:val="Hyperlink"/>
          </w:rPr>
          <w:t>Table 26. Coefficients of Truck-cost Cubic Equation</w:t>
        </w:r>
        <w:r w:rsidR="001512C6">
          <w:rPr>
            <w:webHidden/>
          </w:rPr>
          <w:tab/>
        </w:r>
        <w:r w:rsidR="001512C6">
          <w:rPr>
            <w:webHidden/>
          </w:rPr>
          <w:fldChar w:fldCharType="begin"/>
        </w:r>
        <w:r w:rsidR="001512C6">
          <w:rPr>
            <w:webHidden/>
          </w:rPr>
          <w:instrText xml:space="preserve"> PAGEREF _Toc482973606 \h </w:instrText>
        </w:r>
        <w:r w:rsidR="001512C6">
          <w:rPr>
            <w:webHidden/>
          </w:rPr>
        </w:r>
        <w:r w:rsidR="001512C6">
          <w:rPr>
            <w:webHidden/>
          </w:rPr>
          <w:fldChar w:fldCharType="separate"/>
        </w:r>
        <w:r w:rsidR="00E764A8">
          <w:rPr>
            <w:webHidden/>
          </w:rPr>
          <w:t>49</w:t>
        </w:r>
        <w:r w:rsidR="001512C6">
          <w:rPr>
            <w:webHidden/>
          </w:rPr>
          <w:fldChar w:fldCharType="end"/>
        </w:r>
      </w:hyperlink>
    </w:p>
    <w:p w14:paraId="331AD539" w14:textId="77777777" w:rsidR="001512C6" w:rsidRDefault="00923641">
      <w:pPr>
        <w:pStyle w:val="TableofFigures"/>
        <w:rPr>
          <w:rFonts w:eastAsiaTheme="minorEastAsia" w:cstheme="minorBidi"/>
        </w:rPr>
      </w:pPr>
      <w:hyperlink w:anchor="_Toc482973607" w:history="1">
        <w:r w:rsidR="001512C6" w:rsidRPr="00FB767B">
          <w:rPr>
            <w:rStyle w:val="Hyperlink"/>
          </w:rPr>
          <w:t>Table 27. Default Fuel Prices Used in the Tool</w:t>
        </w:r>
        <w:r w:rsidR="001512C6">
          <w:rPr>
            <w:webHidden/>
          </w:rPr>
          <w:tab/>
        </w:r>
        <w:r w:rsidR="001512C6">
          <w:rPr>
            <w:webHidden/>
          </w:rPr>
          <w:fldChar w:fldCharType="begin"/>
        </w:r>
        <w:r w:rsidR="001512C6">
          <w:rPr>
            <w:webHidden/>
          </w:rPr>
          <w:instrText xml:space="preserve"> PAGEREF _Toc482973607 \h </w:instrText>
        </w:r>
        <w:r w:rsidR="001512C6">
          <w:rPr>
            <w:webHidden/>
          </w:rPr>
        </w:r>
        <w:r w:rsidR="001512C6">
          <w:rPr>
            <w:webHidden/>
          </w:rPr>
          <w:fldChar w:fldCharType="separate"/>
        </w:r>
        <w:r w:rsidR="00E764A8">
          <w:rPr>
            <w:webHidden/>
          </w:rPr>
          <w:t>51</w:t>
        </w:r>
        <w:r w:rsidR="001512C6">
          <w:rPr>
            <w:webHidden/>
          </w:rPr>
          <w:fldChar w:fldCharType="end"/>
        </w:r>
      </w:hyperlink>
    </w:p>
    <w:p w14:paraId="2772CC97" w14:textId="77777777" w:rsidR="001512C6" w:rsidRDefault="00923641">
      <w:pPr>
        <w:pStyle w:val="TableofFigures"/>
        <w:rPr>
          <w:rFonts w:eastAsiaTheme="minorEastAsia" w:cstheme="minorBidi"/>
        </w:rPr>
      </w:pPr>
      <w:hyperlink w:anchor="_Toc482973608" w:history="1">
        <w:r w:rsidR="001512C6" w:rsidRPr="00FB767B">
          <w:rPr>
            <w:rStyle w:val="Hyperlink"/>
          </w:rPr>
          <w:t>Table 28: Useful Lifetimes</w:t>
        </w:r>
        <w:r w:rsidR="001512C6">
          <w:rPr>
            <w:webHidden/>
          </w:rPr>
          <w:tab/>
        </w:r>
        <w:r w:rsidR="001512C6">
          <w:rPr>
            <w:webHidden/>
          </w:rPr>
          <w:fldChar w:fldCharType="begin"/>
        </w:r>
        <w:r w:rsidR="001512C6">
          <w:rPr>
            <w:webHidden/>
          </w:rPr>
          <w:instrText xml:space="preserve"> PAGEREF _Toc482973608 \h </w:instrText>
        </w:r>
        <w:r w:rsidR="001512C6">
          <w:rPr>
            <w:webHidden/>
          </w:rPr>
        </w:r>
        <w:r w:rsidR="001512C6">
          <w:rPr>
            <w:webHidden/>
          </w:rPr>
          <w:fldChar w:fldCharType="separate"/>
        </w:r>
        <w:r w:rsidR="00E764A8">
          <w:rPr>
            <w:webHidden/>
          </w:rPr>
          <w:t>51</w:t>
        </w:r>
        <w:r w:rsidR="001512C6">
          <w:rPr>
            <w:webHidden/>
          </w:rPr>
          <w:fldChar w:fldCharType="end"/>
        </w:r>
      </w:hyperlink>
    </w:p>
    <w:p w14:paraId="77578FC2" w14:textId="77777777" w:rsidR="00C43F06" w:rsidRDefault="00833B69" w:rsidP="00C43F06">
      <w:r>
        <w:fldChar w:fldCharType="end"/>
      </w:r>
    </w:p>
    <w:p w14:paraId="7532F544" w14:textId="77777777" w:rsidR="00FE7B16" w:rsidRPr="00C43F06" w:rsidRDefault="00C43F06" w:rsidP="00C43F06">
      <w:pPr>
        <w:rPr>
          <w:b/>
          <w:color w:val="0067AB"/>
          <w:sz w:val="36"/>
          <w:szCs w:val="36"/>
        </w:rPr>
      </w:pPr>
      <w:r w:rsidRPr="00C43F06">
        <w:rPr>
          <w:b/>
          <w:color w:val="0067AB"/>
          <w:sz w:val="36"/>
          <w:szCs w:val="36"/>
        </w:rPr>
        <w:t>Figures</w:t>
      </w:r>
    </w:p>
    <w:p w14:paraId="3EF83235" w14:textId="77777777" w:rsidR="00FE7B16" w:rsidRPr="00FE7B16" w:rsidRDefault="00FE7B16" w:rsidP="00FE7B16"/>
    <w:p w14:paraId="4ADBE9CC" w14:textId="77777777" w:rsidR="001512C6" w:rsidRDefault="00833B69">
      <w:pPr>
        <w:pStyle w:val="TableofFigures"/>
        <w:rPr>
          <w:rFonts w:eastAsiaTheme="minorEastAsia" w:cstheme="minorBidi"/>
        </w:rPr>
      </w:pPr>
      <w:r>
        <w:fldChar w:fldCharType="begin"/>
      </w:r>
      <w:r w:rsidR="00C43F06">
        <w:instrText xml:space="preserve"> TOC \h \z \c "Figure" </w:instrText>
      </w:r>
      <w:r>
        <w:fldChar w:fldCharType="separate"/>
      </w:r>
      <w:hyperlink w:anchor="_Toc482973609" w:history="1">
        <w:r w:rsidR="001512C6" w:rsidRPr="00290914">
          <w:rPr>
            <w:rStyle w:val="Hyperlink"/>
          </w:rPr>
          <w:t>Figure 1. Aerodynamic Devices Used in the Tool</w:t>
        </w:r>
        <w:r w:rsidR="001512C6">
          <w:rPr>
            <w:webHidden/>
          </w:rPr>
          <w:tab/>
        </w:r>
        <w:r w:rsidR="001512C6">
          <w:rPr>
            <w:webHidden/>
          </w:rPr>
          <w:fldChar w:fldCharType="begin"/>
        </w:r>
        <w:r w:rsidR="001512C6">
          <w:rPr>
            <w:webHidden/>
          </w:rPr>
          <w:instrText xml:space="preserve"> PAGEREF _Toc482973609 \h </w:instrText>
        </w:r>
        <w:r w:rsidR="001512C6">
          <w:rPr>
            <w:webHidden/>
          </w:rPr>
        </w:r>
        <w:r w:rsidR="001512C6">
          <w:rPr>
            <w:webHidden/>
          </w:rPr>
          <w:fldChar w:fldCharType="separate"/>
        </w:r>
        <w:r w:rsidR="00E764A8">
          <w:rPr>
            <w:webHidden/>
          </w:rPr>
          <w:t>12</w:t>
        </w:r>
        <w:r w:rsidR="001512C6">
          <w:rPr>
            <w:webHidden/>
          </w:rPr>
          <w:fldChar w:fldCharType="end"/>
        </w:r>
      </w:hyperlink>
    </w:p>
    <w:p w14:paraId="71A5178A" w14:textId="77777777" w:rsidR="001512C6" w:rsidRDefault="00923641">
      <w:pPr>
        <w:pStyle w:val="TableofFigures"/>
        <w:rPr>
          <w:rFonts w:eastAsiaTheme="minorEastAsia" w:cstheme="minorBidi"/>
        </w:rPr>
      </w:pPr>
      <w:hyperlink w:anchor="_Toc482973610" w:history="1">
        <w:r w:rsidR="001512C6" w:rsidRPr="00290914">
          <w:rPr>
            <w:rStyle w:val="Hyperlink"/>
          </w:rPr>
          <w:t>Figure 2. Second by Second Port Driving Cycle C</w:t>
        </w:r>
        <w:bookmarkStart w:id="1" w:name="_GoBack"/>
        <w:bookmarkEnd w:id="1"/>
        <w:r w:rsidR="001512C6" w:rsidRPr="00290914">
          <w:rPr>
            <w:rStyle w:val="Hyperlink"/>
          </w:rPr>
          <w:t>omponents</w:t>
        </w:r>
        <w:r w:rsidR="001512C6">
          <w:rPr>
            <w:webHidden/>
          </w:rPr>
          <w:tab/>
        </w:r>
        <w:r w:rsidR="001512C6">
          <w:rPr>
            <w:webHidden/>
          </w:rPr>
          <w:fldChar w:fldCharType="begin"/>
        </w:r>
        <w:r w:rsidR="001512C6">
          <w:rPr>
            <w:webHidden/>
          </w:rPr>
          <w:instrText xml:space="preserve"> PAGEREF _Toc482973610 \h </w:instrText>
        </w:r>
        <w:r w:rsidR="001512C6">
          <w:rPr>
            <w:webHidden/>
          </w:rPr>
        </w:r>
        <w:r w:rsidR="001512C6">
          <w:rPr>
            <w:webHidden/>
          </w:rPr>
          <w:fldChar w:fldCharType="separate"/>
        </w:r>
        <w:r w:rsidR="00E764A8">
          <w:rPr>
            <w:webHidden/>
          </w:rPr>
          <w:t>39</w:t>
        </w:r>
        <w:r w:rsidR="001512C6">
          <w:rPr>
            <w:webHidden/>
          </w:rPr>
          <w:fldChar w:fldCharType="end"/>
        </w:r>
      </w:hyperlink>
    </w:p>
    <w:p w14:paraId="65850091" w14:textId="77777777" w:rsidR="001512C6" w:rsidRDefault="00923641">
      <w:pPr>
        <w:pStyle w:val="TableofFigures"/>
        <w:rPr>
          <w:rFonts w:eastAsiaTheme="minorEastAsia" w:cstheme="minorBidi"/>
        </w:rPr>
      </w:pPr>
      <w:hyperlink w:anchor="_Toc482973611" w:history="1">
        <w:r w:rsidR="001512C6" w:rsidRPr="00290914">
          <w:rPr>
            <w:rStyle w:val="Hyperlink"/>
          </w:rPr>
          <w:t>Figure 3. Port Driving Cycle used for Port Facility in Tool</w:t>
        </w:r>
        <w:r w:rsidR="001512C6">
          <w:rPr>
            <w:webHidden/>
          </w:rPr>
          <w:tab/>
        </w:r>
        <w:r w:rsidR="001512C6">
          <w:rPr>
            <w:webHidden/>
          </w:rPr>
          <w:fldChar w:fldCharType="begin"/>
        </w:r>
        <w:r w:rsidR="001512C6">
          <w:rPr>
            <w:webHidden/>
          </w:rPr>
          <w:instrText xml:space="preserve"> PAGEREF _Toc482973611 \h </w:instrText>
        </w:r>
        <w:r w:rsidR="001512C6">
          <w:rPr>
            <w:webHidden/>
          </w:rPr>
        </w:r>
        <w:r w:rsidR="001512C6">
          <w:rPr>
            <w:webHidden/>
          </w:rPr>
          <w:fldChar w:fldCharType="separate"/>
        </w:r>
        <w:r w:rsidR="00E764A8">
          <w:rPr>
            <w:webHidden/>
          </w:rPr>
          <w:t>39</w:t>
        </w:r>
        <w:r w:rsidR="001512C6">
          <w:rPr>
            <w:webHidden/>
          </w:rPr>
          <w:fldChar w:fldCharType="end"/>
        </w:r>
      </w:hyperlink>
    </w:p>
    <w:p w14:paraId="3A73A932" w14:textId="77777777" w:rsidR="001512C6" w:rsidRDefault="00923641">
      <w:pPr>
        <w:pStyle w:val="TableofFigures"/>
        <w:rPr>
          <w:rFonts w:eastAsiaTheme="minorEastAsia" w:cstheme="minorBidi"/>
        </w:rPr>
      </w:pPr>
      <w:hyperlink w:anchor="_Toc482973612" w:history="1">
        <w:r w:rsidR="001512C6" w:rsidRPr="00290914">
          <w:rPr>
            <w:rStyle w:val="Hyperlink"/>
          </w:rPr>
          <w:t>Figure 4. North American Electric Corporation Map of U.S. Regions of Electricity Generation</w:t>
        </w:r>
        <w:r w:rsidR="001512C6">
          <w:rPr>
            <w:webHidden/>
          </w:rPr>
          <w:tab/>
        </w:r>
        <w:r w:rsidR="001512C6">
          <w:rPr>
            <w:webHidden/>
          </w:rPr>
          <w:fldChar w:fldCharType="begin"/>
        </w:r>
        <w:r w:rsidR="001512C6">
          <w:rPr>
            <w:webHidden/>
          </w:rPr>
          <w:instrText xml:space="preserve"> PAGEREF _Toc482973612 \h </w:instrText>
        </w:r>
        <w:r w:rsidR="001512C6">
          <w:rPr>
            <w:webHidden/>
          </w:rPr>
        </w:r>
        <w:r w:rsidR="001512C6">
          <w:rPr>
            <w:webHidden/>
          </w:rPr>
          <w:fldChar w:fldCharType="separate"/>
        </w:r>
        <w:r w:rsidR="00E764A8">
          <w:rPr>
            <w:webHidden/>
          </w:rPr>
          <w:t>45</w:t>
        </w:r>
        <w:r w:rsidR="001512C6">
          <w:rPr>
            <w:webHidden/>
          </w:rPr>
          <w:fldChar w:fldCharType="end"/>
        </w:r>
      </w:hyperlink>
    </w:p>
    <w:p w14:paraId="022EB9EF" w14:textId="77777777" w:rsidR="001512C6" w:rsidRDefault="00923641">
      <w:pPr>
        <w:pStyle w:val="TableofFigures"/>
        <w:rPr>
          <w:rFonts w:eastAsiaTheme="minorEastAsia" w:cstheme="minorBidi"/>
        </w:rPr>
      </w:pPr>
      <w:hyperlink w:anchor="_Toc482973613" w:history="1">
        <w:r w:rsidR="001512C6" w:rsidRPr="00290914">
          <w:rPr>
            <w:rStyle w:val="Hyperlink"/>
          </w:rPr>
          <w:t>Figure 5. Derived Truck-purchase Costs Based on Age and Type</w:t>
        </w:r>
        <w:r w:rsidR="001512C6">
          <w:rPr>
            <w:webHidden/>
          </w:rPr>
          <w:tab/>
        </w:r>
        <w:r w:rsidR="001512C6">
          <w:rPr>
            <w:webHidden/>
          </w:rPr>
          <w:fldChar w:fldCharType="begin"/>
        </w:r>
        <w:r w:rsidR="001512C6">
          <w:rPr>
            <w:webHidden/>
          </w:rPr>
          <w:instrText xml:space="preserve"> PAGEREF _Toc482973613 \h </w:instrText>
        </w:r>
        <w:r w:rsidR="001512C6">
          <w:rPr>
            <w:webHidden/>
          </w:rPr>
        </w:r>
        <w:r w:rsidR="001512C6">
          <w:rPr>
            <w:webHidden/>
          </w:rPr>
          <w:fldChar w:fldCharType="separate"/>
        </w:r>
        <w:r w:rsidR="00E764A8">
          <w:rPr>
            <w:webHidden/>
          </w:rPr>
          <w:t>50</w:t>
        </w:r>
        <w:r w:rsidR="001512C6">
          <w:rPr>
            <w:webHidden/>
          </w:rPr>
          <w:fldChar w:fldCharType="end"/>
        </w:r>
      </w:hyperlink>
    </w:p>
    <w:p w14:paraId="7E985795" w14:textId="77777777" w:rsidR="00FE7B16" w:rsidRPr="00FE7B16" w:rsidRDefault="00833B69" w:rsidP="00FE7B16">
      <w:r>
        <w:fldChar w:fldCharType="end"/>
      </w:r>
    </w:p>
    <w:p w14:paraId="762A5B3A" w14:textId="77777777" w:rsidR="000C7A85" w:rsidRDefault="000C7A85" w:rsidP="00026177">
      <w:pPr>
        <w:pStyle w:val="FrontMatterHeading"/>
        <w:rPr>
          <w:color w:val="0067AB"/>
        </w:rPr>
      </w:pPr>
      <w:r w:rsidRPr="00D2164E">
        <w:lastRenderedPageBreak/>
        <w:t xml:space="preserve">Acronyms and </w:t>
      </w:r>
      <w:r w:rsidRPr="005B74A8">
        <w:rPr>
          <w:color w:val="0067AB"/>
        </w:rPr>
        <w:t>Abbreviations</w:t>
      </w:r>
    </w:p>
    <w:tbl>
      <w:tblPr>
        <w:tblStyle w:val="TemplateTable"/>
        <w:tblW w:w="9476" w:type="dxa"/>
        <w:tblLayout w:type="fixed"/>
        <w:tblLook w:val="04A0" w:firstRow="1" w:lastRow="0" w:firstColumn="1" w:lastColumn="0" w:noHBand="0" w:noVBand="1"/>
      </w:tblPr>
      <w:tblGrid>
        <w:gridCol w:w="2578"/>
        <w:gridCol w:w="6898"/>
      </w:tblGrid>
      <w:tr w:rsidR="004D30E5" w:rsidRPr="00D2164E" w14:paraId="3F76926A" w14:textId="77777777" w:rsidTr="007659C4">
        <w:trPr>
          <w:cnfStyle w:val="100000000000" w:firstRow="1" w:lastRow="0" w:firstColumn="0" w:lastColumn="0" w:oddVBand="0" w:evenVBand="0" w:oddHBand="0" w:evenHBand="0" w:firstRowFirstColumn="0" w:firstRowLastColumn="0" w:lastRowFirstColumn="0" w:lastRowLastColumn="0"/>
        </w:trPr>
        <w:tc>
          <w:tcPr>
            <w:tcW w:w="2578" w:type="dxa"/>
          </w:tcPr>
          <w:p w14:paraId="51FAC13F" w14:textId="77777777" w:rsidR="004D30E5" w:rsidRPr="00584459" w:rsidRDefault="004D30E5" w:rsidP="00AC0B5A">
            <w:pPr>
              <w:pStyle w:val="TableColumnHeading"/>
              <w:rPr>
                <w:color w:val="0067AB" w:themeColor="accent1"/>
              </w:rPr>
            </w:pPr>
            <w:r w:rsidRPr="003667EC">
              <w:t>Acronym / Abbreviation</w:t>
            </w:r>
          </w:p>
        </w:tc>
        <w:tc>
          <w:tcPr>
            <w:tcW w:w="6898" w:type="dxa"/>
          </w:tcPr>
          <w:p w14:paraId="1BD46D6C" w14:textId="77777777" w:rsidR="004D30E5" w:rsidRPr="003667EC" w:rsidRDefault="004D30E5" w:rsidP="00AC0B5A">
            <w:pPr>
              <w:pStyle w:val="TableColumnHeading"/>
            </w:pPr>
            <w:r w:rsidRPr="003667EC">
              <w:t>Stands For</w:t>
            </w:r>
          </w:p>
        </w:tc>
      </w:tr>
      <w:tr w:rsidR="007659C4" w:rsidRPr="00D2164E" w14:paraId="0A78C399" w14:textId="77777777" w:rsidTr="007659C4">
        <w:tc>
          <w:tcPr>
            <w:tcW w:w="2578" w:type="dxa"/>
          </w:tcPr>
          <w:p w14:paraId="42DBBF9A" w14:textId="77777777" w:rsidR="007659C4" w:rsidRPr="00D2164E" w:rsidRDefault="007659C4" w:rsidP="007659C4">
            <w:pPr>
              <w:pStyle w:val="TableCellText"/>
            </w:pPr>
            <w:r>
              <w:t>ATIS</w:t>
            </w:r>
          </w:p>
        </w:tc>
        <w:tc>
          <w:tcPr>
            <w:tcW w:w="6898" w:type="dxa"/>
          </w:tcPr>
          <w:p w14:paraId="035261A6" w14:textId="77777777" w:rsidR="007659C4" w:rsidRPr="003667EC" w:rsidRDefault="007659C4" w:rsidP="007659C4">
            <w:pPr>
              <w:pStyle w:val="TableCellText"/>
            </w:pPr>
            <w:r w:rsidRPr="00F06606">
              <w:t>Automatic tire inflation systems</w:t>
            </w:r>
          </w:p>
        </w:tc>
      </w:tr>
      <w:tr w:rsidR="007659C4" w:rsidRPr="00D2164E" w14:paraId="2178881B" w14:textId="77777777" w:rsidTr="007659C4">
        <w:tc>
          <w:tcPr>
            <w:tcW w:w="2578" w:type="dxa"/>
          </w:tcPr>
          <w:p w14:paraId="55F47117" w14:textId="77777777" w:rsidR="007659C4" w:rsidRPr="00D2164E" w:rsidRDefault="007659C4" w:rsidP="007659C4">
            <w:pPr>
              <w:pStyle w:val="TableCellText"/>
            </w:pPr>
            <w:r>
              <w:t>B20</w:t>
            </w:r>
          </w:p>
        </w:tc>
        <w:tc>
          <w:tcPr>
            <w:tcW w:w="6898" w:type="dxa"/>
          </w:tcPr>
          <w:p w14:paraId="1DA36C25" w14:textId="77777777" w:rsidR="007659C4" w:rsidRPr="00D2164E" w:rsidRDefault="007659C4" w:rsidP="007659C4">
            <w:pPr>
              <w:pStyle w:val="TableCellText"/>
            </w:pPr>
            <w:r>
              <w:t>20 percent blend of biodiesel with petroleum diesel</w:t>
            </w:r>
          </w:p>
        </w:tc>
      </w:tr>
      <w:tr w:rsidR="007659C4" w:rsidRPr="00D2164E" w14:paraId="35B75DE1" w14:textId="77777777" w:rsidTr="007659C4">
        <w:tc>
          <w:tcPr>
            <w:tcW w:w="2578" w:type="dxa"/>
          </w:tcPr>
          <w:p w14:paraId="280A4449" w14:textId="77777777" w:rsidR="007659C4" w:rsidRPr="00D2164E" w:rsidRDefault="007659C4" w:rsidP="007659C4">
            <w:pPr>
              <w:pStyle w:val="TableCellText"/>
            </w:pPr>
            <w:r>
              <w:t>CNG</w:t>
            </w:r>
          </w:p>
        </w:tc>
        <w:tc>
          <w:tcPr>
            <w:tcW w:w="6898" w:type="dxa"/>
          </w:tcPr>
          <w:p w14:paraId="2CEA5B25" w14:textId="77777777" w:rsidR="007659C4" w:rsidRPr="00D2164E" w:rsidRDefault="007659C4" w:rsidP="007659C4">
            <w:pPr>
              <w:pStyle w:val="TableCellText"/>
            </w:pPr>
            <w:r>
              <w:t>Compressed natural gas</w:t>
            </w:r>
          </w:p>
        </w:tc>
      </w:tr>
      <w:tr w:rsidR="007659C4" w:rsidRPr="00D2164E" w14:paraId="12D11462" w14:textId="77777777" w:rsidTr="007659C4">
        <w:tc>
          <w:tcPr>
            <w:tcW w:w="2578" w:type="dxa"/>
          </w:tcPr>
          <w:p w14:paraId="5699467F" w14:textId="77777777" w:rsidR="007659C4" w:rsidRPr="007659C4" w:rsidRDefault="007659C4" w:rsidP="007659C4">
            <w:pPr>
              <w:pStyle w:val="TableCellText"/>
              <w:rPr>
                <w:vertAlign w:val="subscript"/>
              </w:rPr>
            </w:pPr>
            <w:r>
              <w:t>CO</w:t>
            </w:r>
            <w:r>
              <w:rPr>
                <w:vertAlign w:val="subscript"/>
              </w:rPr>
              <w:t>2</w:t>
            </w:r>
          </w:p>
        </w:tc>
        <w:tc>
          <w:tcPr>
            <w:tcW w:w="6898" w:type="dxa"/>
          </w:tcPr>
          <w:p w14:paraId="51325419" w14:textId="77777777" w:rsidR="007659C4" w:rsidRDefault="007659C4" w:rsidP="007659C4">
            <w:pPr>
              <w:pStyle w:val="TableCellText"/>
            </w:pPr>
            <w:r>
              <w:t>Carbon dioxide</w:t>
            </w:r>
          </w:p>
        </w:tc>
      </w:tr>
      <w:tr w:rsidR="00F608DA" w:rsidRPr="00D2164E" w14:paraId="0163752C" w14:textId="77777777" w:rsidTr="007659C4">
        <w:tc>
          <w:tcPr>
            <w:tcW w:w="2578" w:type="dxa"/>
          </w:tcPr>
          <w:p w14:paraId="7A07AA25" w14:textId="77777777" w:rsidR="00F608DA" w:rsidRDefault="00F608DA" w:rsidP="007659C4">
            <w:pPr>
              <w:pStyle w:val="TableCellText"/>
            </w:pPr>
            <w:r>
              <w:t>Combo</w:t>
            </w:r>
          </w:p>
        </w:tc>
        <w:tc>
          <w:tcPr>
            <w:tcW w:w="6898" w:type="dxa"/>
          </w:tcPr>
          <w:p w14:paraId="131756A3" w14:textId="77777777" w:rsidR="00F608DA" w:rsidRDefault="00F608DA" w:rsidP="007659C4">
            <w:pPr>
              <w:pStyle w:val="TableCellText"/>
            </w:pPr>
            <w:r>
              <w:t>Combination</w:t>
            </w:r>
          </w:p>
        </w:tc>
      </w:tr>
      <w:tr w:rsidR="007659C4" w:rsidRPr="00D2164E" w14:paraId="3469655A" w14:textId="77777777" w:rsidTr="007659C4">
        <w:tc>
          <w:tcPr>
            <w:tcW w:w="2578" w:type="dxa"/>
          </w:tcPr>
          <w:p w14:paraId="5F92D72C" w14:textId="77777777" w:rsidR="007659C4" w:rsidRPr="00D2164E" w:rsidRDefault="007659C4" w:rsidP="007659C4">
            <w:pPr>
              <w:pStyle w:val="TableCellText"/>
            </w:pPr>
            <w:r>
              <w:t>DEF</w:t>
            </w:r>
          </w:p>
        </w:tc>
        <w:tc>
          <w:tcPr>
            <w:tcW w:w="6898" w:type="dxa"/>
          </w:tcPr>
          <w:p w14:paraId="1F55AA0D" w14:textId="77777777" w:rsidR="007659C4" w:rsidRPr="00D2164E" w:rsidRDefault="007659C4" w:rsidP="007659C4">
            <w:pPr>
              <w:pStyle w:val="TableCellText"/>
            </w:pPr>
            <w:r>
              <w:t>Diesel exhaust fluid</w:t>
            </w:r>
          </w:p>
        </w:tc>
      </w:tr>
      <w:tr w:rsidR="00956E31" w:rsidRPr="00D2164E" w14:paraId="7E5934E3" w14:textId="77777777" w:rsidTr="007659C4">
        <w:tc>
          <w:tcPr>
            <w:tcW w:w="2578" w:type="dxa"/>
          </w:tcPr>
          <w:p w14:paraId="4A62031D" w14:textId="77777777" w:rsidR="00956E31" w:rsidRDefault="00956E31" w:rsidP="00956E31">
            <w:pPr>
              <w:pStyle w:val="TableCellText"/>
            </w:pPr>
            <w:r>
              <w:t>DGE</w:t>
            </w:r>
          </w:p>
        </w:tc>
        <w:tc>
          <w:tcPr>
            <w:tcW w:w="6898" w:type="dxa"/>
          </w:tcPr>
          <w:p w14:paraId="2D1E4C13" w14:textId="77777777" w:rsidR="00956E31" w:rsidRDefault="00EF7805" w:rsidP="00EF7805">
            <w:pPr>
              <w:pStyle w:val="TableCellText"/>
            </w:pPr>
            <w:r>
              <w:t xml:space="preserve">Diesel </w:t>
            </w:r>
            <w:r w:rsidR="00956E31">
              <w:t>gallon</w:t>
            </w:r>
            <w:r>
              <w:t xml:space="preserve"> equivalent</w:t>
            </w:r>
          </w:p>
        </w:tc>
      </w:tr>
      <w:tr w:rsidR="00956E31" w:rsidRPr="00D2164E" w14:paraId="7034FF3A" w14:textId="77777777" w:rsidTr="007659C4">
        <w:tc>
          <w:tcPr>
            <w:tcW w:w="2578" w:type="dxa"/>
          </w:tcPr>
          <w:p w14:paraId="3F4EED50" w14:textId="77777777" w:rsidR="00956E31" w:rsidRPr="00D2164E" w:rsidRDefault="00956E31" w:rsidP="00956E31">
            <w:pPr>
              <w:pStyle w:val="TableCellText"/>
            </w:pPr>
            <w:r>
              <w:t>DOC</w:t>
            </w:r>
          </w:p>
        </w:tc>
        <w:tc>
          <w:tcPr>
            <w:tcW w:w="6898" w:type="dxa"/>
          </w:tcPr>
          <w:p w14:paraId="51F2F1D9" w14:textId="77777777" w:rsidR="00956E31" w:rsidRPr="00D2164E" w:rsidRDefault="00956E31" w:rsidP="00956E31">
            <w:pPr>
              <w:pStyle w:val="TableCellText"/>
            </w:pPr>
            <w:r>
              <w:t>Diesel oxidation catalyst</w:t>
            </w:r>
          </w:p>
        </w:tc>
      </w:tr>
      <w:tr w:rsidR="00956E31" w:rsidRPr="00D2164E" w14:paraId="0AE8DAC1" w14:textId="77777777" w:rsidTr="007659C4">
        <w:tc>
          <w:tcPr>
            <w:tcW w:w="2578" w:type="dxa"/>
          </w:tcPr>
          <w:p w14:paraId="3C303567" w14:textId="77777777" w:rsidR="00956E31" w:rsidRPr="00D2164E" w:rsidRDefault="00956E31" w:rsidP="00956E31">
            <w:pPr>
              <w:pStyle w:val="TableCellText"/>
            </w:pPr>
            <w:r>
              <w:t>DPF</w:t>
            </w:r>
          </w:p>
        </w:tc>
        <w:tc>
          <w:tcPr>
            <w:tcW w:w="6898" w:type="dxa"/>
          </w:tcPr>
          <w:p w14:paraId="207D8876" w14:textId="77777777" w:rsidR="00956E31" w:rsidRPr="00D2164E" w:rsidRDefault="00956E31" w:rsidP="00956E31">
            <w:pPr>
              <w:pStyle w:val="TableCellText"/>
            </w:pPr>
            <w:r>
              <w:t>Diesel particulate filter</w:t>
            </w:r>
          </w:p>
        </w:tc>
      </w:tr>
      <w:tr w:rsidR="00956E31" w:rsidRPr="00D2164E" w14:paraId="239E8BBA" w14:textId="77777777" w:rsidTr="007659C4">
        <w:tc>
          <w:tcPr>
            <w:tcW w:w="2578" w:type="dxa"/>
          </w:tcPr>
          <w:p w14:paraId="221CE752" w14:textId="77777777" w:rsidR="00956E31" w:rsidRPr="00D2164E" w:rsidRDefault="00956E31" w:rsidP="00956E31">
            <w:pPr>
              <w:pStyle w:val="TableCellText"/>
            </w:pPr>
            <w:r w:rsidRPr="00B20E47">
              <w:t>EPA</w:t>
            </w:r>
          </w:p>
        </w:tc>
        <w:tc>
          <w:tcPr>
            <w:tcW w:w="6898" w:type="dxa"/>
          </w:tcPr>
          <w:p w14:paraId="49E2FA06" w14:textId="77777777" w:rsidR="00956E31" w:rsidRPr="003667EC" w:rsidRDefault="00956E31" w:rsidP="00956E31">
            <w:pPr>
              <w:pStyle w:val="TableCellText"/>
            </w:pPr>
            <w:r w:rsidRPr="003667EC">
              <w:t>U.S. Environmental Protection Agency</w:t>
            </w:r>
          </w:p>
        </w:tc>
      </w:tr>
      <w:tr w:rsidR="00EF7805" w:rsidRPr="00D2164E" w14:paraId="6B6EACAA" w14:textId="77777777" w:rsidTr="007659C4">
        <w:tc>
          <w:tcPr>
            <w:tcW w:w="2578" w:type="dxa"/>
          </w:tcPr>
          <w:p w14:paraId="1463265B" w14:textId="77777777" w:rsidR="00EF7805" w:rsidRPr="00B20E47" w:rsidRDefault="00EF7805" w:rsidP="00956E31">
            <w:pPr>
              <w:pStyle w:val="TableCellText"/>
            </w:pPr>
            <w:r>
              <w:t>EV</w:t>
            </w:r>
          </w:p>
        </w:tc>
        <w:tc>
          <w:tcPr>
            <w:tcW w:w="6898" w:type="dxa"/>
          </w:tcPr>
          <w:p w14:paraId="3AC324FC" w14:textId="77777777" w:rsidR="00EF7805" w:rsidRPr="003667EC" w:rsidRDefault="00EF7805" w:rsidP="00956E31">
            <w:pPr>
              <w:pStyle w:val="TableCellText"/>
            </w:pPr>
            <w:r>
              <w:t>Electric vehicle</w:t>
            </w:r>
          </w:p>
        </w:tc>
      </w:tr>
      <w:tr w:rsidR="00956E31" w:rsidRPr="00D2164E" w14:paraId="72C02DA1" w14:textId="77777777" w:rsidTr="007659C4">
        <w:tc>
          <w:tcPr>
            <w:tcW w:w="2578" w:type="dxa"/>
          </w:tcPr>
          <w:p w14:paraId="0FE2DCCA" w14:textId="77777777" w:rsidR="00956E31" w:rsidRPr="00D2164E" w:rsidRDefault="00956E31" w:rsidP="00956E31">
            <w:pPr>
              <w:pStyle w:val="TableCellText"/>
            </w:pPr>
            <w:r>
              <w:t>FAME</w:t>
            </w:r>
          </w:p>
        </w:tc>
        <w:tc>
          <w:tcPr>
            <w:tcW w:w="6898" w:type="dxa"/>
          </w:tcPr>
          <w:p w14:paraId="0D3CDB92" w14:textId="77777777" w:rsidR="00956E31" w:rsidRPr="00D2164E" w:rsidRDefault="00956E31" w:rsidP="00956E31">
            <w:pPr>
              <w:pStyle w:val="TableCellText"/>
            </w:pPr>
            <w:r>
              <w:t>F</w:t>
            </w:r>
            <w:r w:rsidRPr="005E3357">
              <w:t>atty acid methyl ester</w:t>
            </w:r>
          </w:p>
        </w:tc>
      </w:tr>
      <w:tr w:rsidR="00956E31" w:rsidRPr="00D2164E" w14:paraId="62BA386C" w14:textId="77777777" w:rsidTr="007659C4">
        <w:tc>
          <w:tcPr>
            <w:tcW w:w="2578" w:type="dxa"/>
          </w:tcPr>
          <w:p w14:paraId="51A35F2A" w14:textId="77777777" w:rsidR="00956E31" w:rsidRPr="00D2164E" w:rsidRDefault="00956E31" w:rsidP="00956E31">
            <w:pPr>
              <w:pStyle w:val="TableCellText"/>
            </w:pPr>
            <w:r>
              <w:t>gal</w:t>
            </w:r>
          </w:p>
        </w:tc>
        <w:tc>
          <w:tcPr>
            <w:tcW w:w="6898" w:type="dxa"/>
          </w:tcPr>
          <w:p w14:paraId="0386BAD5" w14:textId="77777777" w:rsidR="00956E31" w:rsidRPr="00D2164E" w:rsidRDefault="00956E31" w:rsidP="00956E31">
            <w:pPr>
              <w:pStyle w:val="TableCellText"/>
            </w:pPr>
            <w:r>
              <w:t>Gallon</w:t>
            </w:r>
          </w:p>
        </w:tc>
      </w:tr>
      <w:tr w:rsidR="00956E31" w:rsidRPr="00D2164E" w14:paraId="0F97EC5C" w14:textId="77777777" w:rsidTr="007659C4">
        <w:tc>
          <w:tcPr>
            <w:tcW w:w="2578" w:type="dxa"/>
          </w:tcPr>
          <w:p w14:paraId="1D13662C" w14:textId="77777777" w:rsidR="00956E31" w:rsidRDefault="00956E31" w:rsidP="00956E31">
            <w:pPr>
              <w:pStyle w:val="TableCellText"/>
            </w:pPr>
            <w:r>
              <w:t>Gas</w:t>
            </w:r>
          </w:p>
        </w:tc>
        <w:tc>
          <w:tcPr>
            <w:tcW w:w="6898" w:type="dxa"/>
          </w:tcPr>
          <w:p w14:paraId="0C435EC9" w14:textId="77777777" w:rsidR="00956E31" w:rsidRDefault="00956E31" w:rsidP="00956E31">
            <w:pPr>
              <w:pStyle w:val="TableCellText"/>
            </w:pPr>
            <w:r>
              <w:t>Gasoline</w:t>
            </w:r>
          </w:p>
        </w:tc>
      </w:tr>
      <w:tr w:rsidR="00956E31" w:rsidRPr="00D2164E" w14:paraId="0CAA8D3C" w14:textId="77777777" w:rsidTr="007659C4">
        <w:tc>
          <w:tcPr>
            <w:tcW w:w="2578" w:type="dxa"/>
          </w:tcPr>
          <w:p w14:paraId="525346C2" w14:textId="77777777" w:rsidR="00956E31" w:rsidRPr="00D2164E" w:rsidRDefault="00956E31" w:rsidP="00956E31">
            <w:pPr>
              <w:pStyle w:val="TableCellText"/>
            </w:pPr>
            <w:r>
              <w:t>GGE</w:t>
            </w:r>
          </w:p>
        </w:tc>
        <w:tc>
          <w:tcPr>
            <w:tcW w:w="6898" w:type="dxa"/>
          </w:tcPr>
          <w:p w14:paraId="5FCE694D" w14:textId="77777777" w:rsidR="00956E31" w:rsidRPr="00D2164E" w:rsidRDefault="00956E31" w:rsidP="00EF7805">
            <w:pPr>
              <w:pStyle w:val="TableCellText"/>
            </w:pPr>
            <w:r>
              <w:t>Gasoline gallon</w:t>
            </w:r>
            <w:r w:rsidR="00EF7805">
              <w:t xml:space="preserve"> equivalent</w:t>
            </w:r>
          </w:p>
        </w:tc>
      </w:tr>
      <w:tr w:rsidR="00956E31" w:rsidRPr="00D2164E" w14:paraId="166AE3A1" w14:textId="77777777" w:rsidTr="007659C4">
        <w:tc>
          <w:tcPr>
            <w:tcW w:w="2578" w:type="dxa"/>
          </w:tcPr>
          <w:p w14:paraId="05F8FD9C" w14:textId="77777777" w:rsidR="00956E31" w:rsidRPr="00D2164E" w:rsidRDefault="00956E31" w:rsidP="00956E31">
            <w:pPr>
              <w:pStyle w:val="TableCellText"/>
            </w:pPr>
            <w:r>
              <w:t>GHG</w:t>
            </w:r>
          </w:p>
        </w:tc>
        <w:tc>
          <w:tcPr>
            <w:tcW w:w="6898" w:type="dxa"/>
          </w:tcPr>
          <w:p w14:paraId="3C25EFBC" w14:textId="77777777" w:rsidR="00956E31" w:rsidRPr="00D2164E" w:rsidRDefault="00956E31" w:rsidP="00956E31">
            <w:pPr>
              <w:pStyle w:val="TableCellText"/>
            </w:pPr>
            <w:r>
              <w:t>Greenhouse gases</w:t>
            </w:r>
          </w:p>
        </w:tc>
      </w:tr>
      <w:tr w:rsidR="00956E31" w:rsidRPr="00D2164E" w14:paraId="297BADAC" w14:textId="77777777" w:rsidTr="007659C4">
        <w:tc>
          <w:tcPr>
            <w:tcW w:w="2578" w:type="dxa"/>
          </w:tcPr>
          <w:p w14:paraId="1DAB5349" w14:textId="77777777" w:rsidR="00956E31" w:rsidRDefault="00956E31" w:rsidP="00956E31">
            <w:pPr>
              <w:pStyle w:val="TableCellText"/>
            </w:pPr>
            <w:r>
              <w:t>HC</w:t>
            </w:r>
          </w:p>
        </w:tc>
        <w:tc>
          <w:tcPr>
            <w:tcW w:w="6898" w:type="dxa"/>
          </w:tcPr>
          <w:p w14:paraId="50A6C90C" w14:textId="77777777" w:rsidR="00956E31" w:rsidRDefault="00956E31" w:rsidP="00956E31">
            <w:pPr>
              <w:pStyle w:val="TableCellText"/>
            </w:pPr>
            <w:r>
              <w:t>Hydrocarbons</w:t>
            </w:r>
          </w:p>
        </w:tc>
      </w:tr>
      <w:tr w:rsidR="00956E31" w:rsidRPr="00D2164E" w14:paraId="2F36C24A" w14:textId="77777777" w:rsidTr="007659C4">
        <w:tc>
          <w:tcPr>
            <w:tcW w:w="2578" w:type="dxa"/>
          </w:tcPr>
          <w:p w14:paraId="08C270EF" w14:textId="77777777" w:rsidR="00956E31" w:rsidRPr="00D2164E" w:rsidRDefault="00956E31" w:rsidP="00956E31">
            <w:pPr>
              <w:pStyle w:val="TableCellText"/>
            </w:pPr>
            <w:r>
              <w:t>kWh</w:t>
            </w:r>
          </w:p>
        </w:tc>
        <w:tc>
          <w:tcPr>
            <w:tcW w:w="6898" w:type="dxa"/>
          </w:tcPr>
          <w:p w14:paraId="26734550" w14:textId="77777777" w:rsidR="00956E31" w:rsidRPr="00D2164E" w:rsidRDefault="00956E31" w:rsidP="00956E31">
            <w:pPr>
              <w:pStyle w:val="TableCellText"/>
            </w:pPr>
            <w:r>
              <w:t>Kilowatt hour</w:t>
            </w:r>
          </w:p>
        </w:tc>
      </w:tr>
      <w:tr w:rsidR="00956E31" w:rsidRPr="00D2164E" w14:paraId="272BF553" w14:textId="77777777" w:rsidTr="007659C4">
        <w:tc>
          <w:tcPr>
            <w:tcW w:w="2578" w:type="dxa"/>
          </w:tcPr>
          <w:p w14:paraId="62C85B82" w14:textId="77777777" w:rsidR="00956E31" w:rsidRPr="00D2164E" w:rsidRDefault="00956E31" w:rsidP="00956E31">
            <w:pPr>
              <w:pStyle w:val="TableCellText"/>
            </w:pPr>
            <w:r>
              <w:t>LNG</w:t>
            </w:r>
          </w:p>
        </w:tc>
        <w:tc>
          <w:tcPr>
            <w:tcW w:w="6898" w:type="dxa"/>
          </w:tcPr>
          <w:p w14:paraId="3B6B8722" w14:textId="77777777" w:rsidR="00956E31" w:rsidRPr="00D2164E" w:rsidRDefault="00956E31" w:rsidP="00956E31">
            <w:pPr>
              <w:pStyle w:val="TableCellText"/>
            </w:pPr>
            <w:r>
              <w:t>Liquefied natural gas</w:t>
            </w:r>
          </w:p>
        </w:tc>
      </w:tr>
      <w:tr w:rsidR="00956E31" w:rsidRPr="00D2164E" w14:paraId="18ED9045" w14:textId="77777777" w:rsidTr="007659C4">
        <w:tc>
          <w:tcPr>
            <w:tcW w:w="2578" w:type="dxa"/>
          </w:tcPr>
          <w:p w14:paraId="5C6F400D" w14:textId="77777777" w:rsidR="00956E31" w:rsidRPr="00D2164E" w:rsidRDefault="00956E31" w:rsidP="00956E31">
            <w:pPr>
              <w:pStyle w:val="TableCellText"/>
            </w:pPr>
            <w:r>
              <w:t>LPG</w:t>
            </w:r>
          </w:p>
        </w:tc>
        <w:tc>
          <w:tcPr>
            <w:tcW w:w="6898" w:type="dxa"/>
          </w:tcPr>
          <w:p w14:paraId="32F916D4" w14:textId="77777777" w:rsidR="00956E31" w:rsidRPr="00D2164E" w:rsidRDefault="00956E31" w:rsidP="00956E31">
            <w:pPr>
              <w:pStyle w:val="TableCellText"/>
            </w:pPr>
            <w:r>
              <w:t>Liquefied petroleum gas</w:t>
            </w:r>
          </w:p>
        </w:tc>
      </w:tr>
      <w:tr w:rsidR="00956E31" w:rsidRPr="00D2164E" w14:paraId="57C8C1E3" w14:textId="77777777" w:rsidTr="007659C4">
        <w:tc>
          <w:tcPr>
            <w:tcW w:w="2578" w:type="dxa"/>
          </w:tcPr>
          <w:p w14:paraId="6CC464F4" w14:textId="77777777" w:rsidR="00956E31" w:rsidRPr="00D2164E" w:rsidRDefault="00956E31" w:rsidP="00956E31">
            <w:pPr>
              <w:pStyle w:val="TableCellText"/>
            </w:pPr>
            <w:r>
              <w:t>MOVES</w:t>
            </w:r>
          </w:p>
        </w:tc>
        <w:tc>
          <w:tcPr>
            <w:tcW w:w="6898" w:type="dxa"/>
          </w:tcPr>
          <w:p w14:paraId="4561E631" w14:textId="77777777" w:rsidR="00956E31" w:rsidRPr="00D2164E" w:rsidRDefault="00956E31" w:rsidP="00956E31">
            <w:pPr>
              <w:pStyle w:val="TableCellText"/>
            </w:pPr>
            <w:r>
              <w:t>Motor Vehicle Emissions Simulator</w:t>
            </w:r>
          </w:p>
        </w:tc>
      </w:tr>
      <w:tr w:rsidR="00956E31" w:rsidRPr="00D2164E" w14:paraId="69EE7FE2" w14:textId="77777777" w:rsidTr="007659C4">
        <w:tc>
          <w:tcPr>
            <w:tcW w:w="2578" w:type="dxa"/>
          </w:tcPr>
          <w:p w14:paraId="4BC3045F" w14:textId="77777777" w:rsidR="00956E31" w:rsidRPr="00D2164E" w:rsidRDefault="00956E31" w:rsidP="00956E31">
            <w:pPr>
              <w:pStyle w:val="TableCellText"/>
            </w:pPr>
            <w:r>
              <w:t>NOx</w:t>
            </w:r>
          </w:p>
        </w:tc>
        <w:tc>
          <w:tcPr>
            <w:tcW w:w="6898" w:type="dxa"/>
          </w:tcPr>
          <w:p w14:paraId="138B815D" w14:textId="77777777" w:rsidR="00956E31" w:rsidRPr="00D2164E" w:rsidRDefault="00956E31" w:rsidP="00956E31">
            <w:pPr>
              <w:pStyle w:val="TableCellText"/>
            </w:pPr>
            <w:r>
              <w:t>Oxides of nitrogen</w:t>
            </w:r>
          </w:p>
        </w:tc>
      </w:tr>
      <w:tr w:rsidR="00956E31" w:rsidRPr="00D2164E" w14:paraId="06C583E6" w14:textId="77777777" w:rsidTr="007659C4">
        <w:tc>
          <w:tcPr>
            <w:tcW w:w="2578" w:type="dxa"/>
          </w:tcPr>
          <w:p w14:paraId="7DACFCA8" w14:textId="77777777" w:rsidR="00956E31" w:rsidRPr="007659C4" w:rsidRDefault="00956E31" w:rsidP="00956E31">
            <w:pPr>
              <w:pStyle w:val="TableCellText"/>
              <w:rPr>
                <w:vertAlign w:val="subscript"/>
              </w:rPr>
            </w:pPr>
            <w:r>
              <w:t>PM</w:t>
            </w:r>
            <w:r>
              <w:rPr>
                <w:vertAlign w:val="subscript"/>
              </w:rPr>
              <w:t>2.5</w:t>
            </w:r>
          </w:p>
        </w:tc>
        <w:tc>
          <w:tcPr>
            <w:tcW w:w="6898" w:type="dxa"/>
          </w:tcPr>
          <w:p w14:paraId="7065A706" w14:textId="77777777" w:rsidR="00956E31" w:rsidRPr="00D2164E" w:rsidRDefault="00956E31" w:rsidP="00956E31">
            <w:pPr>
              <w:pStyle w:val="TableCellText"/>
            </w:pPr>
            <w:r>
              <w:t>Particulate matter smaller than 2.5 microns</w:t>
            </w:r>
          </w:p>
        </w:tc>
      </w:tr>
      <w:tr w:rsidR="00956E31" w:rsidRPr="00D2164E" w14:paraId="5A01A7E8" w14:textId="77777777" w:rsidTr="007659C4">
        <w:tc>
          <w:tcPr>
            <w:tcW w:w="2578" w:type="dxa"/>
          </w:tcPr>
          <w:p w14:paraId="6261C5A0" w14:textId="77777777" w:rsidR="00956E31" w:rsidRPr="00D2164E" w:rsidRDefault="00956E31" w:rsidP="00956E31">
            <w:pPr>
              <w:pStyle w:val="TableCellText"/>
            </w:pPr>
            <w:r>
              <w:t>R100</w:t>
            </w:r>
          </w:p>
        </w:tc>
        <w:tc>
          <w:tcPr>
            <w:tcW w:w="6898" w:type="dxa"/>
          </w:tcPr>
          <w:p w14:paraId="5BE7785E" w14:textId="77777777" w:rsidR="00956E31" w:rsidRPr="00D2164E" w:rsidRDefault="00956E31" w:rsidP="00956E31">
            <w:pPr>
              <w:pStyle w:val="TableCellText"/>
            </w:pPr>
            <w:r>
              <w:t>100 percent renewable diesel</w:t>
            </w:r>
          </w:p>
        </w:tc>
      </w:tr>
      <w:tr w:rsidR="00EF7805" w:rsidRPr="00D2164E" w14:paraId="38F701EC" w14:textId="77777777" w:rsidTr="007659C4">
        <w:tc>
          <w:tcPr>
            <w:tcW w:w="2578" w:type="dxa"/>
          </w:tcPr>
          <w:p w14:paraId="0C934F7E" w14:textId="77777777" w:rsidR="00EF7805" w:rsidRDefault="00EF7805" w:rsidP="00956E31">
            <w:pPr>
              <w:pStyle w:val="TableCellText"/>
            </w:pPr>
            <w:r>
              <w:t>RCNG</w:t>
            </w:r>
          </w:p>
        </w:tc>
        <w:tc>
          <w:tcPr>
            <w:tcW w:w="6898" w:type="dxa"/>
          </w:tcPr>
          <w:p w14:paraId="0A5D50F2" w14:textId="77777777" w:rsidR="00EF7805" w:rsidRDefault="00EF7805" w:rsidP="00956E31">
            <w:pPr>
              <w:pStyle w:val="TableCellText"/>
            </w:pPr>
            <w:r>
              <w:t>Renewable natural gas in compressed form</w:t>
            </w:r>
          </w:p>
        </w:tc>
      </w:tr>
      <w:tr w:rsidR="00EF7805" w:rsidRPr="00D2164E" w14:paraId="476FA1C0" w14:textId="77777777" w:rsidTr="007659C4">
        <w:tc>
          <w:tcPr>
            <w:tcW w:w="2578" w:type="dxa"/>
          </w:tcPr>
          <w:p w14:paraId="77118270" w14:textId="77777777" w:rsidR="00EF7805" w:rsidRDefault="00EF7805" w:rsidP="00956E31">
            <w:pPr>
              <w:pStyle w:val="TableCellText"/>
            </w:pPr>
            <w:r>
              <w:t>RLNG</w:t>
            </w:r>
          </w:p>
        </w:tc>
        <w:tc>
          <w:tcPr>
            <w:tcW w:w="6898" w:type="dxa"/>
          </w:tcPr>
          <w:p w14:paraId="75C5FC5E" w14:textId="77777777" w:rsidR="00EF7805" w:rsidRDefault="00EF7805" w:rsidP="00956E31">
            <w:pPr>
              <w:pStyle w:val="TableCellText"/>
            </w:pPr>
            <w:r>
              <w:t>Renewable natural gas in liquefied form</w:t>
            </w:r>
          </w:p>
        </w:tc>
      </w:tr>
      <w:tr w:rsidR="00956E31" w:rsidRPr="00D2164E" w14:paraId="5A2544B4" w14:textId="77777777" w:rsidTr="007659C4">
        <w:tc>
          <w:tcPr>
            <w:tcW w:w="2578" w:type="dxa"/>
          </w:tcPr>
          <w:p w14:paraId="134FA56E" w14:textId="77777777" w:rsidR="00956E31" w:rsidRDefault="00956E31" w:rsidP="00956E31">
            <w:pPr>
              <w:pStyle w:val="TableCellText"/>
            </w:pPr>
            <w:r>
              <w:t>tons</w:t>
            </w:r>
          </w:p>
        </w:tc>
        <w:tc>
          <w:tcPr>
            <w:tcW w:w="6898" w:type="dxa"/>
          </w:tcPr>
          <w:p w14:paraId="718A1A71" w14:textId="77777777" w:rsidR="00956E31" w:rsidRPr="007659C4" w:rsidRDefault="00956E31" w:rsidP="00956E31">
            <w:pPr>
              <w:pStyle w:val="TableCellText"/>
            </w:pPr>
            <w:r>
              <w:t>Short tons</w:t>
            </w:r>
          </w:p>
        </w:tc>
      </w:tr>
      <w:tr w:rsidR="00956E31" w:rsidRPr="00D2164E" w14:paraId="756F6065" w14:textId="77777777" w:rsidTr="007659C4">
        <w:tc>
          <w:tcPr>
            <w:tcW w:w="2578" w:type="dxa"/>
          </w:tcPr>
          <w:p w14:paraId="62C99DB5" w14:textId="77777777" w:rsidR="00956E31" w:rsidRPr="00D2164E" w:rsidRDefault="00956E31" w:rsidP="00956E31">
            <w:pPr>
              <w:pStyle w:val="TableCellText"/>
            </w:pPr>
            <w:r>
              <w:t>VMT</w:t>
            </w:r>
          </w:p>
        </w:tc>
        <w:tc>
          <w:tcPr>
            <w:tcW w:w="6898" w:type="dxa"/>
          </w:tcPr>
          <w:p w14:paraId="6BB40D4E" w14:textId="36734497" w:rsidR="00956E31" w:rsidRPr="00D2164E" w:rsidRDefault="00956E31" w:rsidP="00956E31">
            <w:pPr>
              <w:pStyle w:val="TableCellText"/>
            </w:pPr>
            <w:r>
              <w:t>Vehicle miles traveled</w:t>
            </w:r>
          </w:p>
        </w:tc>
      </w:tr>
    </w:tbl>
    <w:p w14:paraId="4CD1F4A8" w14:textId="5EF162AD" w:rsidR="0010295D" w:rsidRDefault="0010295D" w:rsidP="002C7A99">
      <w:pPr>
        <w:rPr>
          <w:rFonts w:cs="Arial"/>
        </w:rPr>
      </w:pPr>
    </w:p>
    <w:p w14:paraId="6D63616F" w14:textId="77777777" w:rsidR="0010295D" w:rsidRDefault="0010295D">
      <w:pPr>
        <w:spacing w:after="200" w:line="276" w:lineRule="auto"/>
        <w:rPr>
          <w:rFonts w:cs="Arial"/>
        </w:rPr>
      </w:pPr>
      <w:r>
        <w:rPr>
          <w:rFonts w:cs="Arial"/>
        </w:rPr>
        <w:br w:type="page"/>
      </w:r>
    </w:p>
    <w:p w14:paraId="05BE6930" w14:textId="77777777" w:rsidR="0010295D" w:rsidRPr="00642DDE" w:rsidRDefault="0010295D" w:rsidP="0010295D"/>
    <w:p w14:paraId="2EB2C111" w14:textId="5CC94A86" w:rsidR="0010295D" w:rsidRDefault="0010295D" w:rsidP="0010295D">
      <w:pPr>
        <w:spacing w:after="200" w:line="276" w:lineRule="auto"/>
        <w:rPr>
          <w:rFonts w:cs="Arial"/>
        </w:rPr>
      </w:pPr>
    </w:p>
    <w:p w14:paraId="426CB1E4" w14:textId="1AA5783A" w:rsidR="0010295D" w:rsidRDefault="0010295D">
      <w:pPr>
        <w:spacing w:after="200" w:line="276" w:lineRule="auto"/>
        <w:rPr>
          <w:rFonts w:cs="Arial"/>
        </w:rPr>
      </w:pPr>
    </w:p>
    <w:p w14:paraId="590214BF" w14:textId="77777777" w:rsidR="0010295D" w:rsidRDefault="0010295D">
      <w:pPr>
        <w:spacing w:after="200" w:line="276" w:lineRule="auto"/>
        <w:rPr>
          <w:rFonts w:cs="Arial"/>
        </w:rPr>
      </w:pPr>
    </w:p>
    <w:p w14:paraId="3FE2CEC2" w14:textId="77777777" w:rsidR="0010295D" w:rsidRDefault="0010295D">
      <w:pPr>
        <w:spacing w:after="200" w:line="276" w:lineRule="auto"/>
        <w:rPr>
          <w:rFonts w:cs="Arial"/>
        </w:rPr>
      </w:pPr>
    </w:p>
    <w:p w14:paraId="7B22CD7A" w14:textId="77777777" w:rsidR="0010295D" w:rsidRDefault="0010295D">
      <w:pPr>
        <w:spacing w:after="200" w:line="276" w:lineRule="auto"/>
        <w:rPr>
          <w:rFonts w:cs="Arial"/>
        </w:rPr>
      </w:pPr>
    </w:p>
    <w:p w14:paraId="0131BBD5" w14:textId="77777777" w:rsidR="0010295D" w:rsidRDefault="0010295D">
      <w:pPr>
        <w:spacing w:after="200" w:line="276" w:lineRule="auto"/>
        <w:rPr>
          <w:rFonts w:cs="Arial"/>
        </w:rPr>
      </w:pPr>
    </w:p>
    <w:p w14:paraId="6BFF8D41" w14:textId="77777777" w:rsidR="0010295D" w:rsidRDefault="0010295D">
      <w:pPr>
        <w:spacing w:after="200" w:line="276" w:lineRule="auto"/>
        <w:rPr>
          <w:rFonts w:cs="Arial"/>
        </w:rPr>
      </w:pPr>
    </w:p>
    <w:p w14:paraId="45DADD44" w14:textId="77777777" w:rsidR="0010295D" w:rsidRDefault="0010295D">
      <w:pPr>
        <w:spacing w:after="200" w:line="276" w:lineRule="auto"/>
        <w:rPr>
          <w:rFonts w:cs="Arial"/>
        </w:rPr>
      </w:pPr>
    </w:p>
    <w:p w14:paraId="7867593C" w14:textId="0A0F919B" w:rsidR="0010295D" w:rsidRDefault="0010295D">
      <w:pPr>
        <w:spacing w:after="200" w:line="276" w:lineRule="auto"/>
        <w:rPr>
          <w:rFonts w:cs="Arial"/>
        </w:rPr>
      </w:pPr>
    </w:p>
    <w:p w14:paraId="2FD74357" w14:textId="27EDBD58" w:rsidR="0010295D" w:rsidRDefault="0010295D" w:rsidP="0010295D">
      <w:pPr>
        <w:spacing w:after="200" w:line="276" w:lineRule="auto"/>
        <w:jc w:val="center"/>
        <w:rPr>
          <w:rFonts w:cs="Arial"/>
        </w:rPr>
      </w:pPr>
      <w:r w:rsidRPr="00642DDE">
        <w:rPr>
          <w:noProof/>
        </w:rPr>
        <w:drawing>
          <wp:inline distT="0" distB="0" distL="0" distR="0" wp14:anchorId="66859B94" wp14:editId="2EAE68F7">
            <wp:extent cx="923925" cy="466725"/>
            <wp:effectExtent l="0" t="0" r="0" b="0"/>
            <wp:docPr id="1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cstate="print"/>
                    <a:srcRect/>
                    <a:stretch>
                      <a:fillRect/>
                    </a:stretch>
                  </pic:blipFill>
                  <pic:spPr bwMode="auto">
                    <a:xfrm>
                      <a:off x="0" y="0"/>
                      <a:ext cx="924560" cy="467360"/>
                    </a:xfrm>
                    <a:prstGeom prst="rect">
                      <a:avLst/>
                    </a:prstGeom>
                    <a:noFill/>
                  </pic:spPr>
                </pic:pic>
              </a:graphicData>
            </a:graphic>
          </wp:inline>
        </w:drawing>
      </w:r>
    </w:p>
    <w:p w14:paraId="703F33D9" w14:textId="77777777" w:rsidR="0010295D" w:rsidRDefault="0010295D">
      <w:pPr>
        <w:spacing w:after="200" w:line="276" w:lineRule="auto"/>
        <w:rPr>
          <w:rFonts w:cs="Arial"/>
        </w:rPr>
      </w:pPr>
    </w:p>
    <w:p w14:paraId="794D89F7" w14:textId="77777777" w:rsidR="005817F0" w:rsidRDefault="005817F0" w:rsidP="002C7A99">
      <w:pPr>
        <w:rPr>
          <w:rFonts w:cs="Arial"/>
        </w:rPr>
        <w:sectPr w:rsidR="005817F0" w:rsidSect="002F220E">
          <w:headerReference w:type="default" r:id="rId19"/>
          <w:footerReference w:type="default" r:id="rId20"/>
          <w:headerReference w:type="first" r:id="rId21"/>
          <w:footerReference w:type="first" r:id="rId22"/>
          <w:pgSz w:w="12240" w:h="15840"/>
          <w:pgMar w:top="1440" w:right="1440" w:bottom="1440" w:left="1440" w:header="576" w:footer="576" w:gutter="0"/>
          <w:pgNumType w:fmt="lowerRoman"/>
          <w:cols w:space="720"/>
          <w:docGrid w:linePitch="360"/>
        </w:sectPr>
      </w:pPr>
    </w:p>
    <w:p w14:paraId="2DA3B583" w14:textId="77777777" w:rsidR="000F0282" w:rsidRDefault="000F0282" w:rsidP="00393BD4">
      <w:pPr>
        <w:pStyle w:val="BodyText"/>
        <w:sectPr w:rsidR="000F0282" w:rsidSect="007851F5">
          <w:headerReference w:type="default" r:id="rId23"/>
          <w:headerReference w:type="first" r:id="rId24"/>
          <w:footerReference w:type="first" r:id="rId25"/>
          <w:type w:val="continuous"/>
          <w:pgSz w:w="12240" w:h="15840"/>
          <w:pgMar w:top="1440" w:right="1440" w:bottom="1440" w:left="1440" w:header="576" w:footer="576" w:gutter="0"/>
          <w:pgNumType w:start="1" w:chapStyle="1"/>
          <w:cols w:space="720"/>
          <w:titlePg/>
          <w:docGrid w:linePitch="360"/>
        </w:sectPr>
      </w:pPr>
    </w:p>
    <w:p w14:paraId="7C772C51" w14:textId="77777777" w:rsidR="00FB0227" w:rsidRPr="00026177" w:rsidRDefault="00402537" w:rsidP="0070469C">
      <w:pPr>
        <w:pStyle w:val="Heading1"/>
      </w:pPr>
      <w:bookmarkStart w:id="2" w:name="_Toc482973538"/>
      <w:bookmarkEnd w:id="0"/>
      <w:r>
        <w:lastRenderedPageBreak/>
        <w:t>Introduction</w:t>
      </w:r>
      <w:bookmarkEnd w:id="2"/>
    </w:p>
    <w:p w14:paraId="02EC1571" w14:textId="523395F1" w:rsidR="003B3DD3" w:rsidRDefault="003B3DD3" w:rsidP="003B3DD3">
      <w:pPr>
        <w:pStyle w:val="BodyText"/>
      </w:pPr>
      <w:r>
        <w:t>This document is a User Manual for the NCHRP 25-46 Clean Truck Strategies Analysis Tool. The purpose of the Tool is to enable users to quickly evaluate various strategies to reduce freight truck emissions by presenting cost, emission reduction, an</w:t>
      </w:r>
      <w:r w:rsidR="00045955">
        <w:t>d cost effectiveness</w:t>
      </w:r>
      <w:r>
        <w:t>.</w:t>
      </w:r>
      <w:r w:rsidR="00330080">
        <w:t xml:space="preserve"> </w:t>
      </w:r>
      <w:r>
        <w:t xml:space="preserve">The Tool is designed to </w:t>
      </w:r>
      <w:r w:rsidR="00045955">
        <w:t>be useful to</w:t>
      </w:r>
      <w:r>
        <w:t xml:space="preserve"> a diverse set of public agencies</w:t>
      </w:r>
      <w:r w:rsidR="00045955">
        <w:t xml:space="preserve"> with varied</w:t>
      </w:r>
      <w:r>
        <w:t xml:space="preserve"> objectives and resources. For example, some agencies m</w:t>
      </w:r>
      <w:r w:rsidR="00045955">
        <w:t>ight</w:t>
      </w:r>
      <w:r>
        <w:t xml:space="preserve"> be concerned primarily </w:t>
      </w:r>
      <w:r w:rsidR="00045955">
        <w:t>with</w:t>
      </w:r>
      <w:r>
        <w:t xml:space="preserve"> reducing</w:t>
      </w:r>
      <w:r w:rsidR="00045955">
        <w:t xml:space="preserve"> greenhouse gas (</w:t>
      </w:r>
      <w:r>
        <w:t>GHG</w:t>
      </w:r>
      <w:r w:rsidR="00045955">
        <w:t>)</w:t>
      </w:r>
      <w:r>
        <w:t xml:space="preserve"> emissions, while others are more focused on reducing </w:t>
      </w:r>
      <w:r w:rsidR="00045955">
        <w:t>oxides of nitrogen (</w:t>
      </w:r>
      <w:r>
        <w:t>NOx</w:t>
      </w:r>
      <w:r w:rsidR="00045955">
        <w:t>)</w:t>
      </w:r>
      <w:r>
        <w:t xml:space="preserve"> or</w:t>
      </w:r>
      <w:r w:rsidR="00045955">
        <w:t xml:space="preserve"> particulate matter</w:t>
      </w:r>
      <w:r>
        <w:t xml:space="preserve"> </w:t>
      </w:r>
      <w:r w:rsidR="00045955">
        <w:t>(</w:t>
      </w:r>
      <w:r>
        <w:t>PM</w:t>
      </w:r>
      <w:r w:rsidR="00045955">
        <w:t>); also s</w:t>
      </w:r>
      <w:r>
        <w:t>ome agencies m</w:t>
      </w:r>
      <w:r w:rsidR="00045955">
        <w:t>ight</w:t>
      </w:r>
      <w:r>
        <w:t xml:space="preserve"> have sufficient funding to support a major </w:t>
      </w:r>
      <w:r w:rsidR="00045955">
        <w:t xml:space="preserve">incentive program for </w:t>
      </w:r>
      <w:r>
        <w:t>clean truck</w:t>
      </w:r>
      <w:r w:rsidR="00045955">
        <w:t>s,</w:t>
      </w:r>
      <w:r>
        <w:t xml:space="preserve"> while others m</w:t>
      </w:r>
      <w:r w:rsidR="00045955">
        <w:t>ight</w:t>
      </w:r>
      <w:r>
        <w:t xml:space="preserve"> have little or no discretionary funding. In addition, the Tool can support agencies at different geographic scales: state, metropolitan</w:t>
      </w:r>
      <w:r w:rsidR="00C31D7F">
        <w:t xml:space="preserve"> area</w:t>
      </w:r>
      <w:r>
        <w:t>, county/municipal</w:t>
      </w:r>
      <w:r w:rsidR="00C31D7F">
        <w:t>ity</w:t>
      </w:r>
      <w:r>
        <w:t xml:space="preserve">, and facility. </w:t>
      </w:r>
    </w:p>
    <w:p w14:paraId="35FF46D3" w14:textId="77777777" w:rsidR="003B3DD3" w:rsidRDefault="003B3DD3" w:rsidP="003B3DD3">
      <w:pPr>
        <w:pStyle w:val="BodyText"/>
      </w:pPr>
      <w:r>
        <w:t xml:space="preserve">Each </w:t>
      </w:r>
      <w:r w:rsidR="00045955">
        <w:t xml:space="preserve">strategy </w:t>
      </w:r>
      <w:r>
        <w:t>analysis requires different inputs and provide</w:t>
      </w:r>
      <w:r w:rsidR="008A1D73">
        <w:t>s</w:t>
      </w:r>
      <w:r>
        <w:t xml:space="preserve"> different outputs.</w:t>
      </w:r>
      <w:r w:rsidR="00330080">
        <w:t xml:space="preserve"> </w:t>
      </w:r>
      <w:r>
        <w:t>The Tool is necessarily generalized, relying on averages and default values but allowing users to input information to override default values.</w:t>
      </w:r>
      <w:r w:rsidR="00330080">
        <w:t xml:space="preserve"> </w:t>
      </w:r>
      <w:r>
        <w:t xml:space="preserve">For example, the </w:t>
      </w:r>
      <w:r w:rsidR="00045955">
        <w:t xml:space="preserve">default values in the </w:t>
      </w:r>
      <w:r>
        <w:t xml:space="preserve">Tool for the annual </w:t>
      </w:r>
      <w:r w:rsidR="00045955">
        <w:t>vehicle miles traveled (</w:t>
      </w:r>
      <w:r>
        <w:t>VMT</w:t>
      </w:r>
      <w:r w:rsidR="00045955">
        <w:t>)</w:t>
      </w:r>
      <w:r>
        <w:t xml:space="preserve"> by truck type reflect national averages</w:t>
      </w:r>
      <w:r w:rsidR="00045955">
        <w:t>, but</w:t>
      </w:r>
      <w:r>
        <w:t xml:space="preserve"> users can replace these default values with local data. </w:t>
      </w:r>
    </w:p>
    <w:p w14:paraId="1D4CDE07" w14:textId="3AD8DB64" w:rsidR="009C29A8" w:rsidRDefault="009C29A8" w:rsidP="009C29A8">
      <w:pPr>
        <w:pStyle w:val="BodyText"/>
      </w:pPr>
      <w:r>
        <w:t xml:space="preserve">Section </w:t>
      </w:r>
      <w:r w:rsidR="00C43D0C">
        <w:t>1.1</w:t>
      </w:r>
      <w:r>
        <w:t xml:space="preserve"> contains a description of what settings to use so that the Tool opens and functions properly. Section </w:t>
      </w:r>
      <w:r w:rsidR="00C43D0C">
        <w:t>2</w:t>
      </w:r>
      <w:r>
        <w:t xml:space="preserve"> of this Manual contains summary descriptions of the scope of the Tool and the outputs it produces. Section </w:t>
      </w:r>
      <w:r w:rsidR="00C43D0C">
        <w:t>3</w:t>
      </w:r>
      <w:r>
        <w:t xml:space="preserve"> outlines the default inputs to the Tool. Section </w:t>
      </w:r>
      <w:r w:rsidR="00C43D0C">
        <w:t>4</w:t>
      </w:r>
      <w:r>
        <w:t xml:space="preserve"> contains a more complete description of each analysis option in the Tool (Truck Deployment Analysis, Investment Analysis, and Incentive Analysis); it also includes a brief description of how the Tool works. Section </w:t>
      </w:r>
      <w:r w:rsidR="00C43D0C">
        <w:t>5</w:t>
      </w:r>
      <w:r>
        <w:t xml:space="preserve"> contains additional information on the modeling and other data sources used to develop the emission factors, fuel-use data, and cost increments used in the Tool.</w:t>
      </w:r>
      <w:r w:rsidR="00C31D7F">
        <w:t xml:space="preserve"> Section 6 contains examples of how users at different at the state, local, or facility level can use the Tool to answer common questions they may face; each hypothetical scenario includes detailed sample values to input into the Tool and a description of how to interpret the results. </w:t>
      </w:r>
    </w:p>
    <w:p w14:paraId="28EE8710" w14:textId="77777777" w:rsidR="009C29A8" w:rsidRDefault="009C29A8" w:rsidP="009C29A8">
      <w:pPr>
        <w:pStyle w:val="Heading2"/>
      </w:pPr>
      <w:bookmarkStart w:id="3" w:name="_Ref460318573"/>
      <w:bookmarkStart w:id="4" w:name="_Toc482973539"/>
      <w:r>
        <w:t>Installation of the Tool and Computer Requirements</w:t>
      </w:r>
      <w:bookmarkEnd w:id="3"/>
      <w:bookmarkEnd w:id="4"/>
    </w:p>
    <w:p w14:paraId="61C04674" w14:textId="15CA86FF" w:rsidR="009C29A8" w:rsidRDefault="009C29A8" w:rsidP="009C29A8">
      <w:pPr>
        <w:pStyle w:val="BodyText"/>
      </w:pPr>
      <w:r w:rsidRPr="007B385E">
        <w:t>T</w:t>
      </w:r>
      <w:r>
        <w:t>ool Users must have a full installation of Microsoft® Excel™</w:t>
      </w:r>
      <w:r w:rsidR="00C31D7F">
        <w:t>, version</w:t>
      </w:r>
      <w:r>
        <w:t xml:space="preserve"> 2007 or more recent. </w:t>
      </w:r>
    </w:p>
    <w:p w14:paraId="285BC195" w14:textId="381300A0" w:rsidR="009C29A8" w:rsidRDefault="00326139" w:rsidP="009C29A8">
      <w:pPr>
        <w:pStyle w:val="BodyText"/>
      </w:pPr>
      <w:r>
        <w:t xml:space="preserve">You must have macros enabled in Excel to use the Tool. If your </w:t>
      </w:r>
      <w:r w:rsidR="009C29A8">
        <w:t>Excel settings disable macros from functioning</w:t>
      </w:r>
      <w:r>
        <w:t xml:space="preserve"> and the Tool will not run</w:t>
      </w:r>
      <w:r w:rsidR="009C29A8">
        <w:t xml:space="preserve">, save it to the desired location on your computer or network drive. Then open a new (blank) instance of Excel. Under </w:t>
      </w:r>
      <w:r w:rsidR="009C29A8" w:rsidRPr="00D517E7">
        <w:rPr>
          <w:i/>
        </w:rPr>
        <w:t>File</w:t>
      </w:r>
      <w:r>
        <w:t>, go to</w:t>
      </w:r>
      <w:r w:rsidR="009C29A8">
        <w:t xml:space="preserve"> </w:t>
      </w:r>
      <w:r w:rsidR="009C29A8" w:rsidRPr="00D517E7">
        <w:rPr>
          <w:i/>
        </w:rPr>
        <w:t>Options</w:t>
      </w:r>
      <w:r>
        <w:t>.</w:t>
      </w:r>
      <w:r w:rsidR="009C29A8">
        <w:t xml:space="preserve"> </w:t>
      </w:r>
      <w:r>
        <w:t xml:space="preserve">Then, </w:t>
      </w:r>
      <w:r w:rsidR="009C29A8">
        <w:t xml:space="preserve">go to the </w:t>
      </w:r>
      <w:r w:rsidR="009C29A8" w:rsidRPr="00D517E7">
        <w:rPr>
          <w:i/>
        </w:rPr>
        <w:t>Trust Center</w:t>
      </w:r>
      <w:r w:rsidR="009C29A8">
        <w:t xml:space="preserve"> section and click the </w:t>
      </w:r>
      <w:r w:rsidR="009C29A8" w:rsidRPr="00D517E7">
        <w:rPr>
          <w:i/>
        </w:rPr>
        <w:t>Trust Center Settings</w:t>
      </w:r>
      <w:r w:rsidR="009C29A8">
        <w:t xml:space="preserve"> button. Under </w:t>
      </w:r>
      <w:r w:rsidR="009C29A8" w:rsidRPr="00D517E7">
        <w:rPr>
          <w:i/>
        </w:rPr>
        <w:t>Trusted Locations</w:t>
      </w:r>
      <w:r w:rsidR="009C29A8">
        <w:t xml:space="preserve">, click the </w:t>
      </w:r>
      <w:r w:rsidR="009C29A8" w:rsidRPr="00D517E7">
        <w:rPr>
          <w:i/>
        </w:rPr>
        <w:t>Add new location</w:t>
      </w:r>
      <w:r w:rsidR="009C29A8">
        <w:t xml:space="preserve"> button, and add the folder where the Tool is as a trusted location. </w:t>
      </w:r>
    </w:p>
    <w:p w14:paraId="631E4B1E" w14:textId="3EFFA69E" w:rsidR="00524885" w:rsidRDefault="009C29A8" w:rsidP="009C29A8">
      <w:pPr>
        <w:pStyle w:val="BodyText"/>
      </w:pPr>
      <w:r>
        <w:t xml:space="preserve">With these settings engaged, open the Tool (either </w:t>
      </w:r>
      <w:r w:rsidR="0084477D">
        <w:t xml:space="preserve">by selecting </w:t>
      </w:r>
      <w:r w:rsidRPr="00D517E7">
        <w:rPr>
          <w:i/>
        </w:rPr>
        <w:t>File</w:t>
      </w:r>
      <w:r w:rsidR="0084477D">
        <w:t>, then</w:t>
      </w:r>
      <w:r>
        <w:t xml:space="preserve"> </w:t>
      </w:r>
      <w:r w:rsidRPr="00D517E7">
        <w:rPr>
          <w:i/>
        </w:rPr>
        <w:t>Open</w:t>
      </w:r>
      <w:r>
        <w:t xml:space="preserve"> in Excel, or by double-clicking the file in the folder). It will open to the </w:t>
      </w:r>
      <w:r w:rsidRPr="00D517E7">
        <w:rPr>
          <w:i/>
        </w:rPr>
        <w:t>Select Analysis</w:t>
      </w:r>
      <w:r>
        <w:t xml:space="preserve"> screen with the Excel menu bar, cell and row designations hidden (i.e., it shows the worksheet contents in full-screen mode). Microsoft has </w:t>
      </w:r>
      <w:r>
        <w:lastRenderedPageBreak/>
        <w:t>several online help pages on the Trust Center</w:t>
      </w:r>
      <w:r>
        <w:rPr>
          <w:rStyle w:val="FootnoteReference"/>
        </w:rPr>
        <w:footnoteReference w:id="1"/>
      </w:r>
      <w:r>
        <w:t xml:space="preserve"> and on Macro Security</w:t>
      </w:r>
      <w:r>
        <w:rPr>
          <w:rStyle w:val="FootnoteReference"/>
        </w:rPr>
        <w:footnoteReference w:id="2"/>
      </w:r>
      <w:r>
        <w:t>; in particular, look into Macro Security if the Tool does not open properly.</w:t>
      </w:r>
    </w:p>
    <w:p w14:paraId="1C349D82" w14:textId="77777777" w:rsidR="002E56ED" w:rsidRDefault="002E56ED" w:rsidP="002E56ED">
      <w:pPr>
        <w:pStyle w:val="BodyText"/>
        <w:sectPr w:rsidR="002E56ED" w:rsidSect="005D31DC">
          <w:headerReference w:type="default" r:id="rId26"/>
          <w:footerReference w:type="default" r:id="rId27"/>
          <w:footerReference w:type="first" r:id="rId28"/>
          <w:pgSz w:w="12240" w:h="15840"/>
          <w:pgMar w:top="1440" w:right="1440" w:bottom="1440" w:left="1440" w:header="576" w:footer="576" w:gutter="0"/>
          <w:pgNumType w:start="1" w:chapStyle="6"/>
          <w:cols w:space="720"/>
          <w:titlePg/>
          <w:docGrid w:linePitch="360"/>
        </w:sectPr>
      </w:pPr>
    </w:p>
    <w:p w14:paraId="298B5560" w14:textId="77777777" w:rsidR="002E56ED" w:rsidRDefault="002E56ED" w:rsidP="002E56ED">
      <w:pPr>
        <w:pStyle w:val="Heading1"/>
      </w:pPr>
      <w:bookmarkStart w:id="5" w:name="_Ref459364970"/>
      <w:bookmarkStart w:id="6" w:name="_Toc482973540"/>
      <w:r>
        <w:lastRenderedPageBreak/>
        <w:t>Overview of Tool Scope and Outputs</w:t>
      </w:r>
      <w:bookmarkEnd w:id="5"/>
      <w:bookmarkEnd w:id="6"/>
    </w:p>
    <w:p w14:paraId="615712D9" w14:textId="77777777" w:rsidR="002D63A7" w:rsidRDefault="00402537" w:rsidP="0070469C">
      <w:pPr>
        <w:pStyle w:val="Heading2"/>
      </w:pPr>
      <w:bookmarkStart w:id="7" w:name="_Toc482973541"/>
      <w:r>
        <w:t>Analysis Types</w:t>
      </w:r>
      <w:bookmarkEnd w:id="7"/>
    </w:p>
    <w:p w14:paraId="647AF9E7" w14:textId="77777777" w:rsidR="0067512C" w:rsidRDefault="00C434AD" w:rsidP="0067512C">
      <w:pPr>
        <w:pStyle w:val="BodyText"/>
      </w:pPr>
      <w:r>
        <w:t xml:space="preserve">The Tool </w:t>
      </w:r>
      <w:r w:rsidR="002E56ED">
        <w:t>allow</w:t>
      </w:r>
      <w:r>
        <w:t>s th</w:t>
      </w:r>
      <w:r w:rsidR="002E56ED">
        <w:t>e thr</w:t>
      </w:r>
      <w:r>
        <w:t>ee types of analyses</w:t>
      </w:r>
      <w:r w:rsidR="002E56ED">
        <w:t xml:space="preserve"> described in </w:t>
      </w:r>
      <w:r w:rsidR="00833B69">
        <w:fldChar w:fldCharType="begin"/>
      </w:r>
      <w:r w:rsidR="003119C3">
        <w:instrText xml:space="preserve"> REF _Ref458323433 \h </w:instrText>
      </w:r>
      <w:r w:rsidR="00833B69">
        <w:fldChar w:fldCharType="separate"/>
      </w:r>
      <w:r w:rsidR="00C42F38" w:rsidRPr="002E56ED">
        <w:t xml:space="preserve">Table </w:t>
      </w:r>
      <w:r w:rsidR="00C42F38">
        <w:rPr>
          <w:noProof/>
        </w:rPr>
        <w:t>1</w:t>
      </w:r>
      <w:r w:rsidR="00833B69">
        <w:fldChar w:fldCharType="end"/>
      </w:r>
      <w:r w:rsidR="002E56ED">
        <w:t>.</w:t>
      </w:r>
    </w:p>
    <w:p w14:paraId="5CD20269" w14:textId="77777777" w:rsidR="002E56ED" w:rsidRPr="002E56ED" w:rsidRDefault="002E56ED" w:rsidP="002E56ED">
      <w:pPr>
        <w:pStyle w:val="TableCaption"/>
      </w:pPr>
      <w:bookmarkStart w:id="8" w:name="_Ref458323433"/>
      <w:bookmarkStart w:id="9" w:name="_Toc482973581"/>
      <w:r w:rsidRPr="002E56ED">
        <w:t xml:space="preserve">Table </w:t>
      </w:r>
      <w:r w:rsidR="00833B69" w:rsidRPr="002E56ED">
        <w:fldChar w:fldCharType="begin"/>
      </w:r>
      <w:r w:rsidRPr="002E56ED">
        <w:instrText xml:space="preserve"> SEQ Table \* ARABIC </w:instrText>
      </w:r>
      <w:r w:rsidR="00833B69" w:rsidRPr="002E56ED">
        <w:fldChar w:fldCharType="separate"/>
      </w:r>
      <w:r w:rsidR="00305706">
        <w:t>1</w:t>
      </w:r>
      <w:r w:rsidR="00833B69" w:rsidRPr="002E56ED">
        <w:fldChar w:fldCharType="end"/>
      </w:r>
      <w:bookmarkEnd w:id="8"/>
      <w:r w:rsidRPr="002E56ED">
        <w:t>. Analysis Types Used in the Tool</w:t>
      </w:r>
      <w:bookmarkEnd w:id="9"/>
    </w:p>
    <w:tbl>
      <w:tblPr>
        <w:tblStyle w:val="GridTable1Light-Accent11"/>
        <w:tblW w:w="9339" w:type="dxa"/>
        <w:tblLook w:val="0480" w:firstRow="0" w:lastRow="0" w:firstColumn="1" w:lastColumn="0" w:noHBand="0" w:noVBand="1"/>
      </w:tblPr>
      <w:tblGrid>
        <w:gridCol w:w="9339"/>
      </w:tblGrid>
      <w:tr w:rsidR="002E56ED" w:rsidRPr="00C8591D" w14:paraId="1C4AF624" w14:textId="77777777" w:rsidTr="002E56ED">
        <w:trPr>
          <w:trHeight w:val="31"/>
        </w:trPr>
        <w:tc>
          <w:tcPr>
            <w:cnfStyle w:val="001000000000" w:firstRow="0" w:lastRow="0" w:firstColumn="1" w:lastColumn="0" w:oddVBand="0" w:evenVBand="0" w:oddHBand="0" w:evenHBand="0" w:firstRowFirstColumn="0" w:firstRowLastColumn="0" w:lastRowFirstColumn="0" w:lastRowLastColumn="0"/>
            <w:tcW w:w="9339" w:type="dxa"/>
            <w:noWrap/>
            <w:hideMark/>
          </w:tcPr>
          <w:p w14:paraId="7FB35AC5" w14:textId="77777777" w:rsidR="002E56ED" w:rsidRPr="00D517E7" w:rsidRDefault="002E56ED" w:rsidP="0037166C">
            <w:pPr>
              <w:pStyle w:val="TableCellText"/>
              <w:spacing w:after="120"/>
              <w:rPr>
                <w:color w:val="677719" w:themeColor="accent3"/>
                <w:sz w:val="22"/>
              </w:rPr>
            </w:pPr>
            <w:r w:rsidRPr="00D517E7">
              <w:rPr>
                <w:color w:val="677719" w:themeColor="accent3"/>
                <w:sz w:val="22"/>
              </w:rPr>
              <w:t>Truck Deployment</w:t>
            </w:r>
            <w:r w:rsidRPr="00D517E7">
              <w:rPr>
                <w:b w:val="0"/>
                <w:color w:val="677719" w:themeColor="accent3"/>
                <w:sz w:val="22"/>
              </w:rPr>
              <w:t xml:space="preserve"> </w:t>
            </w:r>
            <w:r w:rsidRPr="00D517E7">
              <w:rPr>
                <w:color w:val="677719" w:themeColor="accent3"/>
                <w:sz w:val="22"/>
              </w:rPr>
              <w:t>Analysis</w:t>
            </w:r>
          </w:p>
          <w:p w14:paraId="1EAE3599" w14:textId="77777777" w:rsidR="002E56ED" w:rsidRPr="00D517E7" w:rsidRDefault="002E56ED" w:rsidP="00D517E7">
            <w:pPr>
              <w:spacing w:after="120"/>
              <w:rPr>
                <w:b w:val="0"/>
                <w:szCs w:val="20"/>
              </w:rPr>
            </w:pPr>
            <w:r w:rsidRPr="00D517E7">
              <w:rPr>
                <w:b w:val="0"/>
                <w:szCs w:val="20"/>
              </w:rPr>
              <w:t>Allows an agency to see the emissions benefits, costs, and cost effectiveness of replacing trucks or retrofitting trucks with certain advanced technologies or alternative fuels.</w:t>
            </w:r>
          </w:p>
        </w:tc>
      </w:tr>
      <w:tr w:rsidR="002E56ED" w:rsidRPr="00C8591D" w14:paraId="7C2C73D6" w14:textId="77777777" w:rsidTr="002E56ED">
        <w:trPr>
          <w:trHeight w:val="310"/>
        </w:trPr>
        <w:tc>
          <w:tcPr>
            <w:cnfStyle w:val="001000000000" w:firstRow="0" w:lastRow="0" w:firstColumn="1" w:lastColumn="0" w:oddVBand="0" w:evenVBand="0" w:oddHBand="0" w:evenHBand="0" w:firstRowFirstColumn="0" w:firstRowLastColumn="0" w:lastRowFirstColumn="0" w:lastRowLastColumn="0"/>
            <w:tcW w:w="9339" w:type="dxa"/>
            <w:noWrap/>
            <w:hideMark/>
          </w:tcPr>
          <w:p w14:paraId="02D18877" w14:textId="438F2406" w:rsidR="002E56ED" w:rsidRPr="00D517E7" w:rsidRDefault="00EB3C45" w:rsidP="0037166C">
            <w:pPr>
              <w:pStyle w:val="TableCellText"/>
              <w:spacing w:after="120"/>
              <w:rPr>
                <w:color w:val="C00000"/>
                <w:sz w:val="22"/>
              </w:rPr>
            </w:pPr>
            <w:r w:rsidRPr="00D517E7">
              <w:rPr>
                <w:color w:val="C00000"/>
                <w:sz w:val="22"/>
              </w:rPr>
              <w:t>Funding Impact</w:t>
            </w:r>
            <w:r w:rsidR="002E56ED" w:rsidRPr="00D517E7">
              <w:rPr>
                <w:b w:val="0"/>
                <w:color w:val="C00000"/>
                <w:sz w:val="22"/>
              </w:rPr>
              <w:t xml:space="preserve"> </w:t>
            </w:r>
            <w:r w:rsidR="002E56ED" w:rsidRPr="00D517E7">
              <w:rPr>
                <w:color w:val="C00000"/>
                <w:sz w:val="22"/>
              </w:rPr>
              <w:t>Analysis</w:t>
            </w:r>
          </w:p>
          <w:p w14:paraId="3B6CF859" w14:textId="77777777" w:rsidR="002E56ED" w:rsidRPr="00D517E7" w:rsidRDefault="002E56ED" w:rsidP="007C3F58">
            <w:pPr>
              <w:pStyle w:val="TableCellText"/>
              <w:spacing w:after="120"/>
              <w:rPr>
                <w:b w:val="0"/>
                <w:sz w:val="22"/>
              </w:rPr>
            </w:pPr>
            <w:r w:rsidRPr="00D517E7">
              <w:rPr>
                <w:b w:val="0"/>
                <w:sz w:val="22"/>
              </w:rPr>
              <w:t xml:space="preserve">Estimates the number of replaced or retrofitted trucks, and corresponding emissions benefits, if an agency were to invest a given amount of money into clean-truck strategies. </w:t>
            </w:r>
          </w:p>
          <w:p w14:paraId="5E80543C" w14:textId="77777777" w:rsidR="002E56ED" w:rsidRPr="00D517E7" w:rsidRDefault="002E56ED" w:rsidP="00D517E7">
            <w:pPr>
              <w:spacing w:after="120"/>
              <w:rPr>
                <w:szCs w:val="20"/>
              </w:rPr>
            </w:pPr>
            <w:r w:rsidRPr="00D517E7">
              <w:rPr>
                <w:b w:val="0"/>
                <w:szCs w:val="20"/>
              </w:rPr>
              <w:t>The agency can then see which approaches/strategies yield the greatest emission benefit or are the most cost effective.</w:t>
            </w:r>
          </w:p>
        </w:tc>
      </w:tr>
      <w:tr w:rsidR="002E56ED" w:rsidRPr="00C8591D" w14:paraId="6DD539E3" w14:textId="77777777" w:rsidTr="002E56ED">
        <w:trPr>
          <w:trHeight w:val="463"/>
        </w:trPr>
        <w:tc>
          <w:tcPr>
            <w:cnfStyle w:val="001000000000" w:firstRow="0" w:lastRow="0" w:firstColumn="1" w:lastColumn="0" w:oddVBand="0" w:evenVBand="0" w:oddHBand="0" w:evenHBand="0" w:firstRowFirstColumn="0" w:firstRowLastColumn="0" w:lastRowFirstColumn="0" w:lastRowLastColumn="0"/>
            <w:tcW w:w="9339" w:type="dxa"/>
            <w:noWrap/>
            <w:hideMark/>
          </w:tcPr>
          <w:p w14:paraId="5064C41D" w14:textId="77777777" w:rsidR="002E56ED" w:rsidRPr="00D517E7" w:rsidRDefault="002E56ED" w:rsidP="0037166C">
            <w:pPr>
              <w:pStyle w:val="TableCellText"/>
              <w:spacing w:after="120"/>
              <w:rPr>
                <w:color w:val="C27B13" w:themeColor="accent4"/>
                <w:sz w:val="22"/>
              </w:rPr>
            </w:pPr>
            <w:r w:rsidRPr="00D517E7">
              <w:rPr>
                <w:color w:val="C27B13" w:themeColor="accent4"/>
                <w:sz w:val="22"/>
              </w:rPr>
              <w:t>Incentive Analysis</w:t>
            </w:r>
          </w:p>
          <w:p w14:paraId="44C4719D" w14:textId="77777777" w:rsidR="002E56ED" w:rsidRPr="00D517E7" w:rsidRDefault="002E56ED" w:rsidP="007C3F58">
            <w:pPr>
              <w:pStyle w:val="TableCellText"/>
              <w:spacing w:after="120"/>
              <w:rPr>
                <w:b w:val="0"/>
                <w:sz w:val="22"/>
              </w:rPr>
            </w:pPr>
            <w:r w:rsidRPr="00D517E7">
              <w:rPr>
                <w:b w:val="0"/>
                <w:sz w:val="22"/>
              </w:rPr>
              <w:t xml:space="preserve">Estimates the payback period to truck owners when the public agency covers only a portion of a strategy’s incremental cost. </w:t>
            </w:r>
          </w:p>
          <w:p w14:paraId="3F476F26" w14:textId="77777777" w:rsidR="002E56ED" w:rsidRPr="00D517E7" w:rsidRDefault="002E56ED" w:rsidP="007C3F58">
            <w:pPr>
              <w:pStyle w:val="TableCellText"/>
              <w:spacing w:after="120"/>
              <w:rPr>
                <w:b w:val="0"/>
                <w:sz w:val="22"/>
              </w:rPr>
            </w:pPr>
            <w:r w:rsidRPr="00D517E7">
              <w:rPr>
                <w:b w:val="0"/>
                <w:sz w:val="22"/>
              </w:rPr>
              <w:t>User selects a truck type and strategy that results in fuel savings, and the Tool calculates the emissions benefits, cost effectiveness, and payback period for the truck owner (how many years it would take for the fuel savings to cover the non-incentivized incremental cost). The Tool calculates these for 25, 50, and 75 percent incentivizing of the full strategy cost.</w:t>
            </w:r>
          </w:p>
          <w:p w14:paraId="327FD9D9" w14:textId="77777777" w:rsidR="002E56ED" w:rsidRPr="00D517E7" w:rsidRDefault="002E56ED" w:rsidP="00D517E7">
            <w:pPr>
              <w:spacing w:after="120"/>
              <w:rPr>
                <w:szCs w:val="20"/>
              </w:rPr>
            </w:pPr>
            <w:r w:rsidRPr="00D517E7">
              <w:rPr>
                <w:b w:val="0"/>
                <w:szCs w:val="20"/>
              </w:rPr>
              <w:t>Many strategies result in fuel savings for truck owners, so public agencies often provide only a portion of the strategy cost on the assumption that the owner will be willing to pay for the balance. To maximize the benefits of the public funds, the agency will typically seek to set the incentive at the lowest level that will still generate interest among truck owners.</w:t>
            </w:r>
          </w:p>
        </w:tc>
      </w:tr>
    </w:tbl>
    <w:p w14:paraId="281AB46D" w14:textId="77777777" w:rsidR="005F08E5" w:rsidRDefault="005F08E5" w:rsidP="005F08E5">
      <w:pPr>
        <w:pStyle w:val="Heading2"/>
        <w:tabs>
          <w:tab w:val="clear" w:pos="0"/>
        </w:tabs>
        <w:ind w:left="630" w:hanging="630"/>
      </w:pPr>
      <w:bookmarkStart w:id="10" w:name="_Toc482973542"/>
      <w:r>
        <w:t>Analysis Years</w:t>
      </w:r>
      <w:bookmarkEnd w:id="10"/>
    </w:p>
    <w:p w14:paraId="23886FEC" w14:textId="77777777" w:rsidR="003119C3" w:rsidRDefault="00F954E4" w:rsidP="005F08E5">
      <w:pPr>
        <w:pStyle w:val="BodyText"/>
      </w:pPr>
      <w:r>
        <w:t>The Tool calculate</w:t>
      </w:r>
      <w:r w:rsidR="003B3DD3">
        <w:t>s</w:t>
      </w:r>
      <w:r>
        <w:t xml:space="preserve"> benefits for </w:t>
      </w:r>
      <w:r w:rsidR="003119C3">
        <w:t xml:space="preserve">the years shown in </w:t>
      </w:r>
      <w:r w:rsidR="00833B69">
        <w:fldChar w:fldCharType="begin"/>
      </w:r>
      <w:r w:rsidR="003119C3">
        <w:instrText xml:space="preserve"> REF _Ref458323639 \h </w:instrText>
      </w:r>
      <w:r w:rsidR="00833B69">
        <w:fldChar w:fldCharType="separate"/>
      </w:r>
      <w:r w:rsidR="00C42F38">
        <w:t xml:space="preserve">Table </w:t>
      </w:r>
      <w:r w:rsidR="00C42F38">
        <w:rPr>
          <w:noProof/>
        </w:rPr>
        <w:t>2</w:t>
      </w:r>
      <w:r w:rsidR="00833B69">
        <w:fldChar w:fldCharType="end"/>
      </w:r>
      <w:r w:rsidR="003119C3">
        <w:t>.</w:t>
      </w:r>
    </w:p>
    <w:p w14:paraId="443A7EA9" w14:textId="77777777" w:rsidR="003119C3" w:rsidRDefault="003119C3" w:rsidP="003119C3">
      <w:pPr>
        <w:pStyle w:val="TableCaption"/>
      </w:pPr>
      <w:bookmarkStart w:id="11" w:name="_Ref458323639"/>
      <w:bookmarkStart w:id="12" w:name="_Toc482973582"/>
      <w:r>
        <w:t xml:space="preserve">Table </w:t>
      </w:r>
      <w:r w:rsidR="00833B69">
        <w:fldChar w:fldCharType="begin"/>
      </w:r>
      <w:r>
        <w:instrText xml:space="preserve"> SEQ Table \* ARABIC </w:instrText>
      </w:r>
      <w:r w:rsidR="00833B69">
        <w:fldChar w:fldCharType="separate"/>
      </w:r>
      <w:r w:rsidR="00305706">
        <w:t>2</w:t>
      </w:r>
      <w:r w:rsidR="00833B69">
        <w:fldChar w:fldCharType="end"/>
      </w:r>
      <w:bookmarkEnd w:id="11"/>
      <w:r>
        <w:t>. Analysis Years Used in the Tool</w:t>
      </w:r>
      <w:bookmarkEnd w:id="12"/>
    </w:p>
    <w:tbl>
      <w:tblPr>
        <w:tblStyle w:val="GridTable3-Accent11"/>
        <w:tblW w:w="1705" w:type="dxa"/>
        <w:jc w:val="center"/>
        <w:tblBorders>
          <w:top w:val="single" w:sz="4" w:space="0" w:color="0070C0"/>
          <w:left w:val="single" w:sz="4" w:space="0" w:color="0070C0"/>
          <w:bottom w:val="single" w:sz="4" w:space="0" w:color="0070C0"/>
          <w:right w:val="single" w:sz="4" w:space="0" w:color="0070C0"/>
          <w:insideH w:val="single" w:sz="4" w:space="0" w:color="0070C0"/>
          <w:insideV w:val="none" w:sz="0" w:space="0" w:color="auto"/>
        </w:tblBorders>
        <w:tblLook w:val="0480" w:firstRow="0" w:lastRow="0" w:firstColumn="1" w:lastColumn="0" w:noHBand="0" w:noVBand="1"/>
      </w:tblPr>
      <w:tblGrid>
        <w:gridCol w:w="1705"/>
      </w:tblGrid>
      <w:tr w:rsidR="003119C3" w:rsidRPr="00266918" w14:paraId="650B1CAD" w14:textId="77777777" w:rsidTr="003119C3">
        <w:trPr>
          <w:cnfStyle w:val="000000100000" w:firstRow="0" w:lastRow="0" w:firstColumn="0" w:lastColumn="0" w:oddVBand="0" w:evenVBand="0" w:oddHBand="1" w:evenHBand="0" w:firstRowFirstColumn="0" w:firstRowLastColumn="0" w:lastRowFirstColumn="0" w:lastRowLastColumn="0"/>
          <w:trHeight w:val="24"/>
          <w:jc w:val="center"/>
        </w:trPr>
        <w:tc>
          <w:tcPr>
            <w:cnfStyle w:val="001000000000" w:firstRow="0" w:lastRow="0" w:firstColumn="1" w:lastColumn="0" w:oddVBand="0" w:evenVBand="0" w:oddHBand="0" w:evenHBand="0" w:firstRowFirstColumn="0" w:firstRowLastColumn="0" w:lastRowFirstColumn="0" w:lastRowLastColumn="0"/>
            <w:tcW w:w="1705" w:type="dxa"/>
            <w:tcBorders>
              <w:top w:val="none" w:sz="0" w:space="0" w:color="auto"/>
              <w:left w:val="none" w:sz="0" w:space="0" w:color="auto"/>
              <w:bottom w:val="none" w:sz="0" w:space="0" w:color="auto"/>
            </w:tcBorders>
            <w:noWrap/>
          </w:tcPr>
          <w:p w14:paraId="1319EFA4" w14:textId="77777777" w:rsidR="003119C3" w:rsidRPr="00D517E7" w:rsidRDefault="003119C3" w:rsidP="00072541">
            <w:pPr>
              <w:pStyle w:val="TableCellNumbers"/>
              <w:rPr>
                <w:i w:val="0"/>
                <w:sz w:val="22"/>
              </w:rPr>
            </w:pPr>
            <w:r w:rsidRPr="00D517E7">
              <w:rPr>
                <w:i w:val="0"/>
                <w:sz w:val="22"/>
              </w:rPr>
              <w:t>2015</w:t>
            </w:r>
          </w:p>
        </w:tc>
      </w:tr>
      <w:tr w:rsidR="003119C3" w:rsidRPr="00266918" w14:paraId="27DAD20B" w14:textId="77777777" w:rsidTr="003119C3">
        <w:trPr>
          <w:trHeight w:val="24"/>
          <w:jc w:val="center"/>
        </w:trPr>
        <w:tc>
          <w:tcPr>
            <w:cnfStyle w:val="001000000000" w:firstRow="0" w:lastRow="0" w:firstColumn="1" w:lastColumn="0" w:oddVBand="0" w:evenVBand="0" w:oddHBand="0" w:evenHBand="0" w:firstRowFirstColumn="0" w:firstRowLastColumn="0" w:lastRowFirstColumn="0" w:lastRowLastColumn="0"/>
            <w:tcW w:w="1705" w:type="dxa"/>
            <w:tcBorders>
              <w:left w:val="none" w:sz="0" w:space="0" w:color="auto"/>
              <w:bottom w:val="none" w:sz="0" w:space="0" w:color="auto"/>
            </w:tcBorders>
            <w:noWrap/>
          </w:tcPr>
          <w:p w14:paraId="7657F83A" w14:textId="77777777" w:rsidR="003119C3" w:rsidRPr="00D517E7" w:rsidRDefault="003119C3" w:rsidP="00072541">
            <w:pPr>
              <w:pStyle w:val="TableCellNumbers"/>
              <w:rPr>
                <w:i w:val="0"/>
                <w:sz w:val="22"/>
              </w:rPr>
            </w:pPr>
            <w:r w:rsidRPr="00D517E7">
              <w:rPr>
                <w:i w:val="0"/>
                <w:sz w:val="22"/>
              </w:rPr>
              <w:t>2020</w:t>
            </w:r>
          </w:p>
        </w:tc>
      </w:tr>
      <w:tr w:rsidR="003119C3" w:rsidRPr="00266918" w14:paraId="169DA80C" w14:textId="77777777" w:rsidTr="003119C3">
        <w:trPr>
          <w:cnfStyle w:val="000000100000" w:firstRow="0" w:lastRow="0" w:firstColumn="0" w:lastColumn="0" w:oddVBand="0" w:evenVBand="0" w:oddHBand="1" w:evenHBand="0" w:firstRowFirstColumn="0" w:firstRowLastColumn="0" w:lastRowFirstColumn="0" w:lastRowLastColumn="0"/>
          <w:trHeight w:val="24"/>
          <w:jc w:val="center"/>
        </w:trPr>
        <w:tc>
          <w:tcPr>
            <w:cnfStyle w:val="001000000000" w:firstRow="0" w:lastRow="0" w:firstColumn="1" w:lastColumn="0" w:oddVBand="0" w:evenVBand="0" w:oddHBand="0" w:evenHBand="0" w:firstRowFirstColumn="0" w:firstRowLastColumn="0" w:lastRowFirstColumn="0" w:lastRowLastColumn="0"/>
            <w:tcW w:w="1705" w:type="dxa"/>
            <w:tcBorders>
              <w:left w:val="none" w:sz="0" w:space="0" w:color="auto"/>
              <w:bottom w:val="none" w:sz="0" w:space="0" w:color="auto"/>
            </w:tcBorders>
            <w:noWrap/>
          </w:tcPr>
          <w:p w14:paraId="10B8A4F9" w14:textId="77777777" w:rsidR="003119C3" w:rsidRPr="00D517E7" w:rsidRDefault="003119C3" w:rsidP="00072541">
            <w:pPr>
              <w:pStyle w:val="TableCellNumbers"/>
              <w:rPr>
                <w:i w:val="0"/>
                <w:sz w:val="22"/>
              </w:rPr>
            </w:pPr>
            <w:r w:rsidRPr="00D517E7">
              <w:rPr>
                <w:i w:val="0"/>
                <w:sz w:val="22"/>
              </w:rPr>
              <w:t>2025</w:t>
            </w:r>
          </w:p>
        </w:tc>
      </w:tr>
      <w:tr w:rsidR="003119C3" w:rsidRPr="00266918" w14:paraId="14303906" w14:textId="77777777" w:rsidTr="003119C3">
        <w:trPr>
          <w:trHeight w:val="157"/>
          <w:jc w:val="center"/>
        </w:trPr>
        <w:tc>
          <w:tcPr>
            <w:cnfStyle w:val="001000000000" w:firstRow="0" w:lastRow="0" w:firstColumn="1" w:lastColumn="0" w:oddVBand="0" w:evenVBand="0" w:oddHBand="0" w:evenHBand="0" w:firstRowFirstColumn="0" w:firstRowLastColumn="0" w:lastRowFirstColumn="0" w:lastRowLastColumn="0"/>
            <w:tcW w:w="1705" w:type="dxa"/>
            <w:tcBorders>
              <w:left w:val="none" w:sz="0" w:space="0" w:color="auto"/>
              <w:bottom w:val="none" w:sz="0" w:space="0" w:color="auto"/>
            </w:tcBorders>
            <w:noWrap/>
          </w:tcPr>
          <w:p w14:paraId="394481B1" w14:textId="77777777" w:rsidR="003119C3" w:rsidRPr="00D517E7" w:rsidRDefault="003119C3" w:rsidP="00072541">
            <w:pPr>
              <w:pStyle w:val="TableCellNumbers"/>
              <w:rPr>
                <w:i w:val="0"/>
                <w:sz w:val="22"/>
              </w:rPr>
            </w:pPr>
            <w:r w:rsidRPr="00D517E7">
              <w:rPr>
                <w:i w:val="0"/>
                <w:sz w:val="22"/>
              </w:rPr>
              <w:t>2030</w:t>
            </w:r>
          </w:p>
        </w:tc>
      </w:tr>
      <w:tr w:rsidR="003119C3" w:rsidRPr="00266918" w14:paraId="6D936227" w14:textId="77777777" w:rsidTr="003119C3">
        <w:trPr>
          <w:cnfStyle w:val="000000100000" w:firstRow="0" w:lastRow="0" w:firstColumn="0" w:lastColumn="0" w:oddVBand="0" w:evenVBand="0" w:oddHBand="1" w:evenHBand="0" w:firstRowFirstColumn="0" w:firstRowLastColumn="0" w:lastRowFirstColumn="0" w:lastRowLastColumn="0"/>
          <w:trHeight w:val="24"/>
          <w:jc w:val="center"/>
        </w:trPr>
        <w:tc>
          <w:tcPr>
            <w:cnfStyle w:val="001000000000" w:firstRow="0" w:lastRow="0" w:firstColumn="1" w:lastColumn="0" w:oddVBand="0" w:evenVBand="0" w:oddHBand="0" w:evenHBand="0" w:firstRowFirstColumn="0" w:firstRowLastColumn="0" w:lastRowFirstColumn="0" w:lastRowLastColumn="0"/>
            <w:tcW w:w="1705" w:type="dxa"/>
            <w:tcBorders>
              <w:left w:val="none" w:sz="0" w:space="0" w:color="auto"/>
              <w:bottom w:val="none" w:sz="0" w:space="0" w:color="auto"/>
            </w:tcBorders>
            <w:noWrap/>
          </w:tcPr>
          <w:p w14:paraId="190846DE" w14:textId="77777777" w:rsidR="003119C3" w:rsidRPr="00D517E7" w:rsidRDefault="003119C3" w:rsidP="00072541">
            <w:pPr>
              <w:pStyle w:val="TableCellNumbers"/>
              <w:rPr>
                <w:i w:val="0"/>
                <w:sz w:val="22"/>
              </w:rPr>
            </w:pPr>
            <w:r w:rsidRPr="00D517E7">
              <w:rPr>
                <w:i w:val="0"/>
                <w:sz w:val="22"/>
              </w:rPr>
              <w:t>2035</w:t>
            </w:r>
          </w:p>
        </w:tc>
      </w:tr>
      <w:tr w:rsidR="003119C3" w:rsidRPr="00266918" w14:paraId="2E416FDF" w14:textId="77777777" w:rsidTr="003119C3">
        <w:trPr>
          <w:trHeight w:val="24"/>
          <w:jc w:val="center"/>
        </w:trPr>
        <w:tc>
          <w:tcPr>
            <w:cnfStyle w:val="001000000000" w:firstRow="0" w:lastRow="0" w:firstColumn="1" w:lastColumn="0" w:oddVBand="0" w:evenVBand="0" w:oddHBand="0" w:evenHBand="0" w:firstRowFirstColumn="0" w:firstRowLastColumn="0" w:lastRowFirstColumn="0" w:lastRowLastColumn="0"/>
            <w:tcW w:w="1705" w:type="dxa"/>
            <w:tcBorders>
              <w:left w:val="none" w:sz="0" w:space="0" w:color="auto"/>
              <w:bottom w:val="none" w:sz="0" w:space="0" w:color="auto"/>
            </w:tcBorders>
            <w:noWrap/>
          </w:tcPr>
          <w:p w14:paraId="4A295227" w14:textId="77777777" w:rsidR="003119C3" w:rsidRPr="00D517E7" w:rsidRDefault="003119C3" w:rsidP="00072541">
            <w:pPr>
              <w:pStyle w:val="TableCellNumbers"/>
              <w:rPr>
                <w:i w:val="0"/>
                <w:sz w:val="22"/>
              </w:rPr>
            </w:pPr>
            <w:r w:rsidRPr="00D517E7">
              <w:rPr>
                <w:i w:val="0"/>
                <w:sz w:val="22"/>
              </w:rPr>
              <w:t>2040</w:t>
            </w:r>
          </w:p>
        </w:tc>
      </w:tr>
    </w:tbl>
    <w:p w14:paraId="1F6D7F5A" w14:textId="77777777" w:rsidR="005F08E5" w:rsidRDefault="005F08E5" w:rsidP="005F08E5">
      <w:pPr>
        <w:pStyle w:val="Heading2"/>
      </w:pPr>
      <w:bookmarkStart w:id="13" w:name="_Toc482973543"/>
      <w:r>
        <w:lastRenderedPageBreak/>
        <w:t>Geographic Scale</w:t>
      </w:r>
      <w:bookmarkEnd w:id="13"/>
    </w:p>
    <w:p w14:paraId="46BB6228" w14:textId="176FB238" w:rsidR="003119C3" w:rsidRDefault="003119C3" w:rsidP="003119C3">
      <w:pPr>
        <w:pStyle w:val="BodyText"/>
      </w:pPr>
      <w:r>
        <w:t xml:space="preserve">The Tool models the five geographic scales described in </w:t>
      </w:r>
      <w:r w:rsidR="00833B69">
        <w:fldChar w:fldCharType="begin"/>
      </w:r>
      <w:r>
        <w:instrText xml:space="preserve"> REF _Ref458515711 \h </w:instrText>
      </w:r>
      <w:r w:rsidR="00833B69">
        <w:fldChar w:fldCharType="separate"/>
      </w:r>
      <w:r w:rsidR="00C42F38">
        <w:t xml:space="preserve">Table </w:t>
      </w:r>
      <w:r w:rsidR="00C42F38">
        <w:rPr>
          <w:noProof/>
        </w:rPr>
        <w:t>3</w:t>
      </w:r>
      <w:r w:rsidR="00833B69">
        <w:fldChar w:fldCharType="end"/>
      </w:r>
      <w:r>
        <w:t>. The applicable truck types are also shown and are discussed further in Section</w:t>
      </w:r>
      <w:r w:rsidR="00C43D0C">
        <w:t xml:space="preserve"> 2.4. </w:t>
      </w:r>
      <w:r>
        <w:t xml:space="preserve">The ways that MOVES was used to model these geographic scales are addressed in Section </w:t>
      </w:r>
      <w:r w:rsidR="00C43D0C">
        <w:t>5.1.2.</w:t>
      </w:r>
    </w:p>
    <w:p w14:paraId="1DB176CB" w14:textId="77777777" w:rsidR="003119C3" w:rsidRDefault="003119C3" w:rsidP="003119C3">
      <w:pPr>
        <w:pStyle w:val="TableCaption"/>
      </w:pPr>
      <w:bookmarkStart w:id="14" w:name="_Ref458515711"/>
      <w:bookmarkStart w:id="15" w:name="_Toc482973583"/>
      <w:r>
        <w:t xml:space="preserve">Table </w:t>
      </w:r>
      <w:r w:rsidR="00833B69">
        <w:fldChar w:fldCharType="begin"/>
      </w:r>
      <w:r>
        <w:instrText xml:space="preserve"> SEQ Table \* ARABIC </w:instrText>
      </w:r>
      <w:r w:rsidR="00833B69">
        <w:fldChar w:fldCharType="separate"/>
      </w:r>
      <w:r w:rsidR="00305706">
        <w:t>3</w:t>
      </w:r>
      <w:r w:rsidR="00833B69">
        <w:fldChar w:fldCharType="end"/>
      </w:r>
      <w:bookmarkEnd w:id="14"/>
      <w:r>
        <w:t>. Geographic Scales Used in the Tool, and Related Truck Types</w:t>
      </w:r>
      <w:bookmarkEnd w:id="15"/>
    </w:p>
    <w:tbl>
      <w:tblPr>
        <w:tblStyle w:val="TemplateTable"/>
        <w:tblW w:w="9327" w:type="dxa"/>
        <w:tblCellMar>
          <w:top w:w="0" w:type="dxa"/>
          <w:bottom w:w="0" w:type="dxa"/>
        </w:tblCellMar>
        <w:tblLook w:val="04A0" w:firstRow="1" w:lastRow="0" w:firstColumn="1" w:lastColumn="0" w:noHBand="0" w:noVBand="1"/>
      </w:tblPr>
      <w:tblGrid>
        <w:gridCol w:w="7274"/>
        <w:gridCol w:w="2053"/>
      </w:tblGrid>
      <w:tr w:rsidR="003119C3" w:rsidRPr="007C3F58" w14:paraId="06E22B6C" w14:textId="77777777" w:rsidTr="003119C3">
        <w:trPr>
          <w:cnfStyle w:val="100000000000" w:firstRow="1" w:lastRow="0" w:firstColumn="0" w:lastColumn="0" w:oddVBand="0" w:evenVBand="0" w:oddHBand="0" w:evenHBand="0" w:firstRowFirstColumn="0" w:firstRowLastColumn="0" w:lastRowFirstColumn="0" w:lastRowLastColumn="0"/>
          <w:trHeight w:val="24"/>
        </w:trPr>
        <w:tc>
          <w:tcPr>
            <w:tcW w:w="7274" w:type="dxa"/>
            <w:tcBorders>
              <w:bottom w:val="single" w:sz="4" w:space="0" w:color="0070C0"/>
            </w:tcBorders>
            <w:noWrap/>
            <w:vAlign w:val="bottom"/>
            <w:hideMark/>
          </w:tcPr>
          <w:p w14:paraId="3C27108E" w14:textId="77777777" w:rsidR="003119C3" w:rsidRPr="00D517E7" w:rsidRDefault="003119C3" w:rsidP="00072541">
            <w:pPr>
              <w:pStyle w:val="TableColumnHeading"/>
              <w:rPr>
                <w:sz w:val="22"/>
              </w:rPr>
            </w:pPr>
            <w:r w:rsidRPr="00D517E7">
              <w:rPr>
                <w:sz w:val="22"/>
              </w:rPr>
              <w:t>Geographic Scale</w:t>
            </w:r>
          </w:p>
        </w:tc>
        <w:tc>
          <w:tcPr>
            <w:tcW w:w="2053" w:type="dxa"/>
            <w:tcBorders>
              <w:bottom w:val="single" w:sz="4" w:space="0" w:color="0070C0"/>
            </w:tcBorders>
            <w:vAlign w:val="bottom"/>
          </w:tcPr>
          <w:p w14:paraId="41B2E403" w14:textId="77777777" w:rsidR="003119C3" w:rsidRPr="00D517E7" w:rsidRDefault="003119C3" w:rsidP="00072541">
            <w:pPr>
              <w:pStyle w:val="TableColumnHeading"/>
              <w:rPr>
                <w:sz w:val="22"/>
              </w:rPr>
            </w:pPr>
            <w:r w:rsidRPr="00D517E7">
              <w:rPr>
                <w:sz w:val="22"/>
              </w:rPr>
              <w:t>Applicable Truck Types</w:t>
            </w:r>
          </w:p>
        </w:tc>
      </w:tr>
      <w:tr w:rsidR="003119C3" w:rsidRPr="007C3F58" w14:paraId="25A8B51D" w14:textId="77777777" w:rsidTr="00D517E7">
        <w:trPr>
          <w:trHeight w:val="1043"/>
        </w:trPr>
        <w:tc>
          <w:tcPr>
            <w:tcW w:w="7274" w:type="dxa"/>
            <w:tcBorders>
              <w:top w:val="single" w:sz="4" w:space="0" w:color="0070C0"/>
              <w:left w:val="single" w:sz="4" w:space="0" w:color="0070C0"/>
              <w:bottom w:val="single" w:sz="4" w:space="0" w:color="0070C0"/>
              <w:right w:val="single" w:sz="4" w:space="0" w:color="0070C0"/>
            </w:tcBorders>
            <w:noWrap/>
            <w:vAlign w:val="center"/>
          </w:tcPr>
          <w:p w14:paraId="2DA88A07" w14:textId="77777777" w:rsidR="003119C3" w:rsidRPr="00D517E7" w:rsidRDefault="003119C3" w:rsidP="00072541">
            <w:pPr>
              <w:pStyle w:val="TableCellText"/>
              <w:rPr>
                <w:b/>
                <w:sz w:val="22"/>
              </w:rPr>
            </w:pPr>
            <w:r w:rsidRPr="00D517E7">
              <w:rPr>
                <w:b/>
                <w:sz w:val="22"/>
              </w:rPr>
              <w:t>State</w:t>
            </w:r>
          </w:p>
          <w:p w14:paraId="35C4066F" w14:textId="77777777" w:rsidR="003119C3" w:rsidRPr="00D517E7" w:rsidRDefault="003119C3" w:rsidP="007B50C6">
            <w:pPr>
              <w:pStyle w:val="TableCellText"/>
              <w:spacing w:after="120"/>
              <w:ind w:left="196"/>
              <w:rPr>
                <w:sz w:val="22"/>
              </w:rPr>
            </w:pPr>
            <w:r w:rsidRPr="00D517E7">
              <w:rPr>
                <w:sz w:val="22"/>
              </w:rPr>
              <w:t xml:space="preserve">Average state geographical area. </w:t>
            </w:r>
          </w:p>
          <w:p w14:paraId="3EE6BAAA" w14:textId="2AB1092E" w:rsidR="003119C3" w:rsidRPr="00D517E7" w:rsidRDefault="003119C3" w:rsidP="007B50C6">
            <w:pPr>
              <w:pStyle w:val="TableCellText"/>
              <w:ind w:left="196"/>
              <w:rPr>
                <w:sz w:val="22"/>
              </w:rPr>
            </w:pPr>
            <w:r w:rsidRPr="00D517E7">
              <w:rPr>
                <w:sz w:val="22"/>
              </w:rPr>
              <w:t>Derived from MOVES.</w:t>
            </w:r>
          </w:p>
        </w:tc>
        <w:tc>
          <w:tcPr>
            <w:tcW w:w="2053" w:type="dxa"/>
            <w:tcBorders>
              <w:top w:val="single" w:sz="4" w:space="0" w:color="0070C0"/>
              <w:left w:val="single" w:sz="4" w:space="0" w:color="0070C0"/>
              <w:bottom w:val="single" w:sz="4" w:space="0" w:color="0070C0"/>
              <w:right w:val="single" w:sz="4" w:space="0" w:color="0070C0"/>
            </w:tcBorders>
          </w:tcPr>
          <w:p w14:paraId="3493D03E" w14:textId="77777777" w:rsidR="003119C3" w:rsidRPr="00D517E7" w:rsidRDefault="003119C3" w:rsidP="00072541">
            <w:pPr>
              <w:pStyle w:val="TableCellText"/>
              <w:rPr>
                <w:sz w:val="22"/>
              </w:rPr>
            </w:pPr>
            <w:r w:rsidRPr="00D517E7">
              <w:rPr>
                <w:sz w:val="22"/>
              </w:rPr>
              <w:t>All</w:t>
            </w:r>
          </w:p>
        </w:tc>
      </w:tr>
      <w:tr w:rsidR="003119C3" w:rsidRPr="007C3F58" w14:paraId="2733D82B" w14:textId="77777777" w:rsidTr="00D517E7">
        <w:trPr>
          <w:trHeight w:val="1052"/>
        </w:trPr>
        <w:tc>
          <w:tcPr>
            <w:tcW w:w="7274" w:type="dxa"/>
            <w:tcBorders>
              <w:top w:val="single" w:sz="4" w:space="0" w:color="0070C0"/>
              <w:left w:val="single" w:sz="4" w:space="0" w:color="0070C0"/>
              <w:bottom w:val="single" w:sz="4" w:space="0" w:color="0070C0"/>
              <w:right w:val="single" w:sz="4" w:space="0" w:color="0070C0"/>
            </w:tcBorders>
            <w:noWrap/>
            <w:vAlign w:val="center"/>
          </w:tcPr>
          <w:p w14:paraId="5438E42A" w14:textId="77777777" w:rsidR="003119C3" w:rsidRPr="00D517E7" w:rsidRDefault="003119C3" w:rsidP="00072541">
            <w:pPr>
              <w:pStyle w:val="TableCellText"/>
              <w:rPr>
                <w:b/>
                <w:sz w:val="22"/>
              </w:rPr>
            </w:pPr>
            <w:r w:rsidRPr="00D517E7">
              <w:rPr>
                <w:b/>
                <w:sz w:val="22"/>
              </w:rPr>
              <w:t>Metropolitan</w:t>
            </w:r>
          </w:p>
          <w:p w14:paraId="2595F5CD" w14:textId="77777777" w:rsidR="003119C3" w:rsidRPr="00D517E7" w:rsidRDefault="003119C3" w:rsidP="00072541">
            <w:pPr>
              <w:pStyle w:val="TableCellText"/>
              <w:spacing w:after="120"/>
              <w:ind w:left="196"/>
              <w:rPr>
                <w:sz w:val="22"/>
              </w:rPr>
            </w:pPr>
            <w:r w:rsidRPr="00D517E7">
              <w:rPr>
                <w:sz w:val="22"/>
              </w:rPr>
              <w:t xml:space="preserve">Metropolitan planning organization area. </w:t>
            </w:r>
          </w:p>
          <w:p w14:paraId="05038B73" w14:textId="77777777" w:rsidR="003119C3" w:rsidRPr="00D517E7" w:rsidRDefault="003119C3" w:rsidP="00072541">
            <w:pPr>
              <w:pStyle w:val="TableCellText"/>
              <w:ind w:left="196"/>
              <w:rPr>
                <w:sz w:val="22"/>
              </w:rPr>
            </w:pPr>
            <w:r w:rsidRPr="00D517E7">
              <w:rPr>
                <w:sz w:val="22"/>
              </w:rPr>
              <w:t>Derived from MOVES as an average of the four largest metropolitan areas.</w:t>
            </w:r>
          </w:p>
        </w:tc>
        <w:tc>
          <w:tcPr>
            <w:tcW w:w="2053" w:type="dxa"/>
            <w:tcBorders>
              <w:top w:val="single" w:sz="4" w:space="0" w:color="0070C0"/>
              <w:left w:val="single" w:sz="4" w:space="0" w:color="0070C0"/>
              <w:bottom w:val="single" w:sz="4" w:space="0" w:color="0070C0"/>
              <w:right w:val="single" w:sz="4" w:space="0" w:color="0070C0"/>
            </w:tcBorders>
          </w:tcPr>
          <w:p w14:paraId="74096350" w14:textId="77777777" w:rsidR="003119C3" w:rsidRPr="00D517E7" w:rsidRDefault="003119C3" w:rsidP="00072541">
            <w:pPr>
              <w:pStyle w:val="TableCellText"/>
              <w:rPr>
                <w:sz w:val="22"/>
              </w:rPr>
            </w:pPr>
            <w:r w:rsidRPr="00D517E7">
              <w:rPr>
                <w:sz w:val="22"/>
              </w:rPr>
              <w:t>All</w:t>
            </w:r>
          </w:p>
        </w:tc>
      </w:tr>
      <w:tr w:rsidR="003119C3" w:rsidRPr="007C3F58" w14:paraId="0C431D0D" w14:textId="77777777" w:rsidTr="00D517E7">
        <w:trPr>
          <w:trHeight w:val="1052"/>
        </w:trPr>
        <w:tc>
          <w:tcPr>
            <w:tcW w:w="7274" w:type="dxa"/>
            <w:tcBorders>
              <w:top w:val="single" w:sz="4" w:space="0" w:color="0070C0"/>
              <w:left w:val="single" w:sz="4" w:space="0" w:color="0070C0"/>
              <w:bottom w:val="single" w:sz="4" w:space="0" w:color="0070C0"/>
              <w:right w:val="single" w:sz="4" w:space="0" w:color="0070C0"/>
            </w:tcBorders>
            <w:noWrap/>
            <w:vAlign w:val="center"/>
          </w:tcPr>
          <w:p w14:paraId="0AF8B6E0" w14:textId="77777777" w:rsidR="003119C3" w:rsidRPr="00D517E7" w:rsidRDefault="003119C3" w:rsidP="00072541">
            <w:pPr>
              <w:pStyle w:val="TableCellText"/>
              <w:rPr>
                <w:b/>
                <w:sz w:val="22"/>
              </w:rPr>
            </w:pPr>
            <w:r w:rsidRPr="00D517E7">
              <w:rPr>
                <w:b/>
                <w:sz w:val="22"/>
              </w:rPr>
              <w:t>County/Municipal</w:t>
            </w:r>
          </w:p>
          <w:p w14:paraId="028C6D45" w14:textId="77777777" w:rsidR="003119C3" w:rsidRPr="00D517E7" w:rsidRDefault="003119C3" w:rsidP="00072541">
            <w:pPr>
              <w:pStyle w:val="TableCellText"/>
              <w:spacing w:after="120"/>
              <w:ind w:left="196"/>
              <w:rPr>
                <w:sz w:val="22"/>
              </w:rPr>
            </w:pPr>
            <w:r w:rsidRPr="00D517E7">
              <w:rPr>
                <w:sz w:val="22"/>
              </w:rPr>
              <w:t xml:space="preserve">County or city area. </w:t>
            </w:r>
          </w:p>
          <w:p w14:paraId="6048A4E4" w14:textId="77777777" w:rsidR="003119C3" w:rsidRPr="00D517E7" w:rsidRDefault="003119C3" w:rsidP="003119C3">
            <w:pPr>
              <w:pStyle w:val="TableCellText"/>
              <w:ind w:left="196"/>
              <w:rPr>
                <w:sz w:val="22"/>
              </w:rPr>
            </w:pPr>
            <w:r w:rsidRPr="00D517E7">
              <w:rPr>
                <w:sz w:val="22"/>
              </w:rPr>
              <w:t>Derived from MOVES as an average of 33 counties.</w:t>
            </w:r>
          </w:p>
        </w:tc>
        <w:tc>
          <w:tcPr>
            <w:tcW w:w="2053" w:type="dxa"/>
            <w:tcBorders>
              <w:top w:val="single" w:sz="4" w:space="0" w:color="0070C0"/>
              <w:left w:val="single" w:sz="4" w:space="0" w:color="0070C0"/>
              <w:bottom w:val="single" w:sz="4" w:space="0" w:color="0070C0"/>
              <w:right w:val="single" w:sz="4" w:space="0" w:color="0070C0"/>
            </w:tcBorders>
          </w:tcPr>
          <w:p w14:paraId="5DEA9AD7" w14:textId="77777777" w:rsidR="003119C3" w:rsidRPr="00D517E7" w:rsidRDefault="003119C3" w:rsidP="00072541">
            <w:pPr>
              <w:pStyle w:val="TableCellText"/>
              <w:rPr>
                <w:sz w:val="22"/>
              </w:rPr>
            </w:pPr>
            <w:r w:rsidRPr="00D517E7">
              <w:rPr>
                <w:sz w:val="22"/>
              </w:rPr>
              <w:t>All</w:t>
            </w:r>
          </w:p>
        </w:tc>
      </w:tr>
      <w:tr w:rsidR="003119C3" w:rsidRPr="007C3F58" w14:paraId="6D5AB9E1" w14:textId="77777777" w:rsidTr="00D517E7">
        <w:trPr>
          <w:trHeight w:val="737"/>
        </w:trPr>
        <w:tc>
          <w:tcPr>
            <w:tcW w:w="7274" w:type="dxa"/>
            <w:tcBorders>
              <w:top w:val="single" w:sz="4" w:space="0" w:color="0070C0"/>
              <w:left w:val="single" w:sz="4" w:space="0" w:color="0070C0"/>
              <w:bottom w:val="single" w:sz="4" w:space="0" w:color="0070C0"/>
              <w:right w:val="single" w:sz="4" w:space="0" w:color="0070C0"/>
            </w:tcBorders>
            <w:noWrap/>
            <w:vAlign w:val="center"/>
          </w:tcPr>
          <w:p w14:paraId="05BE2144" w14:textId="77777777" w:rsidR="003119C3" w:rsidRPr="00D517E7" w:rsidRDefault="003119C3" w:rsidP="00072541">
            <w:pPr>
              <w:pStyle w:val="TableCellText"/>
              <w:rPr>
                <w:b/>
                <w:sz w:val="22"/>
              </w:rPr>
            </w:pPr>
            <w:r w:rsidRPr="00D517E7">
              <w:rPr>
                <w:b/>
                <w:sz w:val="22"/>
              </w:rPr>
              <w:t>Distribution Center</w:t>
            </w:r>
          </w:p>
          <w:p w14:paraId="6A0EE140" w14:textId="70A7CB45" w:rsidR="003119C3" w:rsidRPr="00D517E7" w:rsidRDefault="003119C3" w:rsidP="00072541">
            <w:pPr>
              <w:pStyle w:val="TableCellText"/>
              <w:ind w:left="196"/>
              <w:rPr>
                <w:sz w:val="22"/>
              </w:rPr>
            </w:pPr>
            <w:r w:rsidRPr="00D517E7">
              <w:rPr>
                <w:sz w:val="22"/>
              </w:rPr>
              <w:t xml:space="preserve">Typical distribution center, served by </w:t>
            </w:r>
            <w:r w:rsidR="006771E4">
              <w:rPr>
                <w:sz w:val="22"/>
              </w:rPr>
              <w:t>long haul</w:t>
            </w:r>
            <w:r w:rsidRPr="00D517E7">
              <w:rPr>
                <w:sz w:val="22"/>
              </w:rPr>
              <w:t xml:space="preserve"> trucks and drayage trucks.</w:t>
            </w:r>
          </w:p>
        </w:tc>
        <w:tc>
          <w:tcPr>
            <w:tcW w:w="2053" w:type="dxa"/>
            <w:tcBorders>
              <w:top w:val="single" w:sz="4" w:space="0" w:color="0070C0"/>
              <w:left w:val="single" w:sz="4" w:space="0" w:color="0070C0"/>
              <w:bottom w:val="single" w:sz="4" w:space="0" w:color="0070C0"/>
              <w:right w:val="single" w:sz="4" w:space="0" w:color="0070C0"/>
            </w:tcBorders>
          </w:tcPr>
          <w:p w14:paraId="57E45341" w14:textId="77777777" w:rsidR="003119C3" w:rsidRPr="00D517E7" w:rsidRDefault="003119C3" w:rsidP="00072541">
            <w:pPr>
              <w:pStyle w:val="TableCellText"/>
              <w:rPr>
                <w:sz w:val="22"/>
              </w:rPr>
            </w:pPr>
            <w:r w:rsidRPr="00D517E7">
              <w:rPr>
                <w:sz w:val="22"/>
              </w:rPr>
              <w:t>Combination Units</w:t>
            </w:r>
          </w:p>
        </w:tc>
      </w:tr>
      <w:tr w:rsidR="003119C3" w:rsidRPr="007C3F58" w14:paraId="2963CF65" w14:textId="77777777" w:rsidTr="00D517E7">
        <w:trPr>
          <w:trHeight w:val="1970"/>
        </w:trPr>
        <w:tc>
          <w:tcPr>
            <w:tcW w:w="7274" w:type="dxa"/>
            <w:tcBorders>
              <w:top w:val="single" w:sz="4" w:space="0" w:color="0070C0"/>
              <w:left w:val="single" w:sz="4" w:space="0" w:color="0070C0"/>
              <w:bottom w:val="single" w:sz="4" w:space="0" w:color="0070C0"/>
              <w:right w:val="single" w:sz="4" w:space="0" w:color="0070C0"/>
            </w:tcBorders>
            <w:noWrap/>
            <w:vAlign w:val="center"/>
          </w:tcPr>
          <w:p w14:paraId="4C99E1B3" w14:textId="77777777" w:rsidR="003119C3" w:rsidRPr="00D517E7" w:rsidRDefault="003119C3" w:rsidP="00072541">
            <w:pPr>
              <w:pStyle w:val="TableCellText"/>
              <w:rPr>
                <w:b/>
                <w:sz w:val="22"/>
              </w:rPr>
            </w:pPr>
            <w:r w:rsidRPr="00D517E7">
              <w:rPr>
                <w:b/>
                <w:sz w:val="22"/>
              </w:rPr>
              <w:t>Port</w:t>
            </w:r>
          </w:p>
          <w:p w14:paraId="46747EB2" w14:textId="77777777" w:rsidR="003119C3" w:rsidRPr="00D517E7" w:rsidRDefault="003119C3" w:rsidP="00072541">
            <w:pPr>
              <w:pStyle w:val="TableCellText"/>
              <w:spacing w:after="120"/>
              <w:ind w:left="196"/>
              <w:rPr>
                <w:sz w:val="22"/>
              </w:rPr>
            </w:pPr>
            <w:r w:rsidRPr="00D517E7">
              <w:rPr>
                <w:sz w:val="22"/>
              </w:rPr>
              <w:t xml:space="preserve">Typical port which drayage trucks frequent. </w:t>
            </w:r>
          </w:p>
          <w:p w14:paraId="7E2D575D" w14:textId="77777777" w:rsidR="003119C3" w:rsidRPr="00D517E7" w:rsidRDefault="003119C3" w:rsidP="00072541">
            <w:pPr>
              <w:pStyle w:val="TableCellText"/>
              <w:spacing w:after="120"/>
              <w:ind w:left="196"/>
              <w:rPr>
                <w:sz w:val="22"/>
              </w:rPr>
            </w:pPr>
            <w:r w:rsidRPr="00D517E7">
              <w:rPr>
                <w:sz w:val="22"/>
              </w:rPr>
              <w:t xml:space="preserve">Includes on-port movements (i.e., idling, creep mode, low speed transient operation) and off-port movements within 20 miles of the port. </w:t>
            </w:r>
          </w:p>
          <w:p w14:paraId="2C7D8FC9" w14:textId="77777777" w:rsidR="003119C3" w:rsidRPr="00D517E7" w:rsidRDefault="003119C3" w:rsidP="00072541">
            <w:pPr>
              <w:pStyle w:val="TableCellText"/>
              <w:ind w:left="196"/>
              <w:rPr>
                <w:sz w:val="22"/>
              </w:rPr>
            </w:pPr>
            <w:r w:rsidRPr="00D517E7">
              <w:rPr>
                <w:sz w:val="22"/>
              </w:rPr>
              <w:t>If the Tool user wants to analyze ports with longer truck-travel distances, the county/municipal geographic scale should be selected.</w:t>
            </w:r>
          </w:p>
        </w:tc>
        <w:tc>
          <w:tcPr>
            <w:tcW w:w="2053" w:type="dxa"/>
            <w:tcBorders>
              <w:top w:val="single" w:sz="4" w:space="0" w:color="0070C0"/>
              <w:left w:val="single" w:sz="4" w:space="0" w:color="0070C0"/>
              <w:bottom w:val="single" w:sz="4" w:space="0" w:color="0070C0"/>
              <w:right w:val="single" w:sz="4" w:space="0" w:color="0070C0"/>
            </w:tcBorders>
          </w:tcPr>
          <w:p w14:paraId="6801D561" w14:textId="702E0808" w:rsidR="003119C3" w:rsidRPr="00D517E7" w:rsidRDefault="003119C3" w:rsidP="00072541">
            <w:pPr>
              <w:pStyle w:val="TableCellText"/>
              <w:rPr>
                <w:sz w:val="22"/>
              </w:rPr>
            </w:pPr>
            <w:r w:rsidRPr="00D517E7">
              <w:rPr>
                <w:sz w:val="22"/>
              </w:rPr>
              <w:t>Combination</w:t>
            </w:r>
            <w:r w:rsidR="007B1EA8">
              <w:rPr>
                <w:sz w:val="22"/>
              </w:rPr>
              <w:t xml:space="preserve"> unit</w:t>
            </w:r>
            <w:r w:rsidRPr="00D517E7">
              <w:rPr>
                <w:sz w:val="22"/>
              </w:rPr>
              <w:t xml:space="preserve"> Short Hauls</w:t>
            </w:r>
          </w:p>
        </w:tc>
      </w:tr>
    </w:tbl>
    <w:p w14:paraId="7152BFBF" w14:textId="5168076A" w:rsidR="00D517E7" w:rsidRDefault="00D517E7" w:rsidP="00D517E7">
      <w:pPr>
        <w:pStyle w:val="BodyText"/>
      </w:pPr>
    </w:p>
    <w:p w14:paraId="1EF15D27" w14:textId="77777777" w:rsidR="00D517E7" w:rsidRDefault="00D517E7">
      <w:pPr>
        <w:spacing w:after="200" w:line="276" w:lineRule="auto"/>
        <w:rPr>
          <w:rFonts w:cs="Arial"/>
        </w:rPr>
      </w:pPr>
      <w:r>
        <w:br w:type="page"/>
      </w:r>
    </w:p>
    <w:p w14:paraId="75181168" w14:textId="77777777" w:rsidR="005F08E5" w:rsidRDefault="005F08E5" w:rsidP="005F08E5">
      <w:pPr>
        <w:pStyle w:val="Heading2"/>
      </w:pPr>
      <w:bookmarkStart w:id="16" w:name="_Toc482973544"/>
      <w:r>
        <w:lastRenderedPageBreak/>
        <w:t>Truck Types</w:t>
      </w:r>
      <w:bookmarkEnd w:id="16"/>
    </w:p>
    <w:p w14:paraId="3760BA11" w14:textId="41E5DE39" w:rsidR="003119C3" w:rsidRDefault="003119C3" w:rsidP="003119C3">
      <w:pPr>
        <w:pStyle w:val="BodyText"/>
      </w:pPr>
      <w:r>
        <w:t xml:space="preserve">The Tool models the four truck types described in </w:t>
      </w:r>
      <w:r w:rsidR="00833B69">
        <w:fldChar w:fldCharType="begin"/>
      </w:r>
      <w:r w:rsidR="00F55EF6">
        <w:instrText xml:space="preserve"> REF _Ref458515841 \h </w:instrText>
      </w:r>
      <w:r w:rsidR="00833B69">
        <w:fldChar w:fldCharType="separate"/>
      </w:r>
      <w:r w:rsidR="00C42F38">
        <w:t xml:space="preserve">Table </w:t>
      </w:r>
      <w:r w:rsidR="00C42F38">
        <w:rPr>
          <w:noProof/>
        </w:rPr>
        <w:t>4</w:t>
      </w:r>
      <w:r w:rsidR="00833B69">
        <w:fldChar w:fldCharType="end"/>
      </w:r>
      <w:r>
        <w:t xml:space="preserve">. The truck types used in MOVES are addressed in Section </w:t>
      </w:r>
      <w:r w:rsidR="00C43D0C">
        <w:t>5.1.1.</w:t>
      </w:r>
    </w:p>
    <w:p w14:paraId="14CEFE9D" w14:textId="77777777" w:rsidR="003119C3" w:rsidRDefault="003119C3" w:rsidP="003119C3">
      <w:pPr>
        <w:pStyle w:val="TableCaption"/>
      </w:pPr>
      <w:bookmarkStart w:id="17" w:name="_Ref458515841"/>
      <w:bookmarkStart w:id="18" w:name="_Toc482973584"/>
      <w:r>
        <w:t xml:space="preserve">Table </w:t>
      </w:r>
      <w:r w:rsidR="00833B69">
        <w:fldChar w:fldCharType="begin"/>
      </w:r>
      <w:r>
        <w:instrText xml:space="preserve"> SEQ Table \* ARABIC </w:instrText>
      </w:r>
      <w:r w:rsidR="00833B69">
        <w:fldChar w:fldCharType="separate"/>
      </w:r>
      <w:r w:rsidR="00305706">
        <w:t>4</w:t>
      </w:r>
      <w:r w:rsidR="00833B69">
        <w:fldChar w:fldCharType="end"/>
      </w:r>
      <w:bookmarkEnd w:id="17"/>
      <w:r>
        <w:t>. Truck Types Used in the Tool</w:t>
      </w:r>
      <w:bookmarkEnd w:id="18"/>
    </w:p>
    <w:tbl>
      <w:tblPr>
        <w:tblStyle w:val="TemplateTable"/>
        <w:tblW w:w="943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0" w:type="dxa"/>
          <w:bottom w:w="0" w:type="dxa"/>
        </w:tblCellMar>
        <w:tblLook w:val="0480" w:firstRow="0" w:lastRow="0" w:firstColumn="1" w:lastColumn="0" w:noHBand="0" w:noVBand="1"/>
      </w:tblPr>
      <w:tblGrid>
        <w:gridCol w:w="9438"/>
      </w:tblGrid>
      <w:tr w:rsidR="003119C3" w:rsidRPr="007C3F58" w14:paraId="0CE06E71" w14:textId="77777777" w:rsidTr="00D517E7">
        <w:trPr>
          <w:trHeight w:val="1080"/>
        </w:trPr>
        <w:tc>
          <w:tcPr>
            <w:tcW w:w="9438" w:type="dxa"/>
            <w:noWrap/>
            <w:vAlign w:val="center"/>
          </w:tcPr>
          <w:p w14:paraId="640A77BE" w14:textId="6D6B313A" w:rsidR="003119C3" w:rsidRPr="00D517E7" w:rsidRDefault="003119C3" w:rsidP="00072541">
            <w:pPr>
              <w:pStyle w:val="TableCellText"/>
              <w:rPr>
                <w:b/>
                <w:sz w:val="22"/>
              </w:rPr>
            </w:pPr>
            <w:r w:rsidRPr="00D517E7">
              <w:rPr>
                <w:b/>
                <w:sz w:val="22"/>
              </w:rPr>
              <w:t>Single</w:t>
            </w:r>
            <w:r w:rsidR="007B1EA8">
              <w:rPr>
                <w:b/>
                <w:sz w:val="22"/>
              </w:rPr>
              <w:t xml:space="preserve"> unit</w:t>
            </w:r>
            <w:r w:rsidRPr="00D517E7">
              <w:rPr>
                <w:b/>
                <w:sz w:val="22"/>
              </w:rPr>
              <w:t xml:space="preserve"> Short Haul</w:t>
            </w:r>
          </w:p>
          <w:p w14:paraId="00A0A266" w14:textId="77777777" w:rsidR="003119C3" w:rsidRPr="00D517E7" w:rsidRDefault="003119C3" w:rsidP="00072541">
            <w:pPr>
              <w:pStyle w:val="TableCellText"/>
              <w:spacing w:after="120"/>
              <w:ind w:left="161"/>
              <w:rPr>
                <w:sz w:val="22"/>
              </w:rPr>
            </w:pPr>
            <w:r w:rsidRPr="00D517E7">
              <w:rPr>
                <w:sz w:val="22"/>
              </w:rPr>
              <w:t xml:space="preserve">Represents local pick-up and delivery trucks that can be fueled on either diesel or gasoline. </w:t>
            </w:r>
          </w:p>
          <w:p w14:paraId="2D82C586" w14:textId="77777777" w:rsidR="003119C3" w:rsidRPr="00D517E7" w:rsidRDefault="003119C3" w:rsidP="00072541">
            <w:pPr>
              <w:ind w:left="161"/>
              <w:rPr>
                <w:b/>
                <w:sz w:val="22"/>
                <w:szCs w:val="20"/>
              </w:rPr>
            </w:pPr>
            <w:r w:rsidRPr="00D517E7">
              <w:rPr>
                <w:sz w:val="22"/>
                <w:szCs w:val="20"/>
              </w:rPr>
              <w:t>Generally class 3, class 4, or class 5 trucks that travel less than 50 miles round trip.</w:t>
            </w:r>
          </w:p>
        </w:tc>
      </w:tr>
      <w:tr w:rsidR="003119C3" w:rsidRPr="007C3F58" w14:paraId="750D343C" w14:textId="77777777" w:rsidTr="00D517E7">
        <w:trPr>
          <w:trHeight w:val="1052"/>
        </w:trPr>
        <w:tc>
          <w:tcPr>
            <w:tcW w:w="9438" w:type="dxa"/>
            <w:noWrap/>
            <w:vAlign w:val="center"/>
          </w:tcPr>
          <w:p w14:paraId="18F98BFB" w14:textId="444C62B3" w:rsidR="003119C3" w:rsidRPr="00D517E7" w:rsidRDefault="003119C3" w:rsidP="00072541">
            <w:pPr>
              <w:pStyle w:val="TableCellText"/>
              <w:rPr>
                <w:b/>
                <w:sz w:val="22"/>
              </w:rPr>
            </w:pPr>
            <w:r w:rsidRPr="00D517E7">
              <w:rPr>
                <w:b/>
                <w:sz w:val="22"/>
              </w:rPr>
              <w:t>Single</w:t>
            </w:r>
            <w:r w:rsidR="007B1EA8">
              <w:rPr>
                <w:b/>
                <w:sz w:val="22"/>
              </w:rPr>
              <w:t xml:space="preserve"> unit</w:t>
            </w:r>
            <w:r w:rsidRPr="00D517E7">
              <w:rPr>
                <w:b/>
                <w:sz w:val="22"/>
              </w:rPr>
              <w:t xml:space="preserve"> Long Haul</w:t>
            </w:r>
          </w:p>
          <w:p w14:paraId="387BCA61" w14:textId="77777777" w:rsidR="003119C3" w:rsidRPr="00D517E7" w:rsidRDefault="003119C3" w:rsidP="00072541">
            <w:pPr>
              <w:pStyle w:val="TableCellText"/>
              <w:spacing w:after="120"/>
              <w:ind w:left="161"/>
              <w:rPr>
                <w:sz w:val="22"/>
              </w:rPr>
            </w:pPr>
            <w:r w:rsidRPr="00D517E7">
              <w:rPr>
                <w:sz w:val="22"/>
              </w:rPr>
              <w:t>Represents regional delivery box trucks, fueled on diesel, that transfer goods between cities.</w:t>
            </w:r>
          </w:p>
          <w:p w14:paraId="000FB130" w14:textId="77777777" w:rsidR="003119C3" w:rsidRPr="00D517E7" w:rsidRDefault="003119C3" w:rsidP="00072541">
            <w:pPr>
              <w:ind w:left="161"/>
              <w:rPr>
                <w:sz w:val="22"/>
                <w:szCs w:val="20"/>
              </w:rPr>
            </w:pPr>
            <w:r w:rsidRPr="00D517E7">
              <w:rPr>
                <w:sz w:val="22"/>
                <w:szCs w:val="20"/>
              </w:rPr>
              <w:t>Generally class 6 or class 7, and traveling 100 miles or more per day.</w:t>
            </w:r>
          </w:p>
        </w:tc>
      </w:tr>
      <w:tr w:rsidR="003119C3" w:rsidRPr="007C3F58" w14:paraId="433EFB2B" w14:textId="77777777" w:rsidTr="00D517E7">
        <w:trPr>
          <w:trHeight w:val="1385"/>
        </w:trPr>
        <w:tc>
          <w:tcPr>
            <w:tcW w:w="9438" w:type="dxa"/>
            <w:noWrap/>
            <w:vAlign w:val="center"/>
          </w:tcPr>
          <w:p w14:paraId="1699CBAD" w14:textId="417344C5" w:rsidR="003119C3" w:rsidRPr="00D517E7" w:rsidRDefault="003119C3" w:rsidP="00072541">
            <w:pPr>
              <w:pStyle w:val="TableCellText"/>
              <w:rPr>
                <w:b/>
                <w:sz w:val="22"/>
              </w:rPr>
            </w:pPr>
            <w:r w:rsidRPr="00D517E7">
              <w:rPr>
                <w:b/>
                <w:sz w:val="22"/>
              </w:rPr>
              <w:t>Combination</w:t>
            </w:r>
            <w:r w:rsidR="007B1EA8">
              <w:rPr>
                <w:b/>
                <w:sz w:val="22"/>
              </w:rPr>
              <w:t xml:space="preserve"> unit</w:t>
            </w:r>
            <w:r w:rsidRPr="00D517E7">
              <w:rPr>
                <w:b/>
                <w:sz w:val="22"/>
              </w:rPr>
              <w:t xml:space="preserve"> Short Haul</w:t>
            </w:r>
          </w:p>
          <w:p w14:paraId="25275FED" w14:textId="77777777" w:rsidR="003119C3" w:rsidRPr="00D517E7" w:rsidRDefault="003119C3" w:rsidP="00072541">
            <w:pPr>
              <w:pStyle w:val="TableCellText"/>
              <w:spacing w:after="120"/>
              <w:ind w:left="161"/>
              <w:rPr>
                <w:sz w:val="22"/>
              </w:rPr>
            </w:pPr>
            <w:r w:rsidRPr="00D517E7">
              <w:rPr>
                <w:sz w:val="22"/>
              </w:rPr>
              <w:t xml:space="preserve">Represents drayage trucks, fueled on diesel, that generally move between manufacturing facilities, warehousing facilities (e.g., distribution centers), and intermodal terminals (e.g., ports). </w:t>
            </w:r>
          </w:p>
          <w:p w14:paraId="7297C3C9" w14:textId="29465E0E" w:rsidR="003119C3" w:rsidRPr="00D517E7" w:rsidRDefault="003119C3" w:rsidP="00072541">
            <w:pPr>
              <w:ind w:left="161"/>
              <w:rPr>
                <w:sz w:val="22"/>
                <w:szCs w:val="20"/>
              </w:rPr>
            </w:pPr>
            <w:r w:rsidRPr="00D517E7">
              <w:rPr>
                <w:sz w:val="22"/>
                <w:szCs w:val="20"/>
              </w:rPr>
              <w:t>Generally class 8</w:t>
            </w:r>
            <w:r w:rsidR="001772D3" w:rsidRPr="00D517E7">
              <w:rPr>
                <w:sz w:val="22"/>
                <w:szCs w:val="20"/>
              </w:rPr>
              <w:t xml:space="preserve"> traveling less than 50 miles round trip per day</w:t>
            </w:r>
            <w:r w:rsidRPr="00D517E7">
              <w:rPr>
                <w:sz w:val="22"/>
                <w:szCs w:val="20"/>
              </w:rPr>
              <w:t>.</w:t>
            </w:r>
          </w:p>
        </w:tc>
      </w:tr>
      <w:tr w:rsidR="003119C3" w:rsidRPr="007C3F58" w14:paraId="3BB2A9FD" w14:textId="77777777" w:rsidTr="00D517E7">
        <w:trPr>
          <w:trHeight w:val="1025"/>
        </w:trPr>
        <w:tc>
          <w:tcPr>
            <w:tcW w:w="9438" w:type="dxa"/>
            <w:noWrap/>
            <w:vAlign w:val="center"/>
          </w:tcPr>
          <w:p w14:paraId="623671EB" w14:textId="7E2207F0" w:rsidR="003119C3" w:rsidRPr="00D517E7" w:rsidRDefault="003119C3" w:rsidP="00072541">
            <w:pPr>
              <w:pStyle w:val="TableCellText"/>
              <w:rPr>
                <w:b/>
                <w:sz w:val="22"/>
              </w:rPr>
            </w:pPr>
            <w:r w:rsidRPr="00D517E7">
              <w:rPr>
                <w:b/>
                <w:sz w:val="22"/>
              </w:rPr>
              <w:t>Combination</w:t>
            </w:r>
            <w:r w:rsidR="007B1EA8">
              <w:rPr>
                <w:b/>
                <w:sz w:val="22"/>
              </w:rPr>
              <w:t xml:space="preserve"> unit</w:t>
            </w:r>
            <w:r w:rsidRPr="00D517E7">
              <w:rPr>
                <w:b/>
                <w:sz w:val="22"/>
              </w:rPr>
              <w:t xml:space="preserve"> Long Haul</w:t>
            </w:r>
          </w:p>
          <w:p w14:paraId="5DBD2148" w14:textId="7A97823D" w:rsidR="003119C3" w:rsidRPr="00D517E7" w:rsidRDefault="003119C3" w:rsidP="00072541">
            <w:pPr>
              <w:ind w:left="161"/>
              <w:rPr>
                <w:sz w:val="22"/>
                <w:szCs w:val="20"/>
              </w:rPr>
            </w:pPr>
            <w:r w:rsidRPr="00D517E7">
              <w:rPr>
                <w:sz w:val="22"/>
                <w:szCs w:val="20"/>
              </w:rPr>
              <w:t xml:space="preserve">Represents class 8 </w:t>
            </w:r>
            <w:r w:rsidR="006771E4">
              <w:rPr>
                <w:sz w:val="22"/>
                <w:szCs w:val="20"/>
              </w:rPr>
              <w:t>long haul</w:t>
            </w:r>
            <w:r w:rsidRPr="00D517E7">
              <w:rPr>
                <w:sz w:val="22"/>
                <w:szCs w:val="20"/>
              </w:rPr>
              <w:t xml:space="preserve"> trucks (e.g., line-haul trucks), fueled on diesel, that have one or two trailers and cover long distances</w:t>
            </w:r>
            <w:r w:rsidR="001772D3" w:rsidRPr="00D517E7">
              <w:rPr>
                <w:sz w:val="22"/>
                <w:szCs w:val="20"/>
              </w:rPr>
              <w:t>, generally more than 100 miles per day</w:t>
            </w:r>
            <w:r w:rsidRPr="00D517E7">
              <w:rPr>
                <w:sz w:val="22"/>
                <w:szCs w:val="20"/>
              </w:rPr>
              <w:t>.</w:t>
            </w:r>
          </w:p>
        </w:tc>
      </w:tr>
    </w:tbl>
    <w:p w14:paraId="6F792DBC" w14:textId="1913EF34" w:rsidR="00D517E7" w:rsidRDefault="00D517E7" w:rsidP="00D517E7">
      <w:pPr>
        <w:pStyle w:val="BodyText"/>
      </w:pPr>
    </w:p>
    <w:p w14:paraId="2CCC5C75" w14:textId="77777777" w:rsidR="00D517E7" w:rsidRDefault="00D517E7">
      <w:pPr>
        <w:spacing w:after="200" w:line="276" w:lineRule="auto"/>
        <w:rPr>
          <w:rFonts w:cs="Arial"/>
        </w:rPr>
      </w:pPr>
      <w:r>
        <w:br w:type="page"/>
      </w:r>
    </w:p>
    <w:p w14:paraId="503018CA" w14:textId="77777777" w:rsidR="00FF7E70" w:rsidRDefault="00F55EF6" w:rsidP="00FF7E70">
      <w:pPr>
        <w:pStyle w:val="Heading2"/>
        <w:tabs>
          <w:tab w:val="clear" w:pos="0"/>
        </w:tabs>
        <w:ind w:left="630" w:hanging="630"/>
      </w:pPr>
      <w:bookmarkStart w:id="19" w:name="_Toc482973545"/>
      <w:r>
        <w:lastRenderedPageBreak/>
        <w:t>Types of Outputs</w:t>
      </w:r>
      <w:bookmarkEnd w:id="19"/>
    </w:p>
    <w:p w14:paraId="6033DAF7" w14:textId="33FDFFC9" w:rsidR="00FF7E70" w:rsidRDefault="00FF7E70" w:rsidP="00FF7E70">
      <w:pPr>
        <w:pStyle w:val="BodyText"/>
      </w:pPr>
      <w:r>
        <w:t xml:space="preserve">The Tool </w:t>
      </w:r>
      <w:r w:rsidR="00F55EF6">
        <w:t xml:space="preserve">provides the types of outputs listed in </w:t>
      </w:r>
      <w:r w:rsidR="00833B69">
        <w:fldChar w:fldCharType="begin"/>
      </w:r>
      <w:r w:rsidR="006F5BAA">
        <w:instrText xml:space="preserve"> REF _Ref458519038 \h </w:instrText>
      </w:r>
      <w:r w:rsidR="00833B69">
        <w:fldChar w:fldCharType="separate"/>
      </w:r>
      <w:r w:rsidR="00C42F38">
        <w:t xml:space="preserve">Table </w:t>
      </w:r>
      <w:r w:rsidR="00C42F38">
        <w:rPr>
          <w:noProof/>
        </w:rPr>
        <w:t>5</w:t>
      </w:r>
      <w:r w:rsidR="00833B69">
        <w:fldChar w:fldCharType="end"/>
      </w:r>
      <w:r w:rsidR="00F55EF6">
        <w:t>.</w:t>
      </w:r>
      <w:r w:rsidR="007B50C6">
        <w:t xml:space="preserve"> The derivation of default values for these variables can be found in Section </w:t>
      </w:r>
      <w:r w:rsidR="00C43D0C">
        <w:t>5</w:t>
      </w:r>
      <w:r w:rsidR="007B50C6">
        <w:t>.</w:t>
      </w:r>
    </w:p>
    <w:p w14:paraId="406430EA" w14:textId="77777777" w:rsidR="00F55EF6" w:rsidRDefault="00F55EF6" w:rsidP="00F55EF6">
      <w:pPr>
        <w:pStyle w:val="TableCaption"/>
      </w:pPr>
      <w:bookmarkStart w:id="20" w:name="_Ref458519038"/>
      <w:bookmarkStart w:id="21" w:name="_Toc482973585"/>
      <w:r>
        <w:t xml:space="preserve">Table </w:t>
      </w:r>
      <w:r w:rsidR="00833B69">
        <w:fldChar w:fldCharType="begin"/>
      </w:r>
      <w:r>
        <w:instrText xml:space="preserve"> SEQ Table \* ARABIC </w:instrText>
      </w:r>
      <w:r w:rsidR="00833B69">
        <w:fldChar w:fldCharType="separate"/>
      </w:r>
      <w:r w:rsidR="00305706">
        <w:t>5</w:t>
      </w:r>
      <w:r w:rsidR="00833B69">
        <w:fldChar w:fldCharType="end"/>
      </w:r>
      <w:bookmarkEnd w:id="20"/>
      <w:r>
        <w:t>. Types of Outputs Provided in the Tool</w:t>
      </w:r>
      <w:bookmarkEnd w:id="21"/>
    </w:p>
    <w:tbl>
      <w:tblPr>
        <w:tblStyle w:val="TemplateTable"/>
        <w:tblW w:w="9328" w:type="dxa"/>
        <w:tblCellMar>
          <w:top w:w="0" w:type="dxa"/>
          <w:bottom w:w="0" w:type="dxa"/>
        </w:tblCellMar>
        <w:tblLook w:val="0480" w:firstRow="0" w:lastRow="0" w:firstColumn="1" w:lastColumn="0" w:noHBand="0" w:noVBand="1"/>
      </w:tblPr>
      <w:tblGrid>
        <w:gridCol w:w="9328"/>
      </w:tblGrid>
      <w:tr w:rsidR="00F55EF6" w:rsidRPr="007C3F58" w14:paraId="6C37A1D9" w14:textId="77777777" w:rsidTr="00F55EF6">
        <w:trPr>
          <w:trHeight w:val="24"/>
        </w:trPr>
        <w:tc>
          <w:tcPr>
            <w:tcW w:w="9328" w:type="dxa"/>
            <w:tcBorders>
              <w:top w:val="single" w:sz="4" w:space="0" w:color="0070C0"/>
              <w:left w:val="single" w:sz="4" w:space="0" w:color="0070C0"/>
              <w:bottom w:val="nil"/>
              <w:right w:val="single" w:sz="4" w:space="0" w:color="0070C0"/>
            </w:tcBorders>
            <w:noWrap/>
            <w:tcMar>
              <w:top w:w="0" w:type="dxa"/>
              <w:bottom w:w="0" w:type="dxa"/>
            </w:tcMar>
            <w:vAlign w:val="center"/>
          </w:tcPr>
          <w:p w14:paraId="5EB54C29" w14:textId="324A7F16" w:rsidR="00F55EF6" w:rsidRPr="00D517E7" w:rsidRDefault="00F55EF6" w:rsidP="00072541">
            <w:pPr>
              <w:pStyle w:val="TableCellText"/>
              <w:rPr>
                <w:b/>
                <w:sz w:val="22"/>
              </w:rPr>
            </w:pPr>
            <w:r w:rsidRPr="00D517E7">
              <w:rPr>
                <w:b/>
                <w:sz w:val="22"/>
              </w:rPr>
              <w:t>Fuel use</w:t>
            </w:r>
          </w:p>
        </w:tc>
      </w:tr>
      <w:tr w:rsidR="00F55EF6" w:rsidRPr="007C3F58" w14:paraId="651F222B" w14:textId="77777777" w:rsidTr="00F55EF6">
        <w:trPr>
          <w:trHeight w:val="24"/>
        </w:trPr>
        <w:tc>
          <w:tcPr>
            <w:tcW w:w="9328" w:type="dxa"/>
            <w:tcBorders>
              <w:top w:val="nil"/>
              <w:left w:val="single" w:sz="4" w:space="0" w:color="0070C0"/>
              <w:bottom w:val="nil"/>
              <w:right w:val="single" w:sz="4" w:space="0" w:color="0070C0"/>
            </w:tcBorders>
            <w:noWrap/>
            <w:tcMar>
              <w:top w:w="0" w:type="dxa"/>
              <w:left w:w="58" w:type="dxa"/>
              <w:bottom w:w="0" w:type="dxa"/>
            </w:tcMar>
            <w:vAlign w:val="center"/>
          </w:tcPr>
          <w:p w14:paraId="2D4903AF" w14:textId="77777777" w:rsidR="00F55EF6" w:rsidRPr="00D517E7" w:rsidRDefault="00F55EF6" w:rsidP="00F55EF6">
            <w:pPr>
              <w:pStyle w:val="TableCellText"/>
              <w:numPr>
                <w:ilvl w:val="0"/>
                <w:numId w:val="19"/>
              </w:numPr>
              <w:rPr>
                <w:sz w:val="22"/>
              </w:rPr>
            </w:pPr>
            <w:r w:rsidRPr="00D517E7">
              <w:rPr>
                <w:sz w:val="22"/>
              </w:rPr>
              <w:t>Running (mi/gal)</w:t>
            </w:r>
          </w:p>
        </w:tc>
      </w:tr>
      <w:tr w:rsidR="00F55EF6" w:rsidRPr="007C3F58" w14:paraId="12719C21" w14:textId="77777777" w:rsidTr="00F55EF6">
        <w:trPr>
          <w:trHeight w:val="24"/>
        </w:trPr>
        <w:tc>
          <w:tcPr>
            <w:tcW w:w="9328" w:type="dxa"/>
            <w:tcBorders>
              <w:top w:val="nil"/>
              <w:left w:val="single" w:sz="4" w:space="0" w:color="0070C0"/>
              <w:bottom w:val="nil"/>
              <w:right w:val="single" w:sz="4" w:space="0" w:color="0070C0"/>
            </w:tcBorders>
            <w:noWrap/>
            <w:tcMar>
              <w:top w:w="0" w:type="dxa"/>
              <w:left w:w="58" w:type="dxa"/>
              <w:bottom w:w="0" w:type="dxa"/>
            </w:tcMar>
            <w:vAlign w:val="center"/>
          </w:tcPr>
          <w:p w14:paraId="766EC467" w14:textId="6EFA4A41" w:rsidR="00F55EF6" w:rsidRPr="00D517E7" w:rsidRDefault="00F55EF6" w:rsidP="00F55EF6">
            <w:pPr>
              <w:pStyle w:val="TableCellText"/>
              <w:numPr>
                <w:ilvl w:val="0"/>
                <w:numId w:val="19"/>
              </w:numPr>
              <w:rPr>
                <w:sz w:val="22"/>
              </w:rPr>
            </w:pPr>
            <w:r w:rsidRPr="00D517E7">
              <w:rPr>
                <w:sz w:val="22"/>
              </w:rPr>
              <w:t>Extended idle (gal/hr; only combination</w:t>
            </w:r>
            <w:r w:rsidR="007B1EA8">
              <w:rPr>
                <w:sz w:val="22"/>
              </w:rPr>
              <w:t xml:space="preserve"> unit</w:t>
            </w:r>
            <w:r w:rsidRPr="00D517E7">
              <w:rPr>
                <w:sz w:val="22"/>
              </w:rPr>
              <w:t xml:space="preserve"> long hauls)</w:t>
            </w:r>
          </w:p>
        </w:tc>
      </w:tr>
      <w:tr w:rsidR="00F55EF6" w:rsidRPr="007C3F58" w14:paraId="51FCEA84" w14:textId="77777777" w:rsidTr="00F55EF6">
        <w:trPr>
          <w:trHeight w:val="24"/>
        </w:trPr>
        <w:tc>
          <w:tcPr>
            <w:tcW w:w="9328" w:type="dxa"/>
            <w:tcBorders>
              <w:top w:val="nil"/>
              <w:left w:val="single" w:sz="4" w:space="0" w:color="0070C0"/>
              <w:bottom w:val="single" w:sz="4" w:space="0" w:color="0070C0"/>
              <w:right w:val="single" w:sz="4" w:space="0" w:color="0070C0"/>
            </w:tcBorders>
            <w:noWrap/>
            <w:tcMar>
              <w:top w:w="0" w:type="dxa"/>
              <w:left w:w="58" w:type="dxa"/>
              <w:bottom w:w="0" w:type="dxa"/>
            </w:tcMar>
            <w:vAlign w:val="center"/>
          </w:tcPr>
          <w:p w14:paraId="2B7F6971" w14:textId="70FF6E4E" w:rsidR="00F55EF6" w:rsidRPr="00D517E7" w:rsidRDefault="00F55EF6" w:rsidP="00F55EF6">
            <w:pPr>
              <w:pStyle w:val="TableCellText"/>
              <w:numPr>
                <w:ilvl w:val="0"/>
                <w:numId w:val="19"/>
              </w:numPr>
              <w:rPr>
                <w:sz w:val="22"/>
              </w:rPr>
            </w:pPr>
            <w:r w:rsidRPr="00D517E7">
              <w:rPr>
                <w:sz w:val="22"/>
              </w:rPr>
              <w:t>Total, running</w:t>
            </w:r>
            <w:r w:rsidR="00305706" w:rsidRPr="00D517E7">
              <w:rPr>
                <w:sz w:val="22"/>
              </w:rPr>
              <w:t xml:space="preserve"> </w:t>
            </w:r>
            <w:r w:rsidRPr="00D517E7">
              <w:rPr>
                <w:sz w:val="22"/>
              </w:rPr>
              <w:t>+</w:t>
            </w:r>
            <w:r w:rsidR="00305706" w:rsidRPr="00D517E7">
              <w:rPr>
                <w:sz w:val="22"/>
              </w:rPr>
              <w:t xml:space="preserve"> </w:t>
            </w:r>
            <w:r w:rsidRPr="00D517E7">
              <w:rPr>
                <w:sz w:val="22"/>
              </w:rPr>
              <w:t>extended idle (gal/yr)</w:t>
            </w:r>
          </w:p>
        </w:tc>
      </w:tr>
      <w:tr w:rsidR="00F55EF6" w:rsidRPr="007C3F58" w14:paraId="37C3664F" w14:textId="77777777" w:rsidTr="00F55EF6">
        <w:trPr>
          <w:trHeight w:val="24"/>
        </w:trPr>
        <w:tc>
          <w:tcPr>
            <w:tcW w:w="9328" w:type="dxa"/>
            <w:tcBorders>
              <w:top w:val="single" w:sz="4" w:space="0" w:color="0070C0"/>
              <w:left w:val="single" w:sz="4" w:space="0" w:color="0070C0"/>
              <w:bottom w:val="nil"/>
              <w:right w:val="single" w:sz="4" w:space="0" w:color="0070C0"/>
            </w:tcBorders>
            <w:noWrap/>
            <w:tcMar>
              <w:top w:w="0" w:type="dxa"/>
              <w:left w:w="58" w:type="dxa"/>
              <w:bottom w:w="0" w:type="dxa"/>
            </w:tcMar>
            <w:vAlign w:val="center"/>
          </w:tcPr>
          <w:p w14:paraId="51633018" w14:textId="6126BAFE" w:rsidR="00383F70" w:rsidRPr="00924279" w:rsidRDefault="00383F70" w:rsidP="00D517E7">
            <w:pPr>
              <w:pStyle w:val="TableCellText"/>
              <w:rPr>
                <w:sz w:val="22"/>
              </w:rPr>
            </w:pPr>
            <w:r w:rsidRPr="00924279">
              <w:rPr>
                <w:b/>
                <w:sz w:val="22"/>
              </w:rPr>
              <w:t>Pollutants</w:t>
            </w:r>
          </w:p>
          <w:p w14:paraId="3879E7EE" w14:textId="77777777" w:rsidR="00F55EF6" w:rsidRPr="00D517E7" w:rsidRDefault="00F55EF6" w:rsidP="00F55EF6">
            <w:pPr>
              <w:pStyle w:val="TableCellText"/>
              <w:numPr>
                <w:ilvl w:val="0"/>
                <w:numId w:val="20"/>
              </w:numPr>
              <w:rPr>
                <w:sz w:val="22"/>
              </w:rPr>
            </w:pPr>
            <w:r w:rsidRPr="00D517E7">
              <w:rPr>
                <w:sz w:val="22"/>
              </w:rPr>
              <w:t>NO</w:t>
            </w:r>
            <w:r w:rsidRPr="00D517E7">
              <w:rPr>
                <w:sz w:val="22"/>
                <w:vertAlign w:val="subscript"/>
              </w:rPr>
              <w:t>x</w:t>
            </w:r>
          </w:p>
        </w:tc>
      </w:tr>
      <w:tr w:rsidR="00F55EF6" w:rsidRPr="007C3F58" w14:paraId="41E42674" w14:textId="77777777" w:rsidTr="00F55EF6">
        <w:trPr>
          <w:trHeight w:val="24"/>
        </w:trPr>
        <w:tc>
          <w:tcPr>
            <w:tcW w:w="9328" w:type="dxa"/>
            <w:tcBorders>
              <w:top w:val="nil"/>
              <w:left w:val="single" w:sz="4" w:space="0" w:color="0070C0"/>
              <w:bottom w:val="nil"/>
              <w:right w:val="single" w:sz="4" w:space="0" w:color="0070C0"/>
            </w:tcBorders>
            <w:noWrap/>
            <w:tcMar>
              <w:top w:w="0" w:type="dxa"/>
              <w:left w:w="58" w:type="dxa"/>
              <w:bottom w:w="0" w:type="dxa"/>
            </w:tcMar>
            <w:vAlign w:val="center"/>
          </w:tcPr>
          <w:p w14:paraId="5E38BE29" w14:textId="77777777" w:rsidR="00F55EF6" w:rsidRPr="00D517E7" w:rsidRDefault="00F55EF6" w:rsidP="00F55EF6">
            <w:pPr>
              <w:pStyle w:val="TableCellText"/>
              <w:numPr>
                <w:ilvl w:val="0"/>
                <w:numId w:val="20"/>
              </w:numPr>
              <w:rPr>
                <w:sz w:val="22"/>
              </w:rPr>
            </w:pPr>
            <w:r w:rsidRPr="00D517E7">
              <w:rPr>
                <w:sz w:val="22"/>
              </w:rPr>
              <w:t>Fine PM (PM</w:t>
            </w:r>
            <w:r w:rsidRPr="00D517E7">
              <w:rPr>
                <w:sz w:val="22"/>
                <w:vertAlign w:val="subscript"/>
              </w:rPr>
              <w:t>2.5</w:t>
            </w:r>
            <w:r w:rsidRPr="00D517E7">
              <w:rPr>
                <w:sz w:val="22"/>
              </w:rPr>
              <w:t>)</w:t>
            </w:r>
          </w:p>
        </w:tc>
      </w:tr>
      <w:tr w:rsidR="00F55EF6" w:rsidRPr="007C3F58" w14:paraId="75653347" w14:textId="77777777" w:rsidTr="00F55EF6">
        <w:trPr>
          <w:trHeight w:val="24"/>
        </w:trPr>
        <w:tc>
          <w:tcPr>
            <w:tcW w:w="9328" w:type="dxa"/>
            <w:tcBorders>
              <w:top w:val="nil"/>
              <w:left w:val="single" w:sz="4" w:space="0" w:color="0070C0"/>
              <w:bottom w:val="single" w:sz="4" w:space="0" w:color="0070C0"/>
              <w:right w:val="single" w:sz="4" w:space="0" w:color="0070C0"/>
            </w:tcBorders>
            <w:noWrap/>
            <w:tcMar>
              <w:top w:w="0" w:type="dxa"/>
              <w:left w:w="58" w:type="dxa"/>
              <w:bottom w:w="0" w:type="dxa"/>
            </w:tcMar>
            <w:vAlign w:val="center"/>
          </w:tcPr>
          <w:p w14:paraId="68A3F7C5" w14:textId="77777777" w:rsidR="00F55EF6" w:rsidRPr="00D517E7" w:rsidRDefault="00F55EF6" w:rsidP="00F55EF6">
            <w:pPr>
              <w:pStyle w:val="TableCellText"/>
              <w:numPr>
                <w:ilvl w:val="0"/>
                <w:numId w:val="20"/>
              </w:numPr>
              <w:rPr>
                <w:sz w:val="22"/>
              </w:rPr>
            </w:pPr>
            <w:r w:rsidRPr="00D517E7">
              <w:rPr>
                <w:sz w:val="22"/>
              </w:rPr>
              <w:t>Carbon dioxide (CO</w:t>
            </w:r>
            <w:r w:rsidRPr="00D517E7">
              <w:rPr>
                <w:sz w:val="22"/>
                <w:vertAlign w:val="subscript"/>
              </w:rPr>
              <w:t>2</w:t>
            </w:r>
            <w:r w:rsidRPr="00D517E7">
              <w:rPr>
                <w:sz w:val="22"/>
              </w:rPr>
              <w:t>)</w:t>
            </w:r>
          </w:p>
        </w:tc>
      </w:tr>
      <w:tr w:rsidR="00F55EF6" w:rsidRPr="007C3F58" w14:paraId="659E6461" w14:textId="77777777" w:rsidTr="00F55EF6">
        <w:trPr>
          <w:trHeight w:val="24"/>
        </w:trPr>
        <w:tc>
          <w:tcPr>
            <w:tcW w:w="9328" w:type="dxa"/>
            <w:tcBorders>
              <w:top w:val="single" w:sz="4" w:space="0" w:color="0070C0"/>
              <w:left w:val="single" w:sz="4" w:space="0" w:color="0070C0"/>
              <w:bottom w:val="nil"/>
              <w:right w:val="single" w:sz="4" w:space="0" w:color="0070C0"/>
            </w:tcBorders>
            <w:noWrap/>
            <w:tcMar>
              <w:top w:w="0" w:type="dxa"/>
              <w:bottom w:w="0" w:type="dxa"/>
            </w:tcMar>
            <w:vAlign w:val="center"/>
          </w:tcPr>
          <w:p w14:paraId="466D2E84" w14:textId="12FF8299" w:rsidR="00F55EF6" w:rsidRPr="00D517E7" w:rsidRDefault="00F55EF6" w:rsidP="00072541">
            <w:pPr>
              <w:pStyle w:val="TableCellText"/>
              <w:rPr>
                <w:b/>
                <w:sz w:val="22"/>
              </w:rPr>
            </w:pPr>
            <w:r w:rsidRPr="00D517E7">
              <w:rPr>
                <w:b/>
                <w:sz w:val="22"/>
              </w:rPr>
              <w:t>Emissions</w:t>
            </w:r>
          </w:p>
        </w:tc>
      </w:tr>
      <w:tr w:rsidR="00F55EF6" w:rsidRPr="007C3F58" w14:paraId="5BA2D7E4" w14:textId="77777777" w:rsidTr="00F55EF6">
        <w:trPr>
          <w:trHeight w:val="24"/>
        </w:trPr>
        <w:tc>
          <w:tcPr>
            <w:tcW w:w="9328" w:type="dxa"/>
            <w:tcBorders>
              <w:top w:val="nil"/>
              <w:left w:val="single" w:sz="4" w:space="0" w:color="0070C0"/>
              <w:bottom w:val="nil"/>
              <w:right w:val="single" w:sz="4" w:space="0" w:color="0070C0"/>
            </w:tcBorders>
            <w:noWrap/>
            <w:tcMar>
              <w:top w:w="0" w:type="dxa"/>
              <w:left w:w="58" w:type="dxa"/>
              <w:bottom w:w="0" w:type="dxa"/>
              <w:right w:w="58" w:type="dxa"/>
            </w:tcMar>
            <w:vAlign w:val="center"/>
          </w:tcPr>
          <w:p w14:paraId="087DC2B2" w14:textId="77777777" w:rsidR="00F55EF6" w:rsidRPr="00D517E7" w:rsidRDefault="00F55EF6" w:rsidP="00F55EF6">
            <w:pPr>
              <w:pStyle w:val="TableCellText"/>
              <w:numPr>
                <w:ilvl w:val="0"/>
                <w:numId w:val="18"/>
              </w:numPr>
              <w:rPr>
                <w:sz w:val="22"/>
              </w:rPr>
            </w:pPr>
            <w:r w:rsidRPr="00D517E7">
              <w:rPr>
                <w:sz w:val="22"/>
              </w:rPr>
              <w:t>Running</w:t>
            </w:r>
          </w:p>
        </w:tc>
      </w:tr>
      <w:tr w:rsidR="00F55EF6" w:rsidRPr="007C3F58" w14:paraId="0C59FE6C" w14:textId="77777777" w:rsidTr="00F55EF6">
        <w:trPr>
          <w:trHeight w:val="24"/>
        </w:trPr>
        <w:tc>
          <w:tcPr>
            <w:tcW w:w="9328" w:type="dxa"/>
            <w:tcBorders>
              <w:top w:val="nil"/>
              <w:left w:val="single" w:sz="4" w:space="0" w:color="0070C0"/>
              <w:bottom w:val="nil"/>
              <w:right w:val="single" w:sz="4" w:space="0" w:color="0070C0"/>
            </w:tcBorders>
            <w:noWrap/>
            <w:tcMar>
              <w:top w:w="0" w:type="dxa"/>
              <w:left w:w="58" w:type="dxa"/>
              <w:bottom w:w="0" w:type="dxa"/>
              <w:right w:w="58" w:type="dxa"/>
            </w:tcMar>
            <w:vAlign w:val="center"/>
          </w:tcPr>
          <w:p w14:paraId="11412CA2" w14:textId="77777777" w:rsidR="00F55EF6" w:rsidRPr="00D517E7" w:rsidRDefault="00F55EF6" w:rsidP="00F55EF6">
            <w:pPr>
              <w:pStyle w:val="TableCellText"/>
              <w:numPr>
                <w:ilvl w:val="0"/>
                <w:numId w:val="18"/>
              </w:numPr>
              <w:rPr>
                <w:sz w:val="22"/>
              </w:rPr>
            </w:pPr>
            <w:r w:rsidRPr="00D517E7">
              <w:rPr>
                <w:sz w:val="22"/>
              </w:rPr>
              <w:t>Brake wear (PM</w:t>
            </w:r>
            <w:r w:rsidRPr="00D517E7">
              <w:rPr>
                <w:sz w:val="22"/>
                <w:vertAlign w:val="subscript"/>
              </w:rPr>
              <w:t>2.5</w:t>
            </w:r>
            <w:r w:rsidRPr="00D517E7">
              <w:rPr>
                <w:sz w:val="22"/>
              </w:rPr>
              <w:t xml:space="preserve"> only)</w:t>
            </w:r>
          </w:p>
        </w:tc>
      </w:tr>
      <w:tr w:rsidR="00F55EF6" w:rsidRPr="007C3F58" w14:paraId="65B3A504" w14:textId="77777777" w:rsidTr="00F55EF6">
        <w:trPr>
          <w:trHeight w:val="24"/>
        </w:trPr>
        <w:tc>
          <w:tcPr>
            <w:tcW w:w="9328" w:type="dxa"/>
            <w:tcBorders>
              <w:top w:val="nil"/>
              <w:left w:val="single" w:sz="4" w:space="0" w:color="0070C0"/>
              <w:bottom w:val="nil"/>
              <w:right w:val="single" w:sz="4" w:space="0" w:color="0070C0"/>
            </w:tcBorders>
            <w:noWrap/>
            <w:tcMar>
              <w:top w:w="0" w:type="dxa"/>
              <w:left w:w="58" w:type="dxa"/>
              <w:bottom w:w="0" w:type="dxa"/>
              <w:right w:w="58" w:type="dxa"/>
            </w:tcMar>
            <w:vAlign w:val="center"/>
          </w:tcPr>
          <w:p w14:paraId="73823838" w14:textId="77777777" w:rsidR="00F55EF6" w:rsidRPr="00D517E7" w:rsidRDefault="00F55EF6" w:rsidP="00F55EF6">
            <w:pPr>
              <w:pStyle w:val="TableCellText"/>
              <w:numPr>
                <w:ilvl w:val="0"/>
                <w:numId w:val="18"/>
              </w:numPr>
              <w:rPr>
                <w:sz w:val="22"/>
              </w:rPr>
            </w:pPr>
            <w:r w:rsidRPr="00D517E7">
              <w:rPr>
                <w:sz w:val="22"/>
              </w:rPr>
              <w:t>Tire wear (PM</w:t>
            </w:r>
            <w:r w:rsidRPr="00D517E7">
              <w:rPr>
                <w:sz w:val="22"/>
                <w:vertAlign w:val="subscript"/>
              </w:rPr>
              <w:t>2.5</w:t>
            </w:r>
            <w:r w:rsidRPr="00D517E7">
              <w:rPr>
                <w:sz w:val="22"/>
              </w:rPr>
              <w:t xml:space="preserve"> only)</w:t>
            </w:r>
          </w:p>
        </w:tc>
      </w:tr>
      <w:tr w:rsidR="00F55EF6" w:rsidRPr="007C3F58" w14:paraId="083FF100" w14:textId="77777777" w:rsidTr="00F55EF6">
        <w:trPr>
          <w:trHeight w:val="24"/>
        </w:trPr>
        <w:tc>
          <w:tcPr>
            <w:tcW w:w="9328" w:type="dxa"/>
            <w:tcBorders>
              <w:top w:val="nil"/>
              <w:left w:val="single" w:sz="4" w:space="0" w:color="0070C0"/>
              <w:bottom w:val="nil"/>
              <w:right w:val="single" w:sz="4" w:space="0" w:color="0070C0"/>
            </w:tcBorders>
            <w:noWrap/>
            <w:tcMar>
              <w:top w:w="0" w:type="dxa"/>
              <w:left w:w="58" w:type="dxa"/>
              <w:bottom w:w="0" w:type="dxa"/>
              <w:right w:w="58" w:type="dxa"/>
            </w:tcMar>
            <w:vAlign w:val="center"/>
          </w:tcPr>
          <w:p w14:paraId="37CE8137" w14:textId="6F41D91B" w:rsidR="00F55EF6" w:rsidRPr="00D517E7" w:rsidRDefault="00F55EF6" w:rsidP="00F55EF6">
            <w:pPr>
              <w:pStyle w:val="TableCellText"/>
              <w:numPr>
                <w:ilvl w:val="0"/>
                <w:numId w:val="18"/>
              </w:numPr>
              <w:rPr>
                <w:sz w:val="22"/>
              </w:rPr>
            </w:pPr>
            <w:r w:rsidRPr="00D517E7">
              <w:rPr>
                <w:sz w:val="22"/>
              </w:rPr>
              <w:t>Extended idle (only combination</w:t>
            </w:r>
            <w:r w:rsidR="007B1EA8">
              <w:rPr>
                <w:sz w:val="22"/>
              </w:rPr>
              <w:t xml:space="preserve"> unit</w:t>
            </w:r>
            <w:r w:rsidRPr="00D517E7">
              <w:rPr>
                <w:sz w:val="22"/>
              </w:rPr>
              <w:t xml:space="preserve"> long hauls)</w:t>
            </w:r>
          </w:p>
        </w:tc>
      </w:tr>
      <w:tr w:rsidR="00F55EF6" w:rsidRPr="007C3F58" w14:paraId="5271B755" w14:textId="77777777" w:rsidTr="00F55EF6">
        <w:trPr>
          <w:trHeight w:val="24"/>
        </w:trPr>
        <w:tc>
          <w:tcPr>
            <w:tcW w:w="9328" w:type="dxa"/>
            <w:tcBorders>
              <w:top w:val="nil"/>
              <w:left w:val="single" w:sz="4" w:space="0" w:color="0070C0"/>
              <w:bottom w:val="nil"/>
              <w:right w:val="single" w:sz="4" w:space="0" w:color="0070C0"/>
            </w:tcBorders>
            <w:noWrap/>
            <w:tcMar>
              <w:top w:w="0" w:type="dxa"/>
              <w:left w:w="58" w:type="dxa"/>
              <w:bottom w:w="0" w:type="dxa"/>
              <w:right w:w="58" w:type="dxa"/>
            </w:tcMar>
            <w:vAlign w:val="center"/>
          </w:tcPr>
          <w:p w14:paraId="180D548F" w14:textId="77777777" w:rsidR="00F55EF6" w:rsidRPr="00D517E7" w:rsidRDefault="00F55EF6" w:rsidP="00F55EF6">
            <w:pPr>
              <w:pStyle w:val="TableCellText"/>
              <w:numPr>
                <w:ilvl w:val="0"/>
                <w:numId w:val="18"/>
              </w:numPr>
              <w:rPr>
                <w:sz w:val="22"/>
              </w:rPr>
            </w:pPr>
            <w:r w:rsidRPr="00D517E7">
              <w:rPr>
                <w:sz w:val="22"/>
              </w:rPr>
              <w:t>Emission factors (g/mi; g/hr for extended idle)</w:t>
            </w:r>
          </w:p>
        </w:tc>
      </w:tr>
      <w:tr w:rsidR="00F55EF6" w:rsidRPr="007C3F58" w14:paraId="7940C452" w14:textId="77777777" w:rsidTr="00F55EF6">
        <w:trPr>
          <w:trHeight w:val="24"/>
        </w:trPr>
        <w:tc>
          <w:tcPr>
            <w:tcW w:w="9328" w:type="dxa"/>
            <w:tcBorders>
              <w:top w:val="nil"/>
              <w:left w:val="single" w:sz="4" w:space="0" w:color="0070C0"/>
              <w:bottom w:val="nil"/>
              <w:right w:val="single" w:sz="4" w:space="0" w:color="0070C0"/>
            </w:tcBorders>
            <w:noWrap/>
            <w:tcMar>
              <w:top w:w="0" w:type="dxa"/>
              <w:left w:w="58" w:type="dxa"/>
              <w:bottom w:w="0" w:type="dxa"/>
              <w:right w:w="58" w:type="dxa"/>
            </w:tcMar>
            <w:vAlign w:val="center"/>
          </w:tcPr>
          <w:p w14:paraId="6F93195C" w14:textId="77777777" w:rsidR="00F55EF6" w:rsidRPr="00D517E7" w:rsidRDefault="00F55EF6" w:rsidP="00F55EF6">
            <w:pPr>
              <w:pStyle w:val="TableCellText"/>
              <w:numPr>
                <w:ilvl w:val="0"/>
                <w:numId w:val="18"/>
              </w:numPr>
              <w:rPr>
                <w:sz w:val="22"/>
              </w:rPr>
            </w:pPr>
            <w:r w:rsidRPr="00D517E7">
              <w:rPr>
                <w:sz w:val="22"/>
              </w:rPr>
              <w:t>Total program emissions (short tons)</w:t>
            </w:r>
          </w:p>
        </w:tc>
      </w:tr>
      <w:tr w:rsidR="00F55EF6" w:rsidRPr="007C3F58" w14:paraId="74F448F3" w14:textId="77777777" w:rsidTr="00F55EF6">
        <w:trPr>
          <w:trHeight w:val="24"/>
        </w:trPr>
        <w:tc>
          <w:tcPr>
            <w:tcW w:w="9328" w:type="dxa"/>
            <w:tcBorders>
              <w:top w:val="nil"/>
              <w:left w:val="single" w:sz="4" w:space="0" w:color="0070C0"/>
              <w:bottom w:val="single" w:sz="4" w:space="0" w:color="0070C0"/>
              <w:right w:val="single" w:sz="4" w:space="0" w:color="0070C0"/>
            </w:tcBorders>
            <w:noWrap/>
            <w:tcMar>
              <w:top w:w="0" w:type="dxa"/>
              <w:left w:w="58" w:type="dxa"/>
              <w:bottom w:w="0" w:type="dxa"/>
              <w:right w:w="58" w:type="dxa"/>
            </w:tcMar>
            <w:vAlign w:val="center"/>
          </w:tcPr>
          <w:p w14:paraId="44B87F31" w14:textId="77777777" w:rsidR="00F55EF6" w:rsidRPr="00D517E7" w:rsidRDefault="00F55EF6" w:rsidP="00F55EF6">
            <w:pPr>
              <w:pStyle w:val="TableCellText"/>
              <w:numPr>
                <w:ilvl w:val="0"/>
                <w:numId w:val="18"/>
              </w:numPr>
              <w:rPr>
                <w:sz w:val="22"/>
              </w:rPr>
            </w:pPr>
            <w:r w:rsidRPr="00D517E7">
              <w:rPr>
                <w:sz w:val="22"/>
              </w:rPr>
              <w:t>Differences between baseline and modification/replacement</w:t>
            </w:r>
          </w:p>
        </w:tc>
      </w:tr>
      <w:tr w:rsidR="00F55EF6" w:rsidRPr="007C3F58" w14:paraId="339B8ED9" w14:textId="77777777" w:rsidTr="00F55EF6">
        <w:trPr>
          <w:trHeight w:val="24"/>
        </w:trPr>
        <w:tc>
          <w:tcPr>
            <w:tcW w:w="9328" w:type="dxa"/>
            <w:tcBorders>
              <w:top w:val="single" w:sz="4" w:space="0" w:color="0070C0"/>
              <w:left w:val="single" w:sz="4" w:space="0" w:color="0070C0"/>
              <w:bottom w:val="nil"/>
              <w:right w:val="single" w:sz="4" w:space="0" w:color="0070C0"/>
            </w:tcBorders>
            <w:noWrap/>
            <w:tcMar>
              <w:top w:w="0" w:type="dxa"/>
              <w:bottom w:w="0" w:type="dxa"/>
            </w:tcMar>
            <w:vAlign w:val="center"/>
          </w:tcPr>
          <w:p w14:paraId="5A9F7D6C" w14:textId="4C32E37C" w:rsidR="00F55EF6" w:rsidRPr="00D517E7" w:rsidRDefault="00F55EF6" w:rsidP="00072541">
            <w:pPr>
              <w:pStyle w:val="TableCellText"/>
              <w:rPr>
                <w:b/>
                <w:sz w:val="22"/>
              </w:rPr>
            </w:pPr>
            <w:r w:rsidRPr="00D517E7">
              <w:rPr>
                <w:b/>
                <w:sz w:val="22"/>
              </w:rPr>
              <w:t>Costs</w:t>
            </w:r>
          </w:p>
        </w:tc>
      </w:tr>
      <w:tr w:rsidR="00F55EF6" w:rsidRPr="007C3F58" w14:paraId="02E4FACF" w14:textId="77777777" w:rsidTr="00F55EF6">
        <w:trPr>
          <w:trHeight w:val="24"/>
        </w:trPr>
        <w:tc>
          <w:tcPr>
            <w:tcW w:w="9328" w:type="dxa"/>
            <w:tcBorders>
              <w:top w:val="nil"/>
              <w:left w:val="single" w:sz="4" w:space="0" w:color="0070C0"/>
              <w:bottom w:val="nil"/>
              <w:right w:val="single" w:sz="4" w:space="0" w:color="0070C0"/>
            </w:tcBorders>
            <w:noWrap/>
            <w:tcMar>
              <w:top w:w="0" w:type="dxa"/>
              <w:left w:w="58" w:type="dxa"/>
              <w:bottom w:w="0" w:type="dxa"/>
              <w:right w:w="58" w:type="dxa"/>
            </w:tcMar>
            <w:vAlign w:val="center"/>
          </w:tcPr>
          <w:p w14:paraId="71C3E2E9" w14:textId="77777777" w:rsidR="00F55EF6" w:rsidRPr="00D517E7" w:rsidRDefault="00F55EF6" w:rsidP="00F55EF6">
            <w:pPr>
              <w:pStyle w:val="TableCellText"/>
              <w:numPr>
                <w:ilvl w:val="0"/>
                <w:numId w:val="21"/>
              </w:numPr>
              <w:rPr>
                <w:sz w:val="22"/>
              </w:rPr>
            </w:pPr>
            <w:r w:rsidRPr="00D517E7">
              <w:rPr>
                <w:sz w:val="22"/>
              </w:rPr>
              <w:t>Capital costs of modified or replacement truck(s)</w:t>
            </w:r>
          </w:p>
        </w:tc>
      </w:tr>
      <w:tr w:rsidR="00F55EF6" w:rsidRPr="007C3F58" w14:paraId="524802C7" w14:textId="77777777" w:rsidTr="00F55EF6">
        <w:trPr>
          <w:trHeight w:val="24"/>
        </w:trPr>
        <w:tc>
          <w:tcPr>
            <w:tcW w:w="9328" w:type="dxa"/>
            <w:tcBorders>
              <w:top w:val="nil"/>
              <w:left w:val="single" w:sz="4" w:space="0" w:color="0070C0"/>
              <w:bottom w:val="nil"/>
              <w:right w:val="single" w:sz="4" w:space="0" w:color="0070C0"/>
            </w:tcBorders>
            <w:noWrap/>
            <w:tcMar>
              <w:top w:w="0" w:type="dxa"/>
              <w:left w:w="58" w:type="dxa"/>
              <w:bottom w:w="0" w:type="dxa"/>
              <w:right w:w="58" w:type="dxa"/>
            </w:tcMar>
            <w:vAlign w:val="center"/>
          </w:tcPr>
          <w:p w14:paraId="25769BE9" w14:textId="77777777" w:rsidR="00F55EF6" w:rsidRPr="00D517E7" w:rsidRDefault="00F55EF6" w:rsidP="00F55EF6">
            <w:pPr>
              <w:pStyle w:val="TableCellText"/>
              <w:numPr>
                <w:ilvl w:val="0"/>
                <w:numId w:val="21"/>
              </w:numPr>
              <w:rPr>
                <w:sz w:val="22"/>
              </w:rPr>
            </w:pPr>
            <w:r w:rsidRPr="00D517E7">
              <w:rPr>
                <w:sz w:val="22"/>
              </w:rPr>
              <w:t>Fuel costs of baseline and modified/replacement truck(s)</w:t>
            </w:r>
          </w:p>
        </w:tc>
      </w:tr>
      <w:tr w:rsidR="00F55EF6" w:rsidRPr="007C3F58" w14:paraId="106E9FEA" w14:textId="77777777" w:rsidTr="00F55EF6">
        <w:trPr>
          <w:trHeight w:val="24"/>
        </w:trPr>
        <w:tc>
          <w:tcPr>
            <w:tcW w:w="9328" w:type="dxa"/>
            <w:tcBorders>
              <w:top w:val="nil"/>
              <w:left w:val="single" w:sz="4" w:space="0" w:color="0070C0"/>
              <w:bottom w:val="single" w:sz="4" w:space="0" w:color="0070C0"/>
              <w:right w:val="single" w:sz="4" w:space="0" w:color="0070C0"/>
            </w:tcBorders>
            <w:noWrap/>
            <w:tcMar>
              <w:top w:w="0" w:type="dxa"/>
              <w:left w:w="58" w:type="dxa"/>
              <w:bottom w:w="0" w:type="dxa"/>
              <w:right w:w="58" w:type="dxa"/>
            </w:tcMar>
            <w:vAlign w:val="center"/>
          </w:tcPr>
          <w:p w14:paraId="2F9F6190" w14:textId="77777777" w:rsidR="00F55EF6" w:rsidRPr="00D517E7" w:rsidRDefault="00F55EF6" w:rsidP="00F55EF6">
            <w:pPr>
              <w:pStyle w:val="TableCellText"/>
              <w:numPr>
                <w:ilvl w:val="0"/>
                <w:numId w:val="21"/>
              </w:numPr>
              <w:rPr>
                <w:sz w:val="22"/>
              </w:rPr>
            </w:pPr>
            <w:r w:rsidRPr="00D517E7">
              <w:rPr>
                <w:sz w:val="22"/>
              </w:rPr>
              <w:t>Differences between baseline and modification/replacement</w:t>
            </w:r>
          </w:p>
        </w:tc>
      </w:tr>
      <w:tr w:rsidR="00F55EF6" w:rsidRPr="007C3F58" w14:paraId="48EBADE5" w14:textId="77777777" w:rsidTr="00F55EF6">
        <w:trPr>
          <w:trHeight w:val="24"/>
        </w:trPr>
        <w:tc>
          <w:tcPr>
            <w:tcW w:w="9328" w:type="dxa"/>
            <w:tcBorders>
              <w:top w:val="single" w:sz="4" w:space="0" w:color="0070C0"/>
              <w:left w:val="single" w:sz="4" w:space="0" w:color="0070C0"/>
              <w:bottom w:val="nil"/>
              <w:right w:val="single" w:sz="4" w:space="0" w:color="0070C0"/>
            </w:tcBorders>
            <w:noWrap/>
            <w:tcMar>
              <w:top w:w="0" w:type="dxa"/>
              <w:bottom w:w="0" w:type="dxa"/>
            </w:tcMar>
            <w:vAlign w:val="center"/>
          </w:tcPr>
          <w:p w14:paraId="7EF99C3C" w14:textId="6137159F" w:rsidR="00F55EF6" w:rsidRPr="00D517E7" w:rsidRDefault="001F7075" w:rsidP="00072541">
            <w:pPr>
              <w:pStyle w:val="TableCellText"/>
              <w:rPr>
                <w:b/>
                <w:sz w:val="22"/>
              </w:rPr>
            </w:pPr>
            <w:r>
              <w:rPr>
                <w:b/>
                <w:sz w:val="22"/>
              </w:rPr>
              <w:t>Cost effective</w:t>
            </w:r>
            <w:r w:rsidR="00F55EF6" w:rsidRPr="00D517E7">
              <w:rPr>
                <w:b/>
                <w:sz w:val="22"/>
              </w:rPr>
              <w:t>ness</w:t>
            </w:r>
          </w:p>
        </w:tc>
      </w:tr>
      <w:tr w:rsidR="00F55EF6" w:rsidRPr="007C3F58" w14:paraId="4FAF690F" w14:textId="77777777" w:rsidTr="00F55EF6">
        <w:trPr>
          <w:trHeight w:val="24"/>
        </w:trPr>
        <w:tc>
          <w:tcPr>
            <w:tcW w:w="9328" w:type="dxa"/>
            <w:tcBorders>
              <w:top w:val="nil"/>
              <w:left w:val="single" w:sz="4" w:space="0" w:color="0070C0"/>
              <w:bottom w:val="single" w:sz="4" w:space="0" w:color="0070C0"/>
              <w:right w:val="single" w:sz="4" w:space="0" w:color="0070C0"/>
            </w:tcBorders>
            <w:noWrap/>
            <w:tcMar>
              <w:top w:w="0" w:type="dxa"/>
              <w:left w:w="58" w:type="dxa"/>
              <w:bottom w:w="0" w:type="dxa"/>
              <w:right w:w="58" w:type="dxa"/>
            </w:tcMar>
            <w:vAlign w:val="center"/>
          </w:tcPr>
          <w:p w14:paraId="147B0D06" w14:textId="77777777" w:rsidR="00F55EF6" w:rsidRPr="00D517E7" w:rsidRDefault="00F55EF6" w:rsidP="00F55EF6">
            <w:pPr>
              <w:pStyle w:val="TableCellText"/>
              <w:numPr>
                <w:ilvl w:val="0"/>
                <w:numId w:val="22"/>
              </w:numPr>
              <w:rPr>
                <w:sz w:val="22"/>
              </w:rPr>
            </w:pPr>
            <w:r w:rsidRPr="00D517E7">
              <w:rPr>
                <w:sz w:val="22"/>
              </w:rPr>
              <w:t>Dollars per change in short tons of emissions (assuming all the funding was used to reduce that pollutant only)</w:t>
            </w:r>
          </w:p>
        </w:tc>
      </w:tr>
      <w:tr w:rsidR="00F55EF6" w:rsidRPr="007C3F58" w14:paraId="16182817" w14:textId="77777777" w:rsidTr="00F55EF6">
        <w:trPr>
          <w:trHeight w:val="24"/>
        </w:trPr>
        <w:tc>
          <w:tcPr>
            <w:tcW w:w="9328" w:type="dxa"/>
            <w:tcBorders>
              <w:top w:val="single" w:sz="4" w:space="0" w:color="0070C0"/>
              <w:left w:val="single" w:sz="4" w:space="0" w:color="0070C0"/>
              <w:bottom w:val="nil"/>
              <w:right w:val="single" w:sz="4" w:space="0" w:color="0070C0"/>
            </w:tcBorders>
            <w:noWrap/>
            <w:tcMar>
              <w:top w:w="0" w:type="dxa"/>
              <w:bottom w:w="0" w:type="dxa"/>
            </w:tcMar>
            <w:vAlign w:val="center"/>
          </w:tcPr>
          <w:p w14:paraId="175E420A" w14:textId="19454F5A" w:rsidR="00F55EF6" w:rsidRPr="00D517E7" w:rsidRDefault="00F55EF6" w:rsidP="00072541">
            <w:pPr>
              <w:pStyle w:val="TableCellText"/>
              <w:rPr>
                <w:sz w:val="22"/>
              </w:rPr>
            </w:pPr>
            <w:r w:rsidRPr="00D517E7">
              <w:rPr>
                <w:b/>
                <w:sz w:val="22"/>
              </w:rPr>
              <w:t>Investment payoff (Investment Analysis only)</w:t>
            </w:r>
          </w:p>
        </w:tc>
      </w:tr>
      <w:tr w:rsidR="00F55EF6" w:rsidRPr="007C3F58" w14:paraId="5F93ED2F" w14:textId="77777777" w:rsidTr="00F55EF6">
        <w:trPr>
          <w:trHeight w:val="24"/>
        </w:trPr>
        <w:tc>
          <w:tcPr>
            <w:tcW w:w="9328" w:type="dxa"/>
            <w:tcBorders>
              <w:top w:val="nil"/>
              <w:left w:val="single" w:sz="4" w:space="0" w:color="0070C0"/>
              <w:bottom w:val="single" w:sz="4" w:space="0" w:color="0070C0"/>
              <w:right w:val="single" w:sz="4" w:space="0" w:color="0070C0"/>
            </w:tcBorders>
            <w:noWrap/>
            <w:tcMar>
              <w:top w:w="0" w:type="dxa"/>
              <w:left w:w="58" w:type="dxa"/>
              <w:bottom w:w="0" w:type="dxa"/>
              <w:right w:w="58" w:type="dxa"/>
            </w:tcMar>
            <w:vAlign w:val="center"/>
          </w:tcPr>
          <w:p w14:paraId="37C6C582" w14:textId="77777777" w:rsidR="00F55EF6" w:rsidRPr="00D517E7" w:rsidRDefault="00F55EF6" w:rsidP="00F55EF6">
            <w:pPr>
              <w:pStyle w:val="TableCellText"/>
              <w:numPr>
                <w:ilvl w:val="0"/>
                <w:numId w:val="22"/>
              </w:numPr>
              <w:rPr>
                <w:sz w:val="22"/>
              </w:rPr>
            </w:pPr>
            <w:r w:rsidRPr="00D517E7">
              <w:rPr>
                <w:sz w:val="22"/>
              </w:rPr>
              <w:t>Number of trucks to which the selected modification can be applied with the user-provided hypothetical investment dollars</w:t>
            </w:r>
          </w:p>
        </w:tc>
      </w:tr>
      <w:tr w:rsidR="00F55EF6" w:rsidRPr="007C3F58" w14:paraId="799F08D5" w14:textId="77777777" w:rsidTr="00F55EF6">
        <w:trPr>
          <w:trHeight w:val="24"/>
        </w:trPr>
        <w:tc>
          <w:tcPr>
            <w:tcW w:w="9328" w:type="dxa"/>
            <w:tcBorders>
              <w:top w:val="single" w:sz="4" w:space="0" w:color="0070C0"/>
              <w:left w:val="single" w:sz="4" w:space="0" w:color="0070C0"/>
              <w:bottom w:val="nil"/>
              <w:right w:val="single" w:sz="4" w:space="0" w:color="0070C0"/>
            </w:tcBorders>
            <w:noWrap/>
            <w:tcMar>
              <w:top w:w="0" w:type="dxa"/>
              <w:bottom w:w="0" w:type="dxa"/>
            </w:tcMar>
            <w:vAlign w:val="center"/>
          </w:tcPr>
          <w:p w14:paraId="48FEFF90" w14:textId="1301FA54" w:rsidR="00F55EF6" w:rsidRPr="00D517E7" w:rsidRDefault="00F55EF6" w:rsidP="00072541">
            <w:pPr>
              <w:pStyle w:val="TableCellText"/>
              <w:rPr>
                <w:b/>
                <w:sz w:val="22"/>
              </w:rPr>
            </w:pPr>
            <w:r w:rsidRPr="00D517E7">
              <w:rPr>
                <w:b/>
                <w:sz w:val="22"/>
              </w:rPr>
              <w:t>Incentive payoff (Incentive Analysis only)</w:t>
            </w:r>
          </w:p>
        </w:tc>
      </w:tr>
      <w:tr w:rsidR="00F55EF6" w:rsidRPr="007C3F58" w14:paraId="01F3E5B6" w14:textId="77777777" w:rsidTr="00F55EF6">
        <w:trPr>
          <w:trHeight w:val="24"/>
        </w:trPr>
        <w:tc>
          <w:tcPr>
            <w:tcW w:w="9328" w:type="dxa"/>
            <w:tcBorders>
              <w:top w:val="nil"/>
              <w:left w:val="single" w:sz="4" w:space="0" w:color="0070C0"/>
              <w:bottom w:val="single" w:sz="4" w:space="0" w:color="0070C0"/>
              <w:right w:val="single" w:sz="4" w:space="0" w:color="0070C0"/>
            </w:tcBorders>
            <w:noWrap/>
            <w:tcMar>
              <w:top w:w="0" w:type="dxa"/>
              <w:left w:w="58" w:type="dxa"/>
              <w:bottom w:w="0" w:type="dxa"/>
              <w:right w:w="58" w:type="dxa"/>
            </w:tcMar>
            <w:vAlign w:val="center"/>
          </w:tcPr>
          <w:p w14:paraId="6522C531" w14:textId="77777777" w:rsidR="00F55EF6" w:rsidRPr="00D517E7" w:rsidRDefault="00F55EF6" w:rsidP="00F55EF6">
            <w:pPr>
              <w:pStyle w:val="TableCellText"/>
              <w:numPr>
                <w:ilvl w:val="0"/>
                <w:numId w:val="22"/>
              </w:numPr>
              <w:rPr>
                <w:sz w:val="22"/>
              </w:rPr>
            </w:pPr>
            <w:r w:rsidRPr="00D517E7">
              <w:rPr>
                <w:sz w:val="22"/>
              </w:rPr>
              <w:t>Number of years for fuel savings (after application of selected modification) to pay off the capital costs not covered by the incentive-provided hypothetical incentive dollars</w:t>
            </w:r>
          </w:p>
        </w:tc>
      </w:tr>
    </w:tbl>
    <w:p w14:paraId="04C022BB" w14:textId="77777777" w:rsidR="005F08E5" w:rsidRDefault="005F08E5" w:rsidP="005F08E5">
      <w:pPr>
        <w:pStyle w:val="Heading2"/>
      </w:pPr>
      <w:bookmarkStart w:id="22" w:name="_Toc482973546"/>
      <w:r>
        <w:t>Strategies</w:t>
      </w:r>
      <w:bookmarkEnd w:id="22"/>
    </w:p>
    <w:p w14:paraId="5A010879" w14:textId="7AF6978C" w:rsidR="005F08E5" w:rsidRDefault="00F55EF6" w:rsidP="005F08E5">
      <w:pPr>
        <w:pStyle w:val="BodyText"/>
      </w:pPr>
      <w:r>
        <w:t xml:space="preserve">The Tool allows for analysis of a variety of clean truck strategies, as described in Sections </w:t>
      </w:r>
      <w:r w:rsidR="00C43D0C">
        <w:t>2.6.</w:t>
      </w:r>
      <w:r w:rsidR="005932E1">
        <w:t>1</w:t>
      </w:r>
      <w:r>
        <w:t xml:space="preserve"> through</w:t>
      </w:r>
      <w:r w:rsidR="00C43D0C">
        <w:t xml:space="preserve"> 2.6.6.</w:t>
      </w:r>
      <w:r w:rsidR="00FD20B8">
        <w:t xml:space="preserve"> </w:t>
      </w:r>
      <w:r w:rsidR="00F402BA">
        <w:t xml:space="preserve">Not all strategies can be analyzed for every situation. </w:t>
      </w:r>
      <w:r w:rsidR="00FD20B8">
        <w:t xml:space="preserve">For each strategy, the Manual shows which </w:t>
      </w:r>
      <w:r w:rsidR="00F402BA">
        <w:t xml:space="preserve">combination of </w:t>
      </w:r>
      <w:r w:rsidR="00FD20B8">
        <w:t xml:space="preserve">Analysis Type (Deployment, Funding Impact, or </w:t>
      </w:r>
      <w:r w:rsidR="00F402BA">
        <w:t>Incentive</w:t>
      </w:r>
      <w:r w:rsidR="00FD20B8">
        <w:t xml:space="preserve"> Analysis), Geographic Scale (State, Metropolitan, County/Municipal, Distribution Center, or Port), and Truck Type (Single unit short haul, Single unit long haul, Combo unit short haul, and Combo unit long haul) </w:t>
      </w:r>
      <w:r w:rsidR="00F402BA">
        <w:t>the user can analyze the strategy in the Tool</w:t>
      </w:r>
      <w:r w:rsidR="00FD20B8">
        <w:t>.</w:t>
      </w:r>
    </w:p>
    <w:p w14:paraId="74AEDEB0" w14:textId="60C37621" w:rsidR="005F08E5" w:rsidRDefault="005F08E5" w:rsidP="005F08E5">
      <w:pPr>
        <w:pStyle w:val="Heading3"/>
      </w:pPr>
      <w:bookmarkStart w:id="23" w:name="_Toc482973547"/>
      <w:r>
        <w:lastRenderedPageBreak/>
        <w:t>Alternative Fuels</w:t>
      </w:r>
      <w:bookmarkEnd w:id="23"/>
    </w:p>
    <w:p w14:paraId="73A20790" w14:textId="77777777" w:rsidR="00511281" w:rsidRDefault="00511281" w:rsidP="00511281">
      <w:pPr>
        <w:pStyle w:val="BodyText"/>
      </w:pPr>
      <w:r>
        <w:t xml:space="preserve">As described in </w:t>
      </w:r>
      <w:r w:rsidR="00833B69">
        <w:fldChar w:fldCharType="begin"/>
      </w:r>
      <w:r>
        <w:instrText xml:space="preserve"> REF _Ref458520546 \h </w:instrText>
      </w:r>
      <w:r w:rsidR="00833B69">
        <w:fldChar w:fldCharType="separate"/>
      </w:r>
      <w:r w:rsidR="00C42F38">
        <w:t xml:space="preserve">Table </w:t>
      </w:r>
      <w:r w:rsidR="00C42F38">
        <w:rPr>
          <w:noProof/>
        </w:rPr>
        <w:t>6</w:t>
      </w:r>
      <w:r w:rsidR="00833B69">
        <w:fldChar w:fldCharType="end"/>
      </w:r>
      <w:r>
        <w:t xml:space="preserve">, the Tool evaluates several alternative fuels, though some apply to only a subset of truck types. </w:t>
      </w:r>
    </w:p>
    <w:p w14:paraId="2A090272" w14:textId="77777777" w:rsidR="00511281" w:rsidRDefault="00511281" w:rsidP="00511281">
      <w:pPr>
        <w:pStyle w:val="TableCaption"/>
      </w:pPr>
      <w:bookmarkStart w:id="24" w:name="_Ref458520546"/>
      <w:bookmarkStart w:id="25" w:name="_Toc482973586"/>
      <w:r>
        <w:t xml:space="preserve">Table </w:t>
      </w:r>
      <w:r w:rsidR="00833B69">
        <w:fldChar w:fldCharType="begin"/>
      </w:r>
      <w:r>
        <w:instrText xml:space="preserve"> SEQ Table \* ARABIC </w:instrText>
      </w:r>
      <w:r w:rsidR="00833B69">
        <w:fldChar w:fldCharType="separate"/>
      </w:r>
      <w:r w:rsidR="00305706">
        <w:t>6</w:t>
      </w:r>
      <w:r w:rsidR="00833B69">
        <w:fldChar w:fldCharType="end"/>
      </w:r>
      <w:bookmarkEnd w:id="24"/>
      <w:r>
        <w:t>. Alternative Fuels Used in the Tool</w:t>
      </w:r>
      <w:bookmarkEnd w:id="25"/>
    </w:p>
    <w:tbl>
      <w:tblPr>
        <w:tblStyle w:val="TemplateTable"/>
        <w:tblW w:w="9347" w:type="dxa"/>
        <w:tblLayout w:type="fixed"/>
        <w:tblCellMar>
          <w:top w:w="0" w:type="dxa"/>
          <w:bottom w:w="0" w:type="dxa"/>
        </w:tblCellMar>
        <w:tblLook w:val="04A0" w:firstRow="1" w:lastRow="0" w:firstColumn="1" w:lastColumn="0" w:noHBand="0" w:noVBand="1"/>
      </w:tblPr>
      <w:tblGrid>
        <w:gridCol w:w="7050"/>
        <w:gridCol w:w="810"/>
        <w:gridCol w:w="810"/>
        <w:gridCol w:w="677"/>
      </w:tblGrid>
      <w:tr w:rsidR="00511281" w:rsidRPr="00CC451D" w14:paraId="364E81E1" w14:textId="77777777" w:rsidTr="00D00390">
        <w:trPr>
          <w:cnfStyle w:val="100000000000" w:firstRow="1" w:lastRow="0" w:firstColumn="0" w:lastColumn="0" w:oddVBand="0" w:evenVBand="0" w:oddHBand="0" w:evenHBand="0" w:firstRowFirstColumn="0" w:firstRowLastColumn="0" w:lastRowFirstColumn="0" w:lastRowLastColumn="0"/>
          <w:trHeight w:val="24"/>
        </w:trPr>
        <w:tc>
          <w:tcPr>
            <w:tcW w:w="7050" w:type="dxa"/>
            <w:tcBorders>
              <w:bottom w:val="single" w:sz="4" w:space="0" w:color="0070C0"/>
            </w:tcBorders>
            <w:noWrap/>
            <w:vAlign w:val="bottom"/>
            <w:hideMark/>
          </w:tcPr>
          <w:p w14:paraId="36AF8EE1" w14:textId="77777777" w:rsidR="00511281" w:rsidRPr="00D00390" w:rsidRDefault="00511281" w:rsidP="00072541">
            <w:pPr>
              <w:pStyle w:val="TableColumnHeading"/>
              <w:rPr>
                <w:rFonts w:asciiTheme="minorHAnsi" w:hAnsiTheme="minorHAnsi"/>
              </w:rPr>
            </w:pPr>
            <w:r w:rsidRPr="00924279">
              <w:rPr>
                <w:rFonts w:asciiTheme="minorHAnsi" w:hAnsiTheme="minorHAnsi"/>
              </w:rPr>
              <w:t>Alternative Fuel</w:t>
            </w:r>
          </w:p>
        </w:tc>
        <w:tc>
          <w:tcPr>
            <w:tcW w:w="810" w:type="dxa"/>
            <w:tcBorders>
              <w:bottom w:val="single" w:sz="4" w:space="0" w:color="0070C0"/>
            </w:tcBorders>
            <w:vAlign w:val="bottom"/>
          </w:tcPr>
          <w:p w14:paraId="080921D0" w14:textId="77777777" w:rsidR="00511281" w:rsidRPr="00D00390" w:rsidRDefault="00511281" w:rsidP="00072541">
            <w:pPr>
              <w:pStyle w:val="TableColumnHeading"/>
              <w:rPr>
                <w:rFonts w:asciiTheme="minorHAnsi" w:hAnsiTheme="minorHAnsi"/>
              </w:rPr>
            </w:pPr>
            <w:r w:rsidRPr="00D00390">
              <w:rPr>
                <w:rFonts w:asciiTheme="minorHAnsi" w:hAnsiTheme="minorHAnsi"/>
              </w:rPr>
              <w:t>Analysis Types</w:t>
            </w:r>
            <w:r w:rsidRPr="00D00390">
              <w:rPr>
                <w:rStyle w:val="TableFootnoteReferenceChar"/>
                <w:rFonts w:asciiTheme="minorHAnsi" w:hAnsiTheme="minorHAnsi"/>
              </w:rPr>
              <w:t>a</w:t>
            </w:r>
          </w:p>
        </w:tc>
        <w:tc>
          <w:tcPr>
            <w:tcW w:w="810" w:type="dxa"/>
            <w:tcBorders>
              <w:bottom w:val="single" w:sz="4" w:space="0" w:color="0070C0"/>
            </w:tcBorders>
            <w:vAlign w:val="bottom"/>
          </w:tcPr>
          <w:p w14:paraId="6162D465" w14:textId="77777777" w:rsidR="00511281" w:rsidRPr="00D00390" w:rsidRDefault="00511281" w:rsidP="00072541">
            <w:pPr>
              <w:pStyle w:val="TableColumnHeading"/>
              <w:rPr>
                <w:rFonts w:asciiTheme="minorHAnsi" w:hAnsiTheme="minorHAnsi"/>
              </w:rPr>
            </w:pPr>
            <w:r w:rsidRPr="00D00390">
              <w:rPr>
                <w:rFonts w:asciiTheme="minorHAnsi" w:hAnsiTheme="minorHAnsi"/>
              </w:rPr>
              <w:t>Geo-graphic Scales</w:t>
            </w:r>
            <w:r w:rsidRPr="00D00390">
              <w:rPr>
                <w:rStyle w:val="TableFootnoteReferenceChar"/>
                <w:rFonts w:asciiTheme="minorHAnsi" w:hAnsiTheme="minorHAnsi"/>
              </w:rPr>
              <w:t>b</w:t>
            </w:r>
          </w:p>
        </w:tc>
        <w:tc>
          <w:tcPr>
            <w:tcW w:w="677" w:type="dxa"/>
            <w:tcBorders>
              <w:bottom w:val="single" w:sz="4" w:space="0" w:color="0070C0"/>
            </w:tcBorders>
            <w:vAlign w:val="bottom"/>
          </w:tcPr>
          <w:p w14:paraId="277B0A7F" w14:textId="77777777" w:rsidR="00511281" w:rsidRPr="00D00390" w:rsidRDefault="00511281" w:rsidP="00072541">
            <w:pPr>
              <w:pStyle w:val="TableColumnHeading"/>
              <w:rPr>
                <w:rFonts w:asciiTheme="minorHAnsi" w:hAnsiTheme="minorHAnsi"/>
              </w:rPr>
            </w:pPr>
            <w:r w:rsidRPr="00D00390">
              <w:rPr>
                <w:rFonts w:asciiTheme="minorHAnsi" w:hAnsiTheme="minorHAnsi"/>
              </w:rPr>
              <w:t>Truck Types</w:t>
            </w:r>
            <w:r w:rsidRPr="00D00390">
              <w:rPr>
                <w:rStyle w:val="TableFootnoteReferenceChar"/>
                <w:rFonts w:asciiTheme="minorHAnsi" w:hAnsiTheme="minorHAnsi"/>
              </w:rPr>
              <w:t>c</w:t>
            </w:r>
          </w:p>
        </w:tc>
      </w:tr>
      <w:tr w:rsidR="00511281" w:rsidRPr="00CC451D" w14:paraId="61051495" w14:textId="77777777" w:rsidTr="00D00390">
        <w:trPr>
          <w:trHeight w:val="24"/>
        </w:trPr>
        <w:tc>
          <w:tcPr>
            <w:tcW w:w="7050" w:type="dxa"/>
            <w:tcBorders>
              <w:top w:val="single" w:sz="4" w:space="0" w:color="0070C0"/>
              <w:left w:val="single" w:sz="4" w:space="0" w:color="0070C0"/>
              <w:bottom w:val="single" w:sz="4" w:space="0" w:color="0070C0"/>
              <w:right w:val="single" w:sz="4" w:space="0" w:color="0070C0"/>
            </w:tcBorders>
            <w:noWrap/>
          </w:tcPr>
          <w:p w14:paraId="7CD9631C" w14:textId="77777777" w:rsidR="00511281" w:rsidRPr="00924279" w:rsidRDefault="00511281" w:rsidP="00072541">
            <w:pPr>
              <w:pStyle w:val="TableCellText"/>
              <w:rPr>
                <w:rFonts w:asciiTheme="minorHAnsi" w:hAnsiTheme="minorHAnsi"/>
                <w:b/>
              </w:rPr>
            </w:pPr>
            <w:r w:rsidRPr="00924279">
              <w:rPr>
                <w:rFonts w:asciiTheme="minorHAnsi" w:hAnsiTheme="minorHAnsi"/>
                <w:b/>
              </w:rPr>
              <w:t>Compressed Natural Gas (CNG)</w:t>
            </w:r>
          </w:p>
          <w:p w14:paraId="3ABC293A" w14:textId="77777777" w:rsidR="00511281" w:rsidRPr="00924279" w:rsidRDefault="00511281" w:rsidP="00072541">
            <w:pPr>
              <w:pStyle w:val="TableCellText"/>
              <w:spacing w:after="120"/>
              <w:ind w:left="199"/>
              <w:rPr>
                <w:rFonts w:asciiTheme="minorHAnsi" w:hAnsiTheme="minorHAnsi"/>
              </w:rPr>
            </w:pPr>
            <w:r w:rsidRPr="00924279">
              <w:rPr>
                <w:rFonts w:asciiTheme="minorHAnsi" w:hAnsiTheme="minorHAnsi"/>
              </w:rPr>
              <w:t>This option in the Tool assumes the purchase of a new CNG truck, and the old truck will be scrapped.</w:t>
            </w:r>
          </w:p>
          <w:p w14:paraId="5F8659E1" w14:textId="4DED18B2" w:rsidR="00511281" w:rsidRPr="00924279" w:rsidRDefault="00511281" w:rsidP="0060220A">
            <w:pPr>
              <w:pStyle w:val="TableCellText"/>
              <w:ind w:left="199"/>
              <w:rPr>
                <w:rFonts w:asciiTheme="minorHAnsi" w:hAnsiTheme="minorHAnsi"/>
              </w:rPr>
            </w:pPr>
            <w:r w:rsidRPr="00924279">
              <w:rPr>
                <w:rFonts w:asciiTheme="minorHAnsi" w:hAnsiTheme="minorHAnsi"/>
              </w:rPr>
              <w:t xml:space="preserve">Traditionally, refuse trucks, local pickup and delivery vehicles, and other centrally fueled truck fleets have been early adopters of CNG. CNG has been less widely deployed in the </w:t>
            </w:r>
            <w:r w:rsidR="0060220A">
              <w:rPr>
                <w:rFonts w:asciiTheme="minorHAnsi" w:hAnsiTheme="minorHAnsi"/>
              </w:rPr>
              <w:t>long haul</w:t>
            </w:r>
            <w:r w:rsidRPr="00924279">
              <w:rPr>
                <w:rFonts w:asciiTheme="minorHAnsi" w:hAnsiTheme="minorHAnsi"/>
              </w:rPr>
              <w:t xml:space="preserve"> truck market because it contains less energy per unit of volume than diesel and liquefied natural gas.</w:t>
            </w:r>
          </w:p>
        </w:tc>
        <w:tc>
          <w:tcPr>
            <w:tcW w:w="810" w:type="dxa"/>
            <w:tcBorders>
              <w:top w:val="single" w:sz="4" w:space="0" w:color="0070C0"/>
              <w:left w:val="single" w:sz="4" w:space="0" w:color="0070C0"/>
              <w:bottom w:val="single" w:sz="4" w:space="0" w:color="0070C0"/>
              <w:right w:val="single" w:sz="4" w:space="0" w:color="0070C0"/>
            </w:tcBorders>
          </w:tcPr>
          <w:p w14:paraId="4032F557" w14:textId="1BD936A3" w:rsidR="00511281" w:rsidRPr="00924279" w:rsidRDefault="00511281" w:rsidP="00511281">
            <w:pPr>
              <w:pStyle w:val="TableCellText"/>
              <w:rPr>
                <w:rFonts w:asciiTheme="minorHAnsi" w:hAnsiTheme="minorHAnsi"/>
              </w:rPr>
            </w:pPr>
            <w:r w:rsidRPr="00924279">
              <w:rPr>
                <w:rFonts w:asciiTheme="minorHAnsi" w:hAnsiTheme="minorHAnsi"/>
              </w:rPr>
              <w:t>Dep,</w:t>
            </w:r>
            <w:r w:rsidR="00F402BA">
              <w:rPr>
                <w:rFonts w:asciiTheme="minorHAnsi" w:hAnsiTheme="minorHAnsi"/>
              </w:rPr>
              <w:t>Fund</w:t>
            </w:r>
          </w:p>
        </w:tc>
        <w:tc>
          <w:tcPr>
            <w:tcW w:w="810" w:type="dxa"/>
            <w:tcBorders>
              <w:top w:val="single" w:sz="4" w:space="0" w:color="0070C0"/>
              <w:left w:val="single" w:sz="4" w:space="0" w:color="0070C0"/>
              <w:bottom w:val="single" w:sz="4" w:space="0" w:color="0070C0"/>
              <w:right w:val="single" w:sz="4" w:space="0" w:color="0070C0"/>
            </w:tcBorders>
          </w:tcPr>
          <w:p w14:paraId="7DFAD3F5" w14:textId="77777777" w:rsidR="00511281" w:rsidRPr="00924279" w:rsidRDefault="00511281" w:rsidP="00072541">
            <w:pPr>
              <w:pStyle w:val="TableCellText"/>
              <w:rPr>
                <w:rFonts w:asciiTheme="minorHAnsi" w:hAnsiTheme="minorHAnsi"/>
              </w:rPr>
            </w:pPr>
            <w:r w:rsidRPr="00924279">
              <w:rPr>
                <w:rFonts w:asciiTheme="minorHAnsi" w:hAnsiTheme="minorHAnsi"/>
              </w:rPr>
              <w:t>All</w:t>
            </w:r>
          </w:p>
        </w:tc>
        <w:tc>
          <w:tcPr>
            <w:tcW w:w="677" w:type="dxa"/>
            <w:tcBorders>
              <w:top w:val="single" w:sz="4" w:space="0" w:color="0070C0"/>
              <w:left w:val="single" w:sz="4" w:space="0" w:color="0070C0"/>
              <w:bottom w:val="single" w:sz="4" w:space="0" w:color="0070C0"/>
              <w:right w:val="single" w:sz="4" w:space="0" w:color="0070C0"/>
            </w:tcBorders>
          </w:tcPr>
          <w:p w14:paraId="1AA2578A" w14:textId="77777777" w:rsidR="00511281" w:rsidRPr="00924279" w:rsidRDefault="00511281" w:rsidP="00072541">
            <w:pPr>
              <w:pStyle w:val="TableCellText"/>
              <w:rPr>
                <w:rFonts w:asciiTheme="minorHAnsi" w:hAnsiTheme="minorHAnsi"/>
              </w:rPr>
            </w:pPr>
            <w:r w:rsidRPr="00924279">
              <w:rPr>
                <w:rFonts w:asciiTheme="minorHAnsi" w:hAnsiTheme="minorHAnsi"/>
              </w:rPr>
              <w:t>All</w:t>
            </w:r>
          </w:p>
        </w:tc>
      </w:tr>
      <w:tr w:rsidR="001772D3" w:rsidRPr="00CC451D" w14:paraId="540276FD" w14:textId="77777777" w:rsidTr="001772D3">
        <w:trPr>
          <w:trHeight w:val="24"/>
        </w:trPr>
        <w:tc>
          <w:tcPr>
            <w:tcW w:w="7050" w:type="dxa"/>
            <w:tcBorders>
              <w:top w:val="single" w:sz="4" w:space="0" w:color="0070C0"/>
              <w:left w:val="single" w:sz="4" w:space="0" w:color="0070C0"/>
              <w:bottom w:val="single" w:sz="4" w:space="0" w:color="0070C0"/>
              <w:right w:val="single" w:sz="4" w:space="0" w:color="0070C0"/>
            </w:tcBorders>
            <w:noWrap/>
          </w:tcPr>
          <w:p w14:paraId="24DB96D2" w14:textId="77777777" w:rsidR="001772D3" w:rsidRPr="00924279" w:rsidRDefault="001772D3" w:rsidP="001772D3">
            <w:pPr>
              <w:pStyle w:val="TableCellText"/>
              <w:rPr>
                <w:rFonts w:asciiTheme="minorHAnsi" w:hAnsiTheme="minorHAnsi"/>
                <w:b/>
              </w:rPr>
            </w:pPr>
            <w:r w:rsidRPr="00924279">
              <w:rPr>
                <w:rFonts w:asciiTheme="minorHAnsi" w:hAnsiTheme="minorHAnsi"/>
                <w:b/>
              </w:rPr>
              <w:t>Liquefied Natural Gas (LNG)</w:t>
            </w:r>
          </w:p>
          <w:p w14:paraId="1735AFD6" w14:textId="77777777" w:rsidR="001772D3" w:rsidRPr="00924279" w:rsidRDefault="001772D3" w:rsidP="001772D3">
            <w:pPr>
              <w:pStyle w:val="TableCellText"/>
              <w:spacing w:after="120"/>
              <w:ind w:left="199"/>
              <w:rPr>
                <w:rFonts w:asciiTheme="minorHAnsi" w:hAnsiTheme="minorHAnsi"/>
              </w:rPr>
            </w:pPr>
            <w:r w:rsidRPr="00924279">
              <w:rPr>
                <w:rFonts w:asciiTheme="minorHAnsi" w:hAnsiTheme="minorHAnsi"/>
              </w:rPr>
              <w:t>This option in the Tool assumes the purchase of a new LNG truck, and the old truck will be scrapped.</w:t>
            </w:r>
          </w:p>
          <w:p w14:paraId="01A76B67" w14:textId="7711DA1C" w:rsidR="001772D3" w:rsidRPr="00924279" w:rsidRDefault="001772D3" w:rsidP="0060220A">
            <w:pPr>
              <w:pStyle w:val="TableCellText"/>
              <w:ind w:left="199"/>
              <w:rPr>
                <w:rFonts w:asciiTheme="minorHAnsi" w:hAnsiTheme="minorHAnsi"/>
              </w:rPr>
            </w:pPr>
            <w:r w:rsidRPr="00924279">
              <w:rPr>
                <w:rFonts w:asciiTheme="minorHAnsi" w:hAnsiTheme="minorHAnsi"/>
              </w:rPr>
              <w:t xml:space="preserve">Recent advances in tank storage capacity and fast-fill refueling technology for LNG, along with the surging supply of domestic natural gas, have made LNG a more viable option for </w:t>
            </w:r>
            <w:r w:rsidR="0060220A">
              <w:rPr>
                <w:rFonts w:asciiTheme="minorHAnsi" w:hAnsiTheme="minorHAnsi"/>
              </w:rPr>
              <w:t>long haul</w:t>
            </w:r>
            <w:r w:rsidRPr="00924279">
              <w:rPr>
                <w:rFonts w:asciiTheme="minorHAnsi" w:hAnsiTheme="minorHAnsi"/>
              </w:rPr>
              <w:t xml:space="preserve"> trucking. The higher energy density and on-board storage capacity of LNG have made it a more appealing option for some trucking fleets.</w:t>
            </w:r>
          </w:p>
        </w:tc>
        <w:tc>
          <w:tcPr>
            <w:tcW w:w="810" w:type="dxa"/>
            <w:tcBorders>
              <w:top w:val="single" w:sz="4" w:space="0" w:color="0070C0"/>
              <w:left w:val="single" w:sz="4" w:space="0" w:color="0070C0"/>
              <w:bottom w:val="single" w:sz="4" w:space="0" w:color="0070C0"/>
              <w:right w:val="single" w:sz="4" w:space="0" w:color="0070C0"/>
            </w:tcBorders>
          </w:tcPr>
          <w:p w14:paraId="0ED00CE9" w14:textId="02E96EA5" w:rsidR="001772D3" w:rsidRPr="00924279" w:rsidRDefault="001772D3" w:rsidP="001772D3">
            <w:pPr>
              <w:pStyle w:val="TableCellText"/>
              <w:rPr>
                <w:rFonts w:asciiTheme="minorHAnsi" w:hAnsiTheme="minorHAnsi"/>
              </w:rPr>
            </w:pPr>
            <w:r w:rsidRPr="00924279">
              <w:rPr>
                <w:rFonts w:asciiTheme="minorHAnsi" w:hAnsiTheme="minorHAnsi"/>
              </w:rPr>
              <w:t>Dep,</w:t>
            </w:r>
            <w:r w:rsidR="00F402BA">
              <w:rPr>
                <w:rFonts w:asciiTheme="minorHAnsi" w:hAnsiTheme="minorHAnsi"/>
              </w:rPr>
              <w:t>Fund</w:t>
            </w:r>
          </w:p>
        </w:tc>
        <w:tc>
          <w:tcPr>
            <w:tcW w:w="810" w:type="dxa"/>
            <w:tcBorders>
              <w:top w:val="single" w:sz="4" w:space="0" w:color="0070C0"/>
              <w:left w:val="single" w:sz="4" w:space="0" w:color="0070C0"/>
              <w:bottom w:val="single" w:sz="4" w:space="0" w:color="0070C0"/>
              <w:right w:val="single" w:sz="4" w:space="0" w:color="0070C0"/>
            </w:tcBorders>
          </w:tcPr>
          <w:p w14:paraId="5E8C0CDA" w14:textId="77777777" w:rsidR="001772D3" w:rsidRPr="00924279" w:rsidRDefault="001772D3" w:rsidP="001772D3">
            <w:pPr>
              <w:pStyle w:val="TableCellText"/>
              <w:rPr>
                <w:rFonts w:asciiTheme="minorHAnsi" w:hAnsiTheme="minorHAnsi"/>
              </w:rPr>
            </w:pPr>
            <w:r w:rsidRPr="00924279">
              <w:rPr>
                <w:rFonts w:asciiTheme="minorHAnsi" w:hAnsiTheme="minorHAnsi"/>
              </w:rPr>
              <w:t>All</w:t>
            </w:r>
          </w:p>
        </w:tc>
        <w:tc>
          <w:tcPr>
            <w:tcW w:w="677" w:type="dxa"/>
            <w:tcBorders>
              <w:top w:val="single" w:sz="4" w:space="0" w:color="0070C0"/>
              <w:left w:val="single" w:sz="4" w:space="0" w:color="0070C0"/>
              <w:bottom w:val="single" w:sz="4" w:space="0" w:color="0070C0"/>
              <w:right w:val="single" w:sz="4" w:space="0" w:color="0070C0"/>
            </w:tcBorders>
          </w:tcPr>
          <w:p w14:paraId="3DD5F41B" w14:textId="77777777" w:rsidR="001772D3" w:rsidRPr="00924279" w:rsidRDefault="001772D3" w:rsidP="001772D3">
            <w:pPr>
              <w:pStyle w:val="TableCellText"/>
              <w:rPr>
                <w:rFonts w:asciiTheme="minorHAnsi" w:hAnsiTheme="minorHAnsi"/>
              </w:rPr>
            </w:pPr>
            <w:r w:rsidRPr="00924279">
              <w:rPr>
                <w:rFonts w:asciiTheme="minorHAnsi" w:hAnsiTheme="minorHAnsi"/>
              </w:rPr>
              <w:t>5</w:t>
            </w:r>
          </w:p>
        </w:tc>
      </w:tr>
      <w:tr w:rsidR="001772D3" w:rsidRPr="00CC451D" w14:paraId="3286C3D8" w14:textId="77777777" w:rsidTr="001772D3">
        <w:trPr>
          <w:trHeight w:val="24"/>
        </w:trPr>
        <w:tc>
          <w:tcPr>
            <w:tcW w:w="7050" w:type="dxa"/>
            <w:tcBorders>
              <w:top w:val="single" w:sz="4" w:space="0" w:color="0070C0"/>
              <w:left w:val="single" w:sz="4" w:space="0" w:color="0070C0"/>
              <w:bottom w:val="single" w:sz="4" w:space="0" w:color="0070C0"/>
              <w:right w:val="single" w:sz="4" w:space="0" w:color="0070C0"/>
            </w:tcBorders>
            <w:noWrap/>
          </w:tcPr>
          <w:p w14:paraId="2A16D444" w14:textId="55324471" w:rsidR="001772D3" w:rsidRPr="00924279" w:rsidRDefault="001772D3" w:rsidP="001772D3">
            <w:pPr>
              <w:pStyle w:val="TableCellText"/>
              <w:rPr>
                <w:rFonts w:asciiTheme="minorHAnsi" w:hAnsiTheme="minorHAnsi"/>
                <w:b/>
              </w:rPr>
            </w:pPr>
            <w:r w:rsidRPr="00924279">
              <w:rPr>
                <w:rFonts w:asciiTheme="minorHAnsi" w:hAnsiTheme="minorHAnsi"/>
                <w:b/>
              </w:rPr>
              <w:t>Renewable CNG (RCNG)</w:t>
            </w:r>
          </w:p>
          <w:p w14:paraId="7EB17836" w14:textId="72A5D43D" w:rsidR="001772D3" w:rsidRPr="00924279" w:rsidRDefault="001772D3" w:rsidP="001772D3">
            <w:pPr>
              <w:pStyle w:val="TableCellText"/>
              <w:spacing w:after="120"/>
              <w:ind w:left="199"/>
              <w:rPr>
                <w:rFonts w:asciiTheme="minorHAnsi" w:hAnsiTheme="minorHAnsi"/>
                <w:b/>
              </w:rPr>
            </w:pPr>
            <w:r w:rsidRPr="00924279">
              <w:rPr>
                <w:rFonts w:asciiTheme="minorHAnsi" w:hAnsiTheme="minorHAnsi"/>
              </w:rPr>
              <w:t>This option assumes the use of compressed renewable natural gas (e.g., landfill gas). It assumes the purchase of a new CNG truck and the old truck will be scrapped.</w:t>
            </w:r>
          </w:p>
        </w:tc>
        <w:tc>
          <w:tcPr>
            <w:tcW w:w="810" w:type="dxa"/>
            <w:tcBorders>
              <w:top w:val="single" w:sz="4" w:space="0" w:color="0070C0"/>
              <w:left w:val="single" w:sz="4" w:space="0" w:color="0070C0"/>
              <w:bottom w:val="single" w:sz="4" w:space="0" w:color="0070C0"/>
              <w:right w:val="single" w:sz="4" w:space="0" w:color="0070C0"/>
            </w:tcBorders>
          </w:tcPr>
          <w:p w14:paraId="795DA181" w14:textId="504656D4" w:rsidR="001772D3" w:rsidRPr="00924279" w:rsidRDefault="001772D3" w:rsidP="001772D3">
            <w:pPr>
              <w:pStyle w:val="TableCellText"/>
              <w:rPr>
                <w:rFonts w:asciiTheme="minorHAnsi" w:hAnsiTheme="minorHAnsi"/>
              </w:rPr>
            </w:pPr>
            <w:r w:rsidRPr="00924279">
              <w:rPr>
                <w:rFonts w:asciiTheme="minorHAnsi" w:hAnsiTheme="minorHAnsi"/>
              </w:rPr>
              <w:t>Dep,</w:t>
            </w:r>
            <w:r w:rsidR="00F402BA">
              <w:rPr>
                <w:rFonts w:asciiTheme="minorHAnsi" w:hAnsiTheme="minorHAnsi"/>
              </w:rPr>
              <w:t>Fund</w:t>
            </w:r>
          </w:p>
        </w:tc>
        <w:tc>
          <w:tcPr>
            <w:tcW w:w="810" w:type="dxa"/>
            <w:tcBorders>
              <w:top w:val="single" w:sz="4" w:space="0" w:color="0070C0"/>
              <w:left w:val="single" w:sz="4" w:space="0" w:color="0070C0"/>
              <w:bottom w:val="single" w:sz="4" w:space="0" w:color="0070C0"/>
              <w:right w:val="single" w:sz="4" w:space="0" w:color="0070C0"/>
            </w:tcBorders>
          </w:tcPr>
          <w:p w14:paraId="1809D5AA" w14:textId="7CECFB30" w:rsidR="001772D3" w:rsidRPr="00924279" w:rsidRDefault="001772D3" w:rsidP="001772D3">
            <w:pPr>
              <w:pStyle w:val="TableCellText"/>
              <w:rPr>
                <w:rFonts w:asciiTheme="minorHAnsi" w:hAnsiTheme="minorHAnsi"/>
              </w:rPr>
            </w:pPr>
            <w:r w:rsidRPr="00924279">
              <w:rPr>
                <w:rFonts w:asciiTheme="minorHAnsi" w:hAnsiTheme="minorHAnsi"/>
              </w:rPr>
              <w:t>All</w:t>
            </w:r>
          </w:p>
        </w:tc>
        <w:tc>
          <w:tcPr>
            <w:tcW w:w="677" w:type="dxa"/>
            <w:tcBorders>
              <w:top w:val="single" w:sz="4" w:space="0" w:color="0070C0"/>
              <w:left w:val="single" w:sz="4" w:space="0" w:color="0070C0"/>
              <w:bottom w:val="single" w:sz="4" w:space="0" w:color="0070C0"/>
              <w:right w:val="single" w:sz="4" w:space="0" w:color="0070C0"/>
            </w:tcBorders>
          </w:tcPr>
          <w:p w14:paraId="4C56A1B7" w14:textId="2A6D6C41" w:rsidR="001772D3" w:rsidRPr="00924279" w:rsidRDefault="001772D3" w:rsidP="001772D3">
            <w:pPr>
              <w:pStyle w:val="TableCellText"/>
              <w:rPr>
                <w:rFonts w:asciiTheme="minorHAnsi" w:hAnsiTheme="minorHAnsi"/>
              </w:rPr>
            </w:pPr>
            <w:r w:rsidRPr="00924279">
              <w:rPr>
                <w:rFonts w:asciiTheme="minorHAnsi" w:hAnsiTheme="minorHAnsi"/>
              </w:rPr>
              <w:t>All</w:t>
            </w:r>
          </w:p>
        </w:tc>
      </w:tr>
      <w:tr w:rsidR="001772D3" w:rsidRPr="00CC451D" w14:paraId="489B0E4E" w14:textId="77777777" w:rsidTr="001772D3">
        <w:trPr>
          <w:trHeight w:val="24"/>
        </w:trPr>
        <w:tc>
          <w:tcPr>
            <w:tcW w:w="7050" w:type="dxa"/>
            <w:tcBorders>
              <w:top w:val="single" w:sz="4" w:space="0" w:color="0070C0"/>
              <w:left w:val="single" w:sz="4" w:space="0" w:color="0070C0"/>
              <w:bottom w:val="single" w:sz="4" w:space="0" w:color="0070C0"/>
              <w:right w:val="single" w:sz="4" w:space="0" w:color="0070C0"/>
            </w:tcBorders>
            <w:noWrap/>
          </w:tcPr>
          <w:p w14:paraId="42DED15B" w14:textId="203067EA" w:rsidR="001772D3" w:rsidRPr="00924279" w:rsidRDefault="001772D3" w:rsidP="001772D3">
            <w:pPr>
              <w:pStyle w:val="TableCellText"/>
              <w:rPr>
                <w:rFonts w:asciiTheme="minorHAnsi" w:hAnsiTheme="minorHAnsi"/>
                <w:b/>
              </w:rPr>
            </w:pPr>
            <w:r w:rsidRPr="00924279">
              <w:rPr>
                <w:rFonts w:asciiTheme="minorHAnsi" w:hAnsiTheme="minorHAnsi"/>
                <w:b/>
              </w:rPr>
              <w:t>Renewable LNG (RLNG)</w:t>
            </w:r>
          </w:p>
          <w:p w14:paraId="042B7733" w14:textId="357DE746" w:rsidR="001772D3" w:rsidRPr="00924279" w:rsidRDefault="001772D3" w:rsidP="001772D3">
            <w:pPr>
              <w:pStyle w:val="TableCellText"/>
              <w:spacing w:after="120"/>
              <w:ind w:left="199"/>
            </w:pPr>
            <w:r w:rsidRPr="00924279">
              <w:t>This option assumes the use of liquefied renewable natural gas (e.g., landfill gas). It assumes the purchase of a new LNG truck and the old truck will be scrapped.</w:t>
            </w:r>
          </w:p>
        </w:tc>
        <w:tc>
          <w:tcPr>
            <w:tcW w:w="810" w:type="dxa"/>
            <w:tcBorders>
              <w:top w:val="single" w:sz="4" w:space="0" w:color="0070C0"/>
              <w:left w:val="single" w:sz="4" w:space="0" w:color="0070C0"/>
              <w:bottom w:val="single" w:sz="4" w:space="0" w:color="0070C0"/>
              <w:right w:val="single" w:sz="4" w:space="0" w:color="0070C0"/>
            </w:tcBorders>
          </w:tcPr>
          <w:p w14:paraId="12887FAD" w14:textId="3A1E3442" w:rsidR="001772D3" w:rsidRPr="00924279" w:rsidRDefault="001772D3" w:rsidP="001772D3">
            <w:pPr>
              <w:pStyle w:val="TableCellText"/>
              <w:rPr>
                <w:rFonts w:asciiTheme="minorHAnsi" w:hAnsiTheme="minorHAnsi"/>
              </w:rPr>
            </w:pPr>
            <w:r w:rsidRPr="00924279">
              <w:rPr>
                <w:rFonts w:asciiTheme="minorHAnsi" w:hAnsiTheme="minorHAnsi"/>
              </w:rPr>
              <w:t>Dep,</w:t>
            </w:r>
            <w:r w:rsidR="00F402BA">
              <w:rPr>
                <w:rFonts w:asciiTheme="minorHAnsi" w:hAnsiTheme="minorHAnsi"/>
              </w:rPr>
              <w:t>Fund</w:t>
            </w:r>
          </w:p>
        </w:tc>
        <w:tc>
          <w:tcPr>
            <w:tcW w:w="810" w:type="dxa"/>
            <w:tcBorders>
              <w:top w:val="single" w:sz="4" w:space="0" w:color="0070C0"/>
              <w:left w:val="single" w:sz="4" w:space="0" w:color="0070C0"/>
              <w:bottom w:val="single" w:sz="4" w:space="0" w:color="0070C0"/>
              <w:right w:val="single" w:sz="4" w:space="0" w:color="0070C0"/>
            </w:tcBorders>
          </w:tcPr>
          <w:p w14:paraId="1996C067" w14:textId="2E3DEDF1" w:rsidR="001772D3" w:rsidRPr="00924279" w:rsidRDefault="001772D3" w:rsidP="001772D3">
            <w:pPr>
              <w:pStyle w:val="TableCellText"/>
              <w:rPr>
                <w:rFonts w:asciiTheme="minorHAnsi" w:hAnsiTheme="minorHAnsi"/>
              </w:rPr>
            </w:pPr>
            <w:r w:rsidRPr="00924279">
              <w:rPr>
                <w:rFonts w:asciiTheme="minorHAnsi" w:hAnsiTheme="minorHAnsi"/>
              </w:rPr>
              <w:t>All</w:t>
            </w:r>
          </w:p>
        </w:tc>
        <w:tc>
          <w:tcPr>
            <w:tcW w:w="677" w:type="dxa"/>
            <w:tcBorders>
              <w:top w:val="single" w:sz="4" w:space="0" w:color="0070C0"/>
              <w:left w:val="single" w:sz="4" w:space="0" w:color="0070C0"/>
              <w:bottom w:val="single" w:sz="4" w:space="0" w:color="0070C0"/>
              <w:right w:val="single" w:sz="4" w:space="0" w:color="0070C0"/>
            </w:tcBorders>
          </w:tcPr>
          <w:p w14:paraId="475FFDDE" w14:textId="18DDFFE9" w:rsidR="001772D3" w:rsidRPr="00924279" w:rsidRDefault="001772D3" w:rsidP="001772D3">
            <w:pPr>
              <w:pStyle w:val="TableCellText"/>
              <w:rPr>
                <w:rFonts w:asciiTheme="minorHAnsi" w:hAnsiTheme="minorHAnsi"/>
              </w:rPr>
            </w:pPr>
            <w:r w:rsidRPr="00924279">
              <w:rPr>
                <w:rFonts w:asciiTheme="minorHAnsi" w:hAnsiTheme="minorHAnsi"/>
              </w:rPr>
              <w:t>5</w:t>
            </w:r>
          </w:p>
        </w:tc>
      </w:tr>
      <w:tr w:rsidR="00566906" w:rsidRPr="00CC451D" w14:paraId="1A390D2F" w14:textId="77777777" w:rsidTr="001772D3">
        <w:trPr>
          <w:trHeight w:val="24"/>
        </w:trPr>
        <w:tc>
          <w:tcPr>
            <w:tcW w:w="7050" w:type="dxa"/>
            <w:tcBorders>
              <w:top w:val="single" w:sz="4" w:space="0" w:color="0070C0"/>
              <w:left w:val="single" w:sz="4" w:space="0" w:color="0070C0"/>
              <w:bottom w:val="single" w:sz="4" w:space="0" w:color="0070C0"/>
              <w:right w:val="single" w:sz="4" w:space="0" w:color="0070C0"/>
            </w:tcBorders>
            <w:noWrap/>
          </w:tcPr>
          <w:p w14:paraId="6F97B6BD" w14:textId="20C56E6B" w:rsidR="00566906" w:rsidRPr="008F7BF8" w:rsidRDefault="00566906" w:rsidP="00566906">
            <w:pPr>
              <w:pStyle w:val="TableCellText"/>
              <w:rPr>
                <w:rFonts w:asciiTheme="minorHAnsi" w:hAnsiTheme="minorHAnsi"/>
                <w:b/>
              </w:rPr>
            </w:pPr>
            <w:r w:rsidRPr="008F7BF8">
              <w:rPr>
                <w:rFonts w:asciiTheme="minorHAnsi" w:hAnsiTheme="minorHAnsi"/>
                <w:b/>
              </w:rPr>
              <w:t>CNG in a Low NOx Engine</w:t>
            </w:r>
          </w:p>
          <w:p w14:paraId="1824CDF1" w14:textId="52B99230" w:rsidR="00566906" w:rsidRPr="008F7BF8" w:rsidRDefault="00566906" w:rsidP="00566906">
            <w:pPr>
              <w:pStyle w:val="TableCellText"/>
              <w:spacing w:after="120"/>
              <w:ind w:left="199"/>
              <w:rPr>
                <w:rFonts w:asciiTheme="minorHAnsi" w:hAnsiTheme="minorHAnsi"/>
              </w:rPr>
            </w:pPr>
            <w:r w:rsidRPr="008F7BF8">
              <w:rPr>
                <w:rFonts w:asciiTheme="minorHAnsi" w:hAnsiTheme="minorHAnsi"/>
              </w:rPr>
              <w:t>This option assumes the use of compressed natural gas in a low-NOx natural gas engine (0.02 g/bhp-hr NOx level). It assumes the purchase of a new CNG low NOx truck and the old truck will be scrapped.</w:t>
            </w:r>
          </w:p>
          <w:p w14:paraId="49D4C50C" w14:textId="33C79AEC" w:rsidR="00566906" w:rsidRPr="008F7BF8" w:rsidRDefault="00566906" w:rsidP="00383F70">
            <w:pPr>
              <w:pStyle w:val="TableCellText"/>
              <w:ind w:left="207"/>
              <w:rPr>
                <w:rFonts w:asciiTheme="minorHAnsi" w:hAnsiTheme="minorHAnsi"/>
                <w:b/>
              </w:rPr>
            </w:pPr>
            <w:r w:rsidRPr="008F7BF8">
              <w:rPr>
                <w:rFonts w:asciiTheme="minorHAnsi" w:hAnsiTheme="minorHAnsi"/>
              </w:rPr>
              <w:t>Although these engines currently are not large enough for use in line</w:t>
            </w:r>
            <w:r w:rsidR="005200D9">
              <w:rPr>
                <w:rFonts w:asciiTheme="minorHAnsi" w:hAnsiTheme="minorHAnsi"/>
                <w:sz w:val="22"/>
              </w:rPr>
              <w:t>-</w:t>
            </w:r>
            <w:r w:rsidRPr="008F7BF8">
              <w:rPr>
                <w:rFonts w:asciiTheme="minorHAnsi" w:hAnsiTheme="minorHAnsi"/>
              </w:rPr>
              <w:t>haul trucks, the tool allows this option for all truck types.</w:t>
            </w:r>
          </w:p>
        </w:tc>
        <w:tc>
          <w:tcPr>
            <w:tcW w:w="810" w:type="dxa"/>
            <w:tcBorders>
              <w:top w:val="single" w:sz="4" w:space="0" w:color="0070C0"/>
              <w:left w:val="single" w:sz="4" w:space="0" w:color="0070C0"/>
              <w:bottom w:val="single" w:sz="4" w:space="0" w:color="0070C0"/>
              <w:right w:val="single" w:sz="4" w:space="0" w:color="0070C0"/>
            </w:tcBorders>
          </w:tcPr>
          <w:p w14:paraId="029836AE" w14:textId="0B8F2C80" w:rsidR="00566906" w:rsidRPr="008F7BF8" w:rsidRDefault="00566906" w:rsidP="00566906">
            <w:pPr>
              <w:pStyle w:val="TableCellText"/>
              <w:rPr>
                <w:rFonts w:asciiTheme="minorHAnsi" w:hAnsiTheme="minorHAnsi"/>
              </w:rPr>
            </w:pPr>
            <w:r w:rsidRPr="008F7BF8">
              <w:rPr>
                <w:rFonts w:asciiTheme="minorHAnsi" w:hAnsiTheme="minorHAnsi"/>
              </w:rPr>
              <w:t>Dep,</w:t>
            </w:r>
            <w:r w:rsidR="00F402BA">
              <w:rPr>
                <w:rFonts w:asciiTheme="minorHAnsi" w:hAnsiTheme="minorHAnsi"/>
              </w:rPr>
              <w:t>Fund</w:t>
            </w:r>
          </w:p>
        </w:tc>
        <w:tc>
          <w:tcPr>
            <w:tcW w:w="810" w:type="dxa"/>
            <w:tcBorders>
              <w:top w:val="single" w:sz="4" w:space="0" w:color="0070C0"/>
              <w:left w:val="single" w:sz="4" w:space="0" w:color="0070C0"/>
              <w:bottom w:val="single" w:sz="4" w:space="0" w:color="0070C0"/>
              <w:right w:val="single" w:sz="4" w:space="0" w:color="0070C0"/>
            </w:tcBorders>
          </w:tcPr>
          <w:p w14:paraId="2476521B" w14:textId="4268AB6B" w:rsidR="00566906" w:rsidRPr="008F7BF8" w:rsidRDefault="00566906" w:rsidP="00566906">
            <w:pPr>
              <w:pStyle w:val="TableCellText"/>
              <w:rPr>
                <w:rFonts w:asciiTheme="minorHAnsi" w:hAnsiTheme="minorHAnsi"/>
              </w:rPr>
            </w:pPr>
            <w:r w:rsidRPr="008F7BF8">
              <w:rPr>
                <w:rFonts w:asciiTheme="minorHAnsi" w:hAnsiTheme="minorHAnsi"/>
              </w:rPr>
              <w:t>All</w:t>
            </w:r>
          </w:p>
        </w:tc>
        <w:tc>
          <w:tcPr>
            <w:tcW w:w="677" w:type="dxa"/>
            <w:tcBorders>
              <w:top w:val="single" w:sz="4" w:space="0" w:color="0070C0"/>
              <w:left w:val="single" w:sz="4" w:space="0" w:color="0070C0"/>
              <w:bottom w:val="single" w:sz="4" w:space="0" w:color="0070C0"/>
              <w:right w:val="single" w:sz="4" w:space="0" w:color="0070C0"/>
            </w:tcBorders>
          </w:tcPr>
          <w:p w14:paraId="6A38A5AF" w14:textId="4484EE27" w:rsidR="00566906" w:rsidRPr="008F7BF8" w:rsidRDefault="00566906" w:rsidP="00566906">
            <w:pPr>
              <w:pStyle w:val="TableCellText"/>
              <w:rPr>
                <w:rFonts w:asciiTheme="minorHAnsi" w:hAnsiTheme="minorHAnsi"/>
              </w:rPr>
            </w:pPr>
            <w:r w:rsidRPr="008F7BF8">
              <w:rPr>
                <w:rFonts w:asciiTheme="minorHAnsi" w:hAnsiTheme="minorHAnsi"/>
              </w:rPr>
              <w:t>All</w:t>
            </w:r>
          </w:p>
        </w:tc>
      </w:tr>
      <w:tr w:rsidR="00566906" w:rsidRPr="00CC451D" w14:paraId="186F3A3E" w14:textId="77777777" w:rsidTr="001772D3">
        <w:trPr>
          <w:trHeight w:val="24"/>
        </w:trPr>
        <w:tc>
          <w:tcPr>
            <w:tcW w:w="7050" w:type="dxa"/>
            <w:tcBorders>
              <w:top w:val="single" w:sz="4" w:space="0" w:color="0070C0"/>
              <w:left w:val="single" w:sz="4" w:space="0" w:color="0070C0"/>
              <w:bottom w:val="single" w:sz="4" w:space="0" w:color="0070C0"/>
              <w:right w:val="single" w:sz="4" w:space="0" w:color="0070C0"/>
            </w:tcBorders>
            <w:noWrap/>
          </w:tcPr>
          <w:p w14:paraId="6821EA6D" w14:textId="405F4622" w:rsidR="00566906" w:rsidRPr="008F7BF8" w:rsidRDefault="00566906" w:rsidP="00566906">
            <w:pPr>
              <w:pStyle w:val="TableCellText"/>
              <w:rPr>
                <w:rFonts w:asciiTheme="minorHAnsi" w:hAnsiTheme="minorHAnsi"/>
                <w:b/>
              </w:rPr>
            </w:pPr>
            <w:r w:rsidRPr="008F7BF8">
              <w:rPr>
                <w:rFonts w:asciiTheme="minorHAnsi" w:hAnsiTheme="minorHAnsi"/>
                <w:b/>
              </w:rPr>
              <w:t>LNG in a Low NOx Engine</w:t>
            </w:r>
          </w:p>
          <w:p w14:paraId="3B4DE9AB" w14:textId="0EAAD909" w:rsidR="00566906" w:rsidRPr="008F7BF8" w:rsidRDefault="00566906" w:rsidP="00566906">
            <w:pPr>
              <w:pStyle w:val="TableCellText"/>
              <w:spacing w:after="120"/>
              <w:ind w:left="199"/>
              <w:rPr>
                <w:rFonts w:asciiTheme="minorHAnsi" w:hAnsiTheme="minorHAnsi"/>
              </w:rPr>
            </w:pPr>
            <w:r w:rsidRPr="008F7BF8">
              <w:rPr>
                <w:rFonts w:asciiTheme="minorHAnsi" w:hAnsiTheme="minorHAnsi"/>
              </w:rPr>
              <w:t>This option assumes the use of liquefied natural gas in a low-NOx natural gas engine (0.02 g/bhp-hr NOx level). It assumes the purchase of a new LNG low-NOx truck, and the old truck will be scrapped.</w:t>
            </w:r>
          </w:p>
        </w:tc>
        <w:tc>
          <w:tcPr>
            <w:tcW w:w="810" w:type="dxa"/>
            <w:tcBorders>
              <w:top w:val="single" w:sz="4" w:space="0" w:color="0070C0"/>
              <w:left w:val="single" w:sz="4" w:space="0" w:color="0070C0"/>
              <w:bottom w:val="single" w:sz="4" w:space="0" w:color="0070C0"/>
              <w:right w:val="single" w:sz="4" w:space="0" w:color="0070C0"/>
            </w:tcBorders>
          </w:tcPr>
          <w:p w14:paraId="370A1A77" w14:textId="4B54DA07" w:rsidR="00566906" w:rsidRPr="008F7BF8" w:rsidRDefault="00566906" w:rsidP="00566906">
            <w:pPr>
              <w:pStyle w:val="TableCellText"/>
              <w:rPr>
                <w:rFonts w:asciiTheme="minorHAnsi" w:hAnsiTheme="minorHAnsi"/>
              </w:rPr>
            </w:pPr>
            <w:r w:rsidRPr="008F7BF8">
              <w:rPr>
                <w:rFonts w:asciiTheme="minorHAnsi" w:hAnsiTheme="minorHAnsi"/>
              </w:rPr>
              <w:t>Dep,</w:t>
            </w:r>
            <w:r w:rsidR="00F402BA">
              <w:rPr>
                <w:rFonts w:asciiTheme="minorHAnsi" w:hAnsiTheme="minorHAnsi"/>
              </w:rPr>
              <w:t>Fund</w:t>
            </w:r>
          </w:p>
        </w:tc>
        <w:tc>
          <w:tcPr>
            <w:tcW w:w="810" w:type="dxa"/>
            <w:tcBorders>
              <w:top w:val="single" w:sz="4" w:space="0" w:color="0070C0"/>
              <w:left w:val="single" w:sz="4" w:space="0" w:color="0070C0"/>
              <w:bottom w:val="single" w:sz="4" w:space="0" w:color="0070C0"/>
              <w:right w:val="single" w:sz="4" w:space="0" w:color="0070C0"/>
            </w:tcBorders>
          </w:tcPr>
          <w:p w14:paraId="19A61CCD" w14:textId="3B864D4F" w:rsidR="00566906" w:rsidRPr="008F7BF8" w:rsidRDefault="00566906" w:rsidP="00566906">
            <w:pPr>
              <w:pStyle w:val="TableCellText"/>
              <w:rPr>
                <w:rFonts w:asciiTheme="minorHAnsi" w:hAnsiTheme="minorHAnsi"/>
              </w:rPr>
            </w:pPr>
            <w:r w:rsidRPr="008F7BF8">
              <w:rPr>
                <w:rFonts w:asciiTheme="minorHAnsi" w:hAnsiTheme="minorHAnsi"/>
              </w:rPr>
              <w:t>All</w:t>
            </w:r>
          </w:p>
        </w:tc>
        <w:tc>
          <w:tcPr>
            <w:tcW w:w="677" w:type="dxa"/>
            <w:tcBorders>
              <w:top w:val="single" w:sz="4" w:space="0" w:color="0070C0"/>
              <w:left w:val="single" w:sz="4" w:space="0" w:color="0070C0"/>
              <w:bottom w:val="single" w:sz="4" w:space="0" w:color="0070C0"/>
              <w:right w:val="single" w:sz="4" w:space="0" w:color="0070C0"/>
            </w:tcBorders>
          </w:tcPr>
          <w:p w14:paraId="14ABA896" w14:textId="2A50AF3C" w:rsidR="00566906" w:rsidRPr="008F7BF8" w:rsidRDefault="00566906" w:rsidP="00566906">
            <w:pPr>
              <w:pStyle w:val="TableCellText"/>
              <w:rPr>
                <w:rFonts w:asciiTheme="minorHAnsi" w:hAnsiTheme="minorHAnsi"/>
              </w:rPr>
            </w:pPr>
            <w:r w:rsidRPr="008F7BF8">
              <w:rPr>
                <w:rFonts w:asciiTheme="minorHAnsi" w:hAnsiTheme="minorHAnsi"/>
              </w:rPr>
              <w:t>5</w:t>
            </w:r>
          </w:p>
        </w:tc>
      </w:tr>
      <w:tr w:rsidR="001772D3" w:rsidRPr="00CC451D" w14:paraId="76E53198" w14:textId="77777777" w:rsidTr="00D00390">
        <w:trPr>
          <w:trHeight w:val="24"/>
        </w:trPr>
        <w:tc>
          <w:tcPr>
            <w:tcW w:w="7050" w:type="dxa"/>
            <w:tcBorders>
              <w:top w:val="single" w:sz="4" w:space="0" w:color="0070C0"/>
              <w:left w:val="single" w:sz="4" w:space="0" w:color="0070C0"/>
              <w:bottom w:val="single" w:sz="4" w:space="0" w:color="0070C0"/>
              <w:right w:val="single" w:sz="4" w:space="0" w:color="0070C0"/>
            </w:tcBorders>
            <w:noWrap/>
          </w:tcPr>
          <w:p w14:paraId="1AF394F6" w14:textId="39E783CD" w:rsidR="001772D3" w:rsidRPr="008F7BF8" w:rsidRDefault="00566906" w:rsidP="001772D3">
            <w:pPr>
              <w:pStyle w:val="TableCellText"/>
              <w:rPr>
                <w:rFonts w:asciiTheme="minorHAnsi" w:hAnsiTheme="minorHAnsi"/>
                <w:b/>
              </w:rPr>
            </w:pPr>
            <w:r w:rsidRPr="008F7BF8">
              <w:rPr>
                <w:rFonts w:asciiTheme="minorHAnsi" w:hAnsiTheme="minorHAnsi"/>
                <w:b/>
              </w:rPr>
              <w:lastRenderedPageBreak/>
              <w:t>RCNG</w:t>
            </w:r>
            <w:r w:rsidR="001772D3" w:rsidRPr="008F7BF8">
              <w:rPr>
                <w:rFonts w:asciiTheme="minorHAnsi" w:hAnsiTheme="minorHAnsi"/>
                <w:b/>
              </w:rPr>
              <w:t xml:space="preserve"> in a Low NOx Engine</w:t>
            </w:r>
          </w:p>
          <w:p w14:paraId="0DA66C60" w14:textId="669FF7C8" w:rsidR="001772D3" w:rsidRPr="008F7BF8" w:rsidRDefault="001772D3" w:rsidP="001772D3">
            <w:pPr>
              <w:pStyle w:val="TableCellText"/>
              <w:spacing w:after="120"/>
              <w:ind w:left="199"/>
              <w:rPr>
                <w:rFonts w:asciiTheme="minorHAnsi" w:hAnsiTheme="minorHAnsi"/>
              </w:rPr>
            </w:pPr>
            <w:r w:rsidRPr="008F7BF8">
              <w:rPr>
                <w:rFonts w:asciiTheme="minorHAnsi" w:hAnsiTheme="minorHAnsi"/>
              </w:rPr>
              <w:t xml:space="preserve">This option assumes the use of </w:t>
            </w:r>
            <w:r w:rsidR="00566906" w:rsidRPr="008F7BF8">
              <w:rPr>
                <w:rFonts w:asciiTheme="minorHAnsi" w:hAnsiTheme="minorHAnsi"/>
              </w:rPr>
              <w:t xml:space="preserve">compressed </w:t>
            </w:r>
            <w:r w:rsidRPr="008F7BF8">
              <w:rPr>
                <w:rFonts w:asciiTheme="minorHAnsi" w:hAnsiTheme="minorHAnsi"/>
              </w:rPr>
              <w:t>renewable natural gas (e.g., landfill gas) used in a low-NOx natural gas engine (0.02 g/bhp-hr NOx level). It assumes the purchase of a new CNG low NOx truck and the old truck will be scrapped.</w:t>
            </w:r>
          </w:p>
          <w:p w14:paraId="44984B88" w14:textId="113D1B62" w:rsidR="001772D3" w:rsidRPr="008F7BF8" w:rsidRDefault="001772D3" w:rsidP="001772D3">
            <w:pPr>
              <w:pStyle w:val="TableCellText"/>
              <w:ind w:left="199"/>
              <w:rPr>
                <w:rFonts w:asciiTheme="minorHAnsi" w:hAnsiTheme="minorHAnsi"/>
              </w:rPr>
            </w:pPr>
            <w:r w:rsidRPr="008F7BF8">
              <w:rPr>
                <w:rFonts w:asciiTheme="minorHAnsi" w:hAnsiTheme="minorHAnsi"/>
              </w:rPr>
              <w:t>Although these engines currently are not large enough for use in line</w:t>
            </w:r>
            <w:r w:rsidR="005200D9">
              <w:rPr>
                <w:rFonts w:asciiTheme="minorHAnsi" w:hAnsiTheme="minorHAnsi"/>
                <w:sz w:val="22"/>
              </w:rPr>
              <w:t>-</w:t>
            </w:r>
            <w:r w:rsidRPr="008F7BF8">
              <w:rPr>
                <w:rFonts w:asciiTheme="minorHAnsi" w:hAnsiTheme="minorHAnsi"/>
              </w:rPr>
              <w:t>haul trucks, the tool allows this option for all truck types.</w:t>
            </w:r>
          </w:p>
        </w:tc>
        <w:tc>
          <w:tcPr>
            <w:tcW w:w="810" w:type="dxa"/>
            <w:tcBorders>
              <w:top w:val="single" w:sz="4" w:space="0" w:color="0070C0"/>
              <w:left w:val="single" w:sz="4" w:space="0" w:color="0070C0"/>
              <w:bottom w:val="single" w:sz="4" w:space="0" w:color="0070C0"/>
              <w:right w:val="single" w:sz="4" w:space="0" w:color="0070C0"/>
            </w:tcBorders>
          </w:tcPr>
          <w:p w14:paraId="21968423" w14:textId="70503419" w:rsidR="001772D3" w:rsidRPr="008F7BF8" w:rsidRDefault="001772D3" w:rsidP="001772D3">
            <w:pPr>
              <w:pStyle w:val="TableCellText"/>
              <w:rPr>
                <w:rFonts w:asciiTheme="minorHAnsi" w:hAnsiTheme="minorHAnsi"/>
                <w:highlight w:val="yellow"/>
              </w:rPr>
            </w:pPr>
            <w:r w:rsidRPr="008F7BF8">
              <w:rPr>
                <w:rFonts w:asciiTheme="minorHAnsi" w:hAnsiTheme="minorHAnsi"/>
              </w:rPr>
              <w:t>Dep,</w:t>
            </w:r>
            <w:r w:rsidR="00F402BA">
              <w:rPr>
                <w:rFonts w:asciiTheme="minorHAnsi" w:hAnsiTheme="minorHAnsi"/>
              </w:rPr>
              <w:t>Fund</w:t>
            </w:r>
          </w:p>
        </w:tc>
        <w:tc>
          <w:tcPr>
            <w:tcW w:w="810" w:type="dxa"/>
            <w:tcBorders>
              <w:top w:val="single" w:sz="4" w:space="0" w:color="0070C0"/>
              <w:left w:val="single" w:sz="4" w:space="0" w:color="0070C0"/>
              <w:bottom w:val="single" w:sz="4" w:space="0" w:color="0070C0"/>
              <w:right w:val="single" w:sz="4" w:space="0" w:color="0070C0"/>
            </w:tcBorders>
          </w:tcPr>
          <w:p w14:paraId="2658037D" w14:textId="77777777" w:rsidR="001772D3" w:rsidRPr="008F7BF8" w:rsidRDefault="001772D3" w:rsidP="001772D3">
            <w:pPr>
              <w:pStyle w:val="TableCellText"/>
              <w:rPr>
                <w:rFonts w:asciiTheme="minorHAnsi" w:hAnsiTheme="minorHAnsi"/>
                <w:highlight w:val="yellow"/>
              </w:rPr>
            </w:pPr>
            <w:r w:rsidRPr="008F7BF8">
              <w:rPr>
                <w:rFonts w:asciiTheme="minorHAnsi" w:hAnsiTheme="minorHAnsi"/>
              </w:rPr>
              <w:t>All</w:t>
            </w:r>
          </w:p>
        </w:tc>
        <w:tc>
          <w:tcPr>
            <w:tcW w:w="677" w:type="dxa"/>
            <w:tcBorders>
              <w:top w:val="single" w:sz="4" w:space="0" w:color="0070C0"/>
              <w:left w:val="single" w:sz="4" w:space="0" w:color="0070C0"/>
              <w:bottom w:val="single" w:sz="4" w:space="0" w:color="0070C0"/>
              <w:right w:val="single" w:sz="4" w:space="0" w:color="0070C0"/>
            </w:tcBorders>
          </w:tcPr>
          <w:p w14:paraId="198AA4E9" w14:textId="77777777" w:rsidR="001772D3" w:rsidRPr="008F7BF8" w:rsidRDefault="001772D3" w:rsidP="001772D3">
            <w:pPr>
              <w:pStyle w:val="TableCellText"/>
              <w:rPr>
                <w:rFonts w:asciiTheme="minorHAnsi" w:hAnsiTheme="minorHAnsi"/>
                <w:highlight w:val="yellow"/>
              </w:rPr>
            </w:pPr>
            <w:r w:rsidRPr="008F7BF8">
              <w:rPr>
                <w:rFonts w:asciiTheme="minorHAnsi" w:hAnsiTheme="minorHAnsi"/>
              </w:rPr>
              <w:t>All</w:t>
            </w:r>
          </w:p>
        </w:tc>
      </w:tr>
      <w:tr w:rsidR="001772D3" w:rsidRPr="00CC451D" w14:paraId="124EBBD5" w14:textId="77777777" w:rsidTr="00D00390">
        <w:trPr>
          <w:trHeight w:val="24"/>
        </w:trPr>
        <w:tc>
          <w:tcPr>
            <w:tcW w:w="7050" w:type="dxa"/>
            <w:tcBorders>
              <w:top w:val="single" w:sz="4" w:space="0" w:color="0070C0"/>
              <w:left w:val="single" w:sz="4" w:space="0" w:color="0070C0"/>
              <w:bottom w:val="single" w:sz="4" w:space="0" w:color="0070C0"/>
              <w:right w:val="single" w:sz="4" w:space="0" w:color="0070C0"/>
            </w:tcBorders>
            <w:noWrap/>
          </w:tcPr>
          <w:p w14:paraId="14CAE97E" w14:textId="0F60EB89" w:rsidR="001772D3" w:rsidRPr="008F7BF8" w:rsidRDefault="00EB3C45" w:rsidP="001772D3">
            <w:pPr>
              <w:pStyle w:val="TableCellText"/>
              <w:rPr>
                <w:rFonts w:asciiTheme="minorHAnsi" w:hAnsiTheme="minorHAnsi"/>
                <w:b/>
              </w:rPr>
            </w:pPr>
            <w:r w:rsidRPr="008F7BF8">
              <w:rPr>
                <w:rFonts w:asciiTheme="minorHAnsi" w:hAnsiTheme="minorHAnsi"/>
                <w:b/>
              </w:rPr>
              <w:t>R</w:t>
            </w:r>
            <w:r w:rsidR="001772D3" w:rsidRPr="008F7BF8">
              <w:rPr>
                <w:rFonts w:asciiTheme="minorHAnsi" w:hAnsiTheme="minorHAnsi"/>
                <w:b/>
              </w:rPr>
              <w:t>LNG in a Low NOx Engine</w:t>
            </w:r>
          </w:p>
          <w:p w14:paraId="476C4B68" w14:textId="4721E615" w:rsidR="001772D3" w:rsidRPr="008F7BF8" w:rsidRDefault="001772D3" w:rsidP="001772D3">
            <w:pPr>
              <w:pStyle w:val="TableCellText"/>
              <w:spacing w:after="120"/>
              <w:ind w:left="199"/>
            </w:pPr>
            <w:r w:rsidRPr="008F7BF8">
              <w:t xml:space="preserve">This option assumes </w:t>
            </w:r>
            <w:r w:rsidR="00566906" w:rsidRPr="008F7BF8">
              <w:t xml:space="preserve">the use of liquefied natural gas (e.g., landfill gas) used in a low-NOx natural gas engine (0.02 g/bhp-hr NOx level). It assumes </w:t>
            </w:r>
            <w:r w:rsidRPr="008F7BF8">
              <w:t>the purchase of a new LNG low NOx truck and the old truck will be scrapped.</w:t>
            </w:r>
          </w:p>
          <w:p w14:paraId="2095BD4F" w14:textId="4FEB9772" w:rsidR="001772D3" w:rsidRPr="008F7BF8" w:rsidRDefault="00566906" w:rsidP="00566906">
            <w:pPr>
              <w:pStyle w:val="TableCellText"/>
              <w:spacing w:after="120"/>
              <w:ind w:left="199"/>
              <w:rPr>
                <w:rFonts w:asciiTheme="minorHAnsi" w:hAnsiTheme="minorHAnsi"/>
              </w:rPr>
            </w:pPr>
            <w:r w:rsidRPr="008F7BF8">
              <w:rPr>
                <w:rFonts w:asciiTheme="minorHAnsi" w:hAnsiTheme="minorHAnsi"/>
              </w:rPr>
              <w:t>Although these engines currently are not large enough for use in line</w:t>
            </w:r>
            <w:r w:rsidR="005200D9">
              <w:rPr>
                <w:rFonts w:asciiTheme="minorHAnsi" w:hAnsiTheme="minorHAnsi"/>
                <w:sz w:val="22"/>
              </w:rPr>
              <w:t>-</w:t>
            </w:r>
            <w:r w:rsidRPr="008F7BF8">
              <w:rPr>
                <w:rFonts w:asciiTheme="minorHAnsi" w:hAnsiTheme="minorHAnsi"/>
              </w:rPr>
              <w:t>haul trucks, the tool allows this option for all truck types.</w:t>
            </w:r>
          </w:p>
        </w:tc>
        <w:tc>
          <w:tcPr>
            <w:tcW w:w="810" w:type="dxa"/>
            <w:tcBorders>
              <w:top w:val="single" w:sz="4" w:space="0" w:color="0070C0"/>
              <w:left w:val="single" w:sz="4" w:space="0" w:color="0070C0"/>
              <w:bottom w:val="single" w:sz="4" w:space="0" w:color="0070C0"/>
              <w:right w:val="single" w:sz="4" w:space="0" w:color="0070C0"/>
            </w:tcBorders>
          </w:tcPr>
          <w:p w14:paraId="2B8C4216" w14:textId="1C1DCDB4" w:rsidR="001772D3" w:rsidRPr="008F7BF8" w:rsidRDefault="001772D3" w:rsidP="001772D3">
            <w:pPr>
              <w:pStyle w:val="TableCellText"/>
              <w:rPr>
                <w:rFonts w:asciiTheme="minorHAnsi" w:hAnsiTheme="minorHAnsi"/>
                <w:highlight w:val="yellow"/>
              </w:rPr>
            </w:pPr>
            <w:r w:rsidRPr="008F7BF8">
              <w:rPr>
                <w:rFonts w:asciiTheme="minorHAnsi" w:hAnsiTheme="minorHAnsi"/>
              </w:rPr>
              <w:t>Dep,</w:t>
            </w:r>
            <w:r w:rsidR="00F402BA">
              <w:rPr>
                <w:rFonts w:asciiTheme="minorHAnsi" w:hAnsiTheme="minorHAnsi"/>
              </w:rPr>
              <w:t>Fund</w:t>
            </w:r>
          </w:p>
        </w:tc>
        <w:tc>
          <w:tcPr>
            <w:tcW w:w="810" w:type="dxa"/>
            <w:tcBorders>
              <w:top w:val="single" w:sz="4" w:space="0" w:color="0070C0"/>
              <w:left w:val="single" w:sz="4" w:space="0" w:color="0070C0"/>
              <w:bottom w:val="single" w:sz="4" w:space="0" w:color="0070C0"/>
              <w:right w:val="single" w:sz="4" w:space="0" w:color="0070C0"/>
            </w:tcBorders>
          </w:tcPr>
          <w:p w14:paraId="3ED01D49" w14:textId="77777777" w:rsidR="001772D3" w:rsidRPr="008F7BF8" w:rsidRDefault="001772D3" w:rsidP="001772D3">
            <w:pPr>
              <w:pStyle w:val="TableCellText"/>
              <w:rPr>
                <w:rFonts w:asciiTheme="minorHAnsi" w:hAnsiTheme="minorHAnsi"/>
                <w:highlight w:val="yellow"/>
              </w:rPr>
            </w:pPr>
            <w:r w:rsidRPr="008F7BF8">
              <w:rPr>
                <w:rFonts w:asciiTheme="minorHAnsi" w:hAnsiTheme="minorHAnsi"/>
              </w:rPr>
              <w:t>All</w:t>
            </w:r>
          </w:p>
        </w:tc>
        <w:tc>
          <w:tcPr>
            <w:tcW w:w="677" w:type="dxa"/>
            <w:tcBorders>
              <w:top w:val="single" w:sz="4" w:space="0" w:color="0070C0"/>
              <w:left w:val="single" w:sz="4" w:space="0" w:color="0070C0"/>
              <w:bottom w:val="single" w:sz="4" w:space="0" w:color="0070C0"/>
              <w:right w:val="single" w:sz="4" w:space="0" w:color="0070C0"/>
            </w:tcBorders>
          </w:tcPr>
          <w:p w14:paraId="51004472" w14:textId="77777777" w:rsidR="001772D3" w:rsidRPr="008F7BF8" w:rsidRDefault="001772D3" w:rsidP="001772D3">
            <w:pPr>
              <w:pStyle w:val="TableCellText"/>
              <w:rPr>
                <w:rFonts w:asciiTheme="minorHAnsi" w:hAnsiTheme="minorHAnsi"/>
                <w:highlight w:val="yellow"/>
              </w:rPr>
            </w:pPr>
            <w:r w:rsidRPr="008F7BF8">
              <w:rPr>
                <w:rFonts w:asciiTheme="minorHAnsi" w:hAnsiTheme="minorHAnsi"/>
              </w:rPr>
              <w:t>5</w:t>
            </w:r>
          </w:p>
        </w:tc>
      </w:tr>
      <w:tr w:rsidR="001772D3" w:rsidRPr="00CC451D" w14:paraId="5AFB06E2" w14:textId="77777777" w:rsidTr="00D00390">
        <w:trPr>
          <w:trHeight w:val="300"/>
        </w:trPr>
        <w:tc>
          <w:tcPr>
            <w:tcW w:w="7050" w:type="dxa"/>
            <w:tcBorders>
              <w:top w:val="single" w:sz="4" w:space="0" w:color="0070C0"/>
              <w:left w:val="single" w:sz="4" w:space="0" w:color="0070C0"/>
              <w:bottom w:val="single" w:sz="4" w:space="0" w:color="0070C0"/>
              <w:right w:val="single" w:sz="4" w:space="0" w:color="0070C0"/>
            </w:tcBorders>
            <w:noWrap/>
          </w:tcPr>
          <w:p w14:paraId="71889BDD" w14:textId="77777777" w:rsidR="001772D3" w:rsidRPr="008F7BF8" w:rsidRDefault="001772D3" w:rsidP="001772D3">
            <w:pPr>
              <w:pStyle w:val="TableCellText"/>
              <w:rPr>
                <w:rFonts w:asciiTheme="minorHAnsi" w:hAnsiTheme="minorHAnsi"/>
                <w:b/>
              </w:rPr>
            </w:pPr>
            <w:r w:rsidRPr="008F7BF8">
              <w:rPr>
                <w:rFonts w:asciiTheme="minorHAnsi" w:hAnsiTheme="minorHAnsi"/>
                <w:b/>
              </w:rPr>
              <w:t>Propane</w:t>
            </w:r>
          </w:p>
          <w:p w14:paraId="20D0640C" w14:textId="77777777" w:rsidR="001772D3" w:rsidRPr="008F7BF8" w:rsidRDefault="001772D3" w:rsidP="001772D3">
            <w:pPr>
              <w:pStyle w:val="TableCellText"/>
              <w:spacing w:after="120"/>
              <w:ind w:left="199"/>
              <w:rPr>
                <w:rFonts w:asciiTheme="minorHAnsi" w:hAnsiTheme="minorHAnsi"/>
              </w:rPr>
            </w:pPr>
            <w:r w:rsidRPr="008F7BF8">
              <w:rPr>
                <w:rFonts w:asciiTheme="minorHAnsi" w:hAnsiTheme="minorHAnsi"/>
              </w:rPr>
              <w:t>This option in the Tool assumes the purchase of a new LPG truck, and the old truck will be scrapped.</w:t>
            </w:r>
          </w:p>
          <w:p w14:paraId="759AF673" w14:textId="3E692B56" w:rsidR="001772D3" w:rsidRPr="008F7BF8" w:rsidRDefault="001772D3" w:rsidP="001772D3">
            <w:pPr>
              <w:pStyle w:val="TableCellText"/>
              <w:ind w:left="199"/>
              <w:rPr>
                <w:rFonts w:asciiTheme="minorHAnsi" w:hAnsiTheme="minorHAnsi"/>
              </w:rPr>
            </w:pPr>
            <w:r w:rsidRPr="008F7BF8">
              <w:rPr>
                <w:rFonts w:asciiTheme="minorHAnsi" w:hAnsiTheme="minorHAnsi"/>
              </w:rPr>
              <w:t>Also referred to as liquefied petroleum gas (LPG), propane is well suited for gasoline engines because it has a high octane rating.</w:t>
            </w:r>
          </w:p>
        </w:tc>
        <w:tc>
          <w:tcPr>
            <w:tcW w:w="810" w:type="dxa"/>
            <w:tcBorders>
              <w:top w:val="single" w:sz="4" w:space="0" w:color="0070C0"/>
              <w:left w:val="single" w:sz="4" w:space="0" w:color="0070C0"/>
              <w:bottom w:val="single" w:sz="4" w:space="0" w:color="0070C0"/>
              <w:right w:val="single" w:sz="4" w:space="0" w:color="0070C0"/>
            </w:tcBorders>
          </w:tcPr>
          <w:p w14:paraId="54ED8EAA" w14:textId="63B05DE1" w:rsidR="001772D3" w:rsidRPr="008F7BF8" w:rsidRDefault="001772D3" w:rsidP="001772D3">
            <w:pPr>
              <w:pStyle w:val="TableCellText"/>
              <w:rPr>
                <w:rFonts w:asciiTheme="minorHAnsi" w:hAnsiTheme="minorHAnsi"/>
              </w:rPr>
            </w:pPr>
            <w:r w:rsidRPr="008F7BF8">
              <w:rPr>
                <w:rFonts w:asciiTheme="minorHAnsi" w:hAnsiTheme="minorHAnsi"/>
              </w:rPr>
              <w:t>Dep,</w:t>
            </w:r>
            <w:r w:rsidR="00F402BA">
              <w:rPr>
                <w:rFonts w:asciiTheme="minorHAnsi" w:hAnsiTheme="minorHAnsi"/>
              </w:rPr>
              <w:t>Fund</w:t>
            </w:r>
          </w:p>
        </w:tc>
        <w:tc>
          <w:tcPr>
            <w:tcW w:w="810" w:type="dxa"/>
            <w:tcBorders>
              <w:top w:val="single" w:sz="4" w:space="0" w:color="0070C0"/>
              <w:left w:val="single" w:sz="4" w:space="0" w:color="0070C0"/>
              <w:bottom w:val="single" w:sz="4" w:space="0" w:color="0070C0"/>
              <w:right w:val="single" w:sz="4" w:space="0" w:color="0070C0"/>
            </w:tcBorders>
          </w:tcPr>
          <w:p w14:paraId="3886F762" w14:textId="77777777" w:rsidR="001772D3" w:rsidRPr="008F7BF8" w:rsidRDefault="001772D3" w:rsidP="001772D3">
            <w:pPr>
              <w:pStyle w:val="TableCellText"/>
              <w:rPr>
                <w:rFonts w:asciiTheme="minorHAnsi" w:hAnsiTheme="minorHAnsi"/>
              </w:rPr>
            </w:pPr>
            <w:r w:rsidRPr="008F7BF8">
              <w:rPr>
                <w:rFonts w:asciiTheme="minorHAnsi" w:hAnsiTheme="minorHAnsi"/>
              </w:rPr>
              <w:t>All</w:t>
            </w:r>
          </w:p>
        </w:tc>
        <w:tc>
          <w:tcPr>
            <w:tcW w:w="677" w:type="dxa"/>
            <w:tcBorders>
              <w:top w:val="single" w:sz="4" w:space="0" w:color="0070C0"/>
              <w:left w:val="single" w:sz="4" w:space="0" w:color="0070C0"/>
              <w:bottom w:val="single" w:sz="4" w:space="0" w:color="0070C0"/>
              <w:right w:val="single" w:sz="4" w:space="0" w:color="0070C0"/>
            </w:tcBorders>
          </w:tcPr>
          <w:p w14:paraId="2CCD4C76" w14:textId="77777777" w:rsidR="001772D3" w:rsidRPr="008F7BF8" w:rsidRDefault="001772D3" w:rsidP="001772D3">
            <w:pPr>
              <w:pStyle w:val="TableCellText"/>
              <w:rPr>
                <w:rFonts w:asciiTheme="minorHAnsi" w:hAnsiTheme="minorHAnsi"/>
              </w:rPr>
            </w:pPr>
            <w:r w:rsidRPr="008F7BF8">
              <w:rPr>
                <w:rFonts w:asciiTheme="minorHAnsi" w:hAnsiTheme="minorHAnsi"/>
              </w:rPr>
              <w:t>1,2</w:t>
            </w:r>
          </w:p>
        </w:tc>
      </w:tr>
      <w:tr w:rsidR="001772D3" w:rsidRPr="00CC451D" w14:paraId="592CDF02" w14:textId="77777777" w:rsidTr="00D00390">
        <w:trPr>
          <w:trHeight w:val="300"/>
        </w:trPr>
        <w:tc>
          <w:tcPr>
            <w:tcW w:w="7050" w:type="dxa"/>
            <w:tcBorders>
              <w:top w:val="single" w:sz="4" w:space="0" w:color="0070C0"/>
              <w:left w:val="single" w:sz="4" w:space="0" w:color="0070C0"/>
              <w:bottom w:val="single" w:sz="4" w:space="0" w:color="0070C0"/>
              <w:right w:val="single" w:sz="4" w:space="0" w:color="0070C0"/>
            </w:tcBorders>
            <w:noWrap/>
          </w:tcPr>
          <w:p w14:paraId="6B43F8E5" w14:textId="77777777" w:rsidR="001772D3" w:rsidRPr="00924279" w:rsidRDefault="001772D3" w:rsidP="001772D3">
            <w:pPr>
              <w:pStyle w:val="TableCellText"/>
              <w:rPr>
                <w:rFonts w:asciiTheme="minorHAnsi" w:hAnsiTheme="minorHAnsi"/>
                <w:b/>
              </w:rPr>
            </w:pPr>
            <w:r w:rsidRPr="00924279">
              <w:rPr>
                <w:rFonts w:asciiTheme="minorHAnsi" w:hAnsiTheme="minorHAnsi"/>
                <w:b/>
              </w:rPr>
              <w:t>Biodiesel (B20)</w:t>
            </w:r>
          </w:p>
          <w:p w14:paraId="29B05F81" w14:textId="77777777" w:rsidR="001772D3" w:rsidRPr="00924279" w:rsidRDefault="001772D3" w:rsidP="001772D3">
            <w:pPr>
              <w:pStyle w:val="TableCellText"/>
              <w:spacing w:after="120"/>
              <w:ind w:left="199"/>
              <w:rPr>
                <w:rFonts w:asciiTheme="minorHAnsi" w:hAnsiTheme="minorHAnsi"/>
              </w:rPr>
            </w:pPr>
            <w:r w:rsidRPr="00924279">
              <w:rPr>
                <w:rFonts w:asciiTheme="minorHAnsi" w:hAnsiTheme="minorHAnsi"/>
              </w:rPr>
              <w:t>This option is a “drop-in” fuel, meaning it can be used in any diesel engine (although older diesel engines may have issues with pump seals); the Tool assumes no scrapping of old trucks and no purchasing of new trucks.</w:t>
            </w:r>
          </w:p>
          <w:p w14:paraId="6E4CAA82" w14:textId="77777777" w:rsidR="001772D3" w:rsidRPr="00924279" w:rsidRDefault="001772D3" w:rsidP="001772D3">
            <w:pPr>
              <w:pStyle w:val="TableCellText"/>
              <w:ind w:left="199"/>
              <w:rPr>
                <w:rFonts w:asciiTheme="minorHAnsi" w:hAnsiTheme="minorHAnsi"/>
              </w:rPr>
            </w:pPr>
            <w:r w:rsidRPr="00924279">
              <w:rPr>
                <w:rFonts w:asciiTheme="minorHAnsi" w:hAnsiTheme="minorHAnsi"/>
              </w:rPr>
              <w:t>Biodiesel is a fatty acid methyl ester (FAME) that can be synthesized from vegetable oils, waste oils, fats, and grease. Biodiesel is usually blended with petroleum diesel. B20 is a 20% blend of biodiesel by volume with petroleum diesel. As of April 2016, there were 206 public biodiesel stations and 484 private stations in the US.</w:t>
            </w:r>
          </w:p>
        </w:tc>
        <w:tc>
          <w:tcPr>
            <w:tcW w:w="810" w:type="dxa"/>
            <w:tcBorders>
              <w:top w:val="single" w:sz="4" w:space="0" w:color="0070C0"/>
              <w:left w:val="single" w:sz="4" w:space="0" w:color="0070C0"/>
              <w:bottom w:val="single" w:sz="4" w:space="0" w:color="0070C0"/>
              <w:right w:val="single" w:sz="4" w:space="0" w:color="0070C0"/>
            </w:tcBorders>
          </w:tcPr>
          <w:p w14:paraId="0E36247B" w14:textId="77777777" w:rsidR="001772D3" w:rsidRPr="00924279" w:rsidRDefault="001772D3" w:rsidP="001772D3">
            <w:pPr>
              <w:pStyle w:val="TableCellText"/>
              <w:rPr>
                <w:rFonts w:asciiTheme="minorHAnsi" w:hAnsiTheme="minorHAnsi"/>
              </w:rPr>
            </w:pPr>
            <w:r w:rsidRPr="00924279">
              <w:rPr>
                <w:rFonts w:asciiTheme="minorHAnsi" w:hAnsiTheme="minorHAnsi"/>
              </w:rPr>
              <w:t>Dep</w:t>
            </w:r>
          </w:p>
        </w:tc>
        <w:tc>
          <w:tcPr>
            <w:tcW w:w="810" w:type="dxa"/>
            <w:tcBorders>
              <w:top w:val="single" w:sz="4" w:space="0" w:color="0070C0"/>
              <w:left w:val="single" w:sz="4" w:space="0" w:color="0070C0"/>
              <w:bottom w:val="single" w:sz="4" w:space="0" w:color="0070C0"/>
              <w:right w:val="single" w:sz="4" w:space="0" w:color="0070C0"/>
            </w:tcBorders>
          </w:tcPr>
          <w:p w14:paraId="4E2241D9" w14:textId="77777777" w:rsidR="001772D3" w:rsidRPr="00924279" w:rsidRDefault="001772D3" w:rsidP="001772D3">
            <w:pPr>
              <w:pStyle w:val="TableCellText"/>
              <w:rPr>
                <w:rFonts w:asciiTheme="minorHAnsi" w:hAnsiTheme="minorHAnsi"/>
              </w:rPr>
            </w:pPr>
            <w:r w:rsidRPr="00924279">
              <w:rPr>
                <w:rFonts w:asciiTheme="minorHAnsi" w:hAnsiTheme="minorHAnsi"/>
              </w:rPr>
              <w:t>All</w:t>
            </w:r>
          </w:p>
        </w:tc>
        <w:tc>
          <w:tcPr>
            <w:tcW w:w="677" w:type="dxa"/>
            <w:tcBorders>
              <w:top w:val="single" w:sz="4" w:space="0" w:color="0070C0"/>
              <w:left w:val="single" w:sz="4" w:space="0" w:color="0070C0"/>
              <w:bottom w:val="single" w:sz="4" w:space="0" w:color="0070C0"/>
              <w:right w:val="single" w:sz="4" w:space="0" w:color="0070C0"/>
            </w:tcBorders>
          </w:tcPr>
          <w:p w14:paraId="13450065" w14:textId="77777777" w:rsidR="001772D3" w:rsidRPr="00924279" w:rsidRDefault="001772D3" w:rsidP="001772D3">
            <w:pPr>
              <w:pStyle w:val="TableCellText"/>
              <w:rPr>
                <w:rFonts w:asciiTheme="minorHAnsi" w:hAnsiTheme="minorHAnsi"/>
              </w:rPr>
            </w:pPr>
            <w:r w:rsidRPr="00924279">
              <w:rPr>
                <w:rFonts w:asciiTheme="minorHAnsi" w:hAnsiTheme="minorHAnsi"/>
              </w:rPr>
              <w:t>2,3,4,5</w:t>
            </w:r>
          </w:p>
        </w:tc>
      </w:tr>
      <w:tr w:rsidR="001772D3" w:rsidRPr="00CC451D" w14:paraId="126EB8DD" w14:textId="77777777" w:rsidTr="00D00390">
        <w:trPr>
          <w:trHeight w:val="300"/>
        </w:trPr>
        <w:tc>
          <w:tcPr>
            <w:tcW w:w="7050" w:type="dxa"/>
            <w:tcBorders>
              <w:top w:val="single" w:sz="4" w:space="0" w:color="0070C0"/>
              <w:left w:val="single" w:sz="4" w:space="0" w:color="0070C0"/>
              <w:bottom w:val="single" w:sz="4" w:space="0" w:color="0070C0"/>
              <w:right w:val="single" w:sz="4" w:space="0" w:color="0070C0"/>
            </w:tcBorders>
            <w:noWrap/>
          </w:tcPr>
          <w:p w14:paraId="29743209" w14:textId="77777777" w:rsidR="001772D3" w:rsidRPr="00924279" w:rsidRDefault="001772D3" w:rsidP="001772D3">
            <w:pPr>
              <w:pStyle w:val="TableCellText"/>
              <w:rPr>
                <w:rFonts w:asciiTheme="minorHAnsi" w:hAnsiTheme="minorHAnsi"/>
                <w:b/>
              </w:rPr>
            </w:pPr>
            <w:r w:rsidRPr="00924279">
              <w:rPr>
                <w:rFonts w:asciiTheme="minorHAnsi" w:hAnsiTheme="minorHAnsi"/>
                <w:b/>
              </w:rPr>
              <w:t>Renewable Diesel (R100)</w:t>
            </w:r>
          </w:p>
          <w:p w14:paraId="69B042BB" w14:textId="77777777" w:rsidR="001772D3" w:rsidRPr="00924279" w:rsidRDefault="001772D3" w:rsidP="001772D3">
            <w:pPr>
              <w:pStyle w:val="TableCellText"/>
              <w:spacing w:after="120"/>
              <w:ind w:left="199"/>
              <w:rPr>
                <w:rFonts w:asciiTheme="minorHAnsi" w:hAnsiTheme="minorHAnsi"/>
              </w:rPr>
            </w:pPr>
            <w:r w:rsidRPr="00924279">
              <w:rPr>
                <w:rFonts w:asciiTheme="minorHAnsi" w:hAnsiTheme="minorHAnsi"/>
              </w:rPr>
              <w:t>This option is a “drop-in” replacement for petroleum diesel and therefore can be used anywhere petroleum diesel is used; the Tool assumes no scrapping of old trucks and no purchasing of new trucks.</w:t>
            </w:r>
          </w:p>
          <w:p w14:paraId="29FCFA5E" w14:textId="77777777" w:rsidR="001772D3" w:rsidRPr="00924279" w:rsidRDefault="001772D3" w:rsidP="001772D3">
            <w:pPr>
              <w:pStyle w:val="TableCellText"/>
              <w:ind w:left="199"/>
              <w:rPr>
                <w:rFonts w:asciiTheme="minorHAnsi" w:hAnsiTheme="minorHAnsi"/>
              </w:rPr>
            </w:pPr>
            <w:r w:rsidRPr="00924279">
              <w:rPr>
                <w:rFonts w:asciiTheme="minorHAnsi" w:hAnsiTheme="minorHAnsi"/>
              </w:rPr>
              <w:t>Renewable diesel is generally made by hydrotreating FAME, which yields a drop-in replacement for diesel. R100 meets the American Society of the International Association for Testing and Materials petroleum diesel specification and makes it compatible with existing diesel infrastructure and vehicles. R100 has a lower cetane rating than biodiesel, thus limiting the NO</w:t>
            </w:r>
            <w:r w:rsidRPr="00924279">
              <w:rPr>
                <w:rFonts w:asciiTheme="minorHAnsi" w:hAnsiTheme="minorHAnsi"/>
                <w:vertAlign w:val="subscript"/>
              </w:rPr>
              <w:t>x</w:t>
            </w:r>
            <w:r w:rsidRPr="00924279">
              <w:rPr>
                <w:rFonts w:asciiTheme="minorHAnsi" w:hAnsiTheme="minorHAnsi"/>
              </w:rPr>
              <w:t xml:space="preserve"> increases typically experienced with FAME fuels.</w:t>
            </w:r>
          </w:p>
        </w:tc>
        <w:tc>
          <w:tcPr>
            <w:tcW w:w="810" w:type="dxa"/>
            <w:tcBorders>
              <w:top w:val="single" w:sz="4" w:space="0" w:color="0070C0"/>
              <w:left w:val="single" w:sz="4" w:space="0" w:color="0070C0"/>
              <w:bottom w:val="single" w:sz="4" w:space="0" w:color="0070C0"/>
              <w:right w:val="single" w:sz="4" w:space="0" w:color="0070C0"/>
            </w:tcBorders>
          </w:tcPr>
          <w:p w14:paraId="691DBA58" w14:textId="77777777" w:rsidR="001772D3" w:rsidRPr="00924279" w:rsidRDefault="001772D3" w:rsidP="001772D3">
            <w:pPr>
              <w:pStyle w:val="TableCellText"/>
              <w:rPr>
                <w:rFonts w:asciiTheme="minorHAnsi" w:hAnsiTheme="minorHAnsi"/>
              </w:rPr>
            </w:pPr>
            <w:r w:rsidRPr="00924279">
              <w:rPr>
                <w:rFonts w:asciiTheme="minorHAnsi" w:hAnsiTheme="minorHAnsi"/>
              </w:rPr>
              <w:t>Dep</w:t>
            </w:r>
          </w:p>
        </w:tc>
        <w:tc>
          <w:tcPr>
            <w:tcW w:w="810" w:type="dxa"/>
            <w:tcBorders>
              <w:top w:val="single" w:sz="4" w:space="0" w:color="0070C0"/>
              <w:left w:val="single" w:sz="4" w:space="0" w:color="0070C0"/>
              <w:bottom w:val="single" w:sz="4" w:space="0" w:color="0070C0"/>
              <w:right w:val="single" w:sz="4" w:space="0" w:color="0070C0"/>
            </w:tcBorders>
          </w:tcPr>
          <w:p w14:paraId="3482A5C6" w14:textId="77777777" w:rsidR="001772D3" w:rsidRPr="00924279" w:rsidRDefault="001772D3" w:rsidP="001772D3">
            <w:pPr>
              <w:pStyle w:val="TableCellText"/>
              <w:rPr>
                <w:rFonts w:asciiTheme="minorHAnsi" w:hAnsiTheme="minorHAnsi"/>
              </w:rPr>
            </w:pPr>
            <w:r w:rsidRPr="00924279">
              <w:rPr>
                <w:rFonts w:asciiTheme="minorHAnsi" w:hAnsiTheme="minorHAnsi"/>
              </w:rPr>
              <w:t>All</w:t>
            </w:r>
          </w:p>
        </w:tc>
        <w:tc>
          <w:tcPr>
            <w:tcW w:w="677" w:type="dxa"/>
            <w:tcBorders>
              <w:top w:val="single" w:sz="4" w:space="0" w:color="0070C0"/>
              <w:left w:val="single" w:sz="4" w:space="0" w:color="0070C0"/>
              <w:bottom w:val="single" w:sz="4" w:space="0" w:color="0070C0"/>
              <w:right w:val="single" w:sz="4" w:space="0" w:color="0070C0"/>
            </w:tcBorders>
          </w:tcPr>
          <w:p w14:paraId="131E74AC" w14:textId="77777777" w:rsidR="001772D3" w:rsidRPr="00924279" w:rsidRDefault="001772D3" w:rsidP="001772D3">
            <w:pPr>
              <w:pStyle w:val="TableCellText"/>
              <w:rPr>
                <w:rFonts w:asciiTheme="minorHAnsi" w:hAnsiTheme="minorHAnsi"/>
              </w:rPr>
            </w:pPr>
            <w:r w:rsidRPr="00924279">
              <w:rPr>
                <w:rFonts w:asciiTheme="minorHAnsi" w:hAnsiTheme="minorHAnsi"/>
              </w:rPr>
              <w:t>2,3,4,5</w:t>
            </w:r>
          </w:p>
        </w:tc>
      </w:tr>
      <w:tr w:rsidR="001772D3" w:rsidRPr="00CC451D" w14:paraId="004A5FC4" w14:textId="77777777" w:rsidTr="00D00390">
        <w:trPr>
          <w:trHeight w:val="300"/>
        </w:trPr>
        <w:tc>
          <w:tcPr>
            <w:tcW w:w="7050" w:type="dxa"/>
            <w:tcBorders>
              <w:top w:val="single" w:sz="4" w:space="0" w:color="0070C0"/>
              <w:left w:val="single" w:sz="4" w:space="0" w:color="0070C0"/>
              <w:bottom w:val="single" w:sz="4" w:space="0" w:color="0070C0"/>
              <w:right w:val="single" w:sz="4" w:space="0" w:color="0070C0"/>
            </w:tcBorders>
            <w:noWrap/>
          </w:tcPr>
          <w:p w14:paraId="3CB6A99D" w14:textId="77777777" w:rsidR="001772D3" w:rsidRPr="00924279" w:rsidRDefault="001772D3" w:rsidP="001772D3">
            <w:pPr>
              <w:pStyle w:val="TableCellText"/>
              <w:rPr>
                <w:rFonts w:asciiTheme="minorHAnsi" w:hAnsiTheme="minorHAnsi"/>
                <w:b/>
              </w:rPr>
            </w:pPr>
            <w:r w:rsidRPr="00924279">
              <w:rPr>
                <w:rFonts w:asciiTheme="minorHAnsi" w:hAnsiTheme="minorHAnsi"/>
                <w:b/>
              </w:rPr>
              <w:t>Hybrid</w:t>
            </w:r>
          </w:p>
          <w:p w14:paraId="4695AFC5" w14:textId="77777777" w:rsidR="001772D3" w:rsidRPr="00924279" w:rsidRDefault="001772D3" w:rsidP="001772D3">
            <w:pPr>
              <w:pStyle w:val="TableCellText"/>
              <w:spacing w:after="120"/>
              <w:ind w:left="199"/>
              <w:rPr>
                <w:rFonts w:asciiTheme="minorHAnsi" w:hAnsiTheme="minorHAnsi"/>
              </w:rPr>
            </w:pPr>
            <w:r w:rsidRPr="00924279">
              <w:rPr>
                <w:rFonts w:asciiTheme="minorHAnsi" w:hAnsiTheme="minorHAnsi"/>
              </w:rPr>
              <w:t>This option in the Tool assumes the purchase of a new hybrid truck, and the old truck will be scrapped.</w:t>
            </w:r>
          </w:p>
          <w:p w14:paraId="7784FA32" w14:textId="77777777" w:rsidR="001772D3" w:rsidRPr="00924279" w:rsidRDefault="001772D3" w:rsidP="001772D3">
            <w:pPr>
              <w:pStyle w:val="TableCellText"/>
              <w:ind w:left="199"/>
              <w:rPr>
                <w:rFonts w:asciiTheme="minorHAnsi" w:hAnsiTheme="minorHAnsi"/>
              </w:rPr>
            </w:pPr>
            <w:r w:rsidRPr="00924279">
              <w:rPr>
                <w:rFonts w:asciiTheme="minorHAnsi" w:hAnsiTheme="minorHAnsi"/>
              </w:rPr>
              <w:t>In a hybrid truck, a diesel or gasoline engine is paired with an electric motor/generator or hydraulics. Hybrid applications tend to have the greatest fuel-efficiency improvements and emission-reductions benefits for smaller trucks that are more engaged in stop-and-go traffic, idling, or where parasitic loads on engines for air conditioning or other vehicle utilities are common.</w:t>
            </w:r>
          </w:p>
        </w:tc>
        <w:tc>
          <w:tcPr>
            <w:tcW w:w="810" w:type="dxa"/>
            <w:tcBorders>
              <w:top w:val="single" w:sz="4" w:space="0" w:color="0070C0"/>
              <w:left w:val="single" w:sz="4" w:space="0" w:color="0070C0"/>
              <w:bottom w:val="single" w:sz="4" w:space="0" w:color="0070C0"/>
              <w:right w:val="single" w:sz="4" w:space="0" w:color="0070C0"/>
            </w:tcBorders>
          </w:tcPr>
          <w:p w14:paraId="437F4401" w14:textId="77777777" w:rsidR="001772D3" w:rsidRPr="00924279" w:rsidRDefault="001772D3" w:rsidP="001772D3">
            <w:pPr>
              <w:pStyle w:val="TableCellText"/>
              <w:rPr>
                <w:rFonts w:asciiTheme="minorHAnsi" w:hAnsiTheme="minorHAnsi"/>
              </w:rPr>
            </w:pPr>
            <w:r w:rsidRPr="00924279">
              <w:rPr>
                <w:rFonts w:asciiTheme="minorHAnsi" w:hAnsiTheme="minorHAnsi"/>
              </w:rPr>
              <w:t>All</w:t>
            </w:r>
          </w:p>
        </w:tc>
        <w:tc>
          <w:tcPr>
            <w:tcW w:w="810" w:type="dxa"/>
            <w:tcBorders>
              <w:top w:val="single" w:sz="4" w:space="0" w:color="0070C0"/>
              <w:left w:val="single" w:sz="4" w:space="0" w:color="0070C0"/>
              <w:bottom w:val="single" w:sz="4" w:space="0" w:color="0070C0"/>
              <w:right w:val="single" w:sz="4" w:space="0" w:color="0070C0"/>
            </w:tcBorders>
          </w:tcPr>
          <w:p w14:paraId="0460AD50" w14:textId="77777777" w:rsidR="001772D3" w:rsidRPr="00924279" w:rsidRDefault="001772D3" w:rsidP="001772D3">
            <w:pPr>
              <w:pStyle w:val="TableCellText"/>
              <w:rPr>
                <w:rFonts w:asciiTheme="minorHAnsi" w:hAnsiTheme="minorHAnsi"/>
              </w:rPr>
            </w:pPr>
            <w:r w:rsidRPr="00924279">
              <w:rPr>
                <w:rFonts w:asciiTheme="minorHAnsi" w:hAnsiTheme="minorHAnsi"/>
              </w:rPr>
              <w:t>All</w:t>
            </w:r>
          </w:p>
        </w:tc>
        <w:tc>
          <w:tcPr>
            <w:tcW w:w="677" w:type="dxa"/>
            <w:tcBorders>
              <w:top w:val="single" w:sz="4" w:space="0" w:color="0070C0"/>
              <w:left w:val="single" w:sz="4" w:space="0" w:color="0070C0"/>
              <w:bottom w:val="single" w:sz="4" w:space="0" w:color="0070C0"/>
              <w:right w:val="single" w:sz="4" w:space="0" w:color="0070C0"/>
            </w:tcBorders>
          </w:tcPr>
          <w:p w14:paraId="0BE58C77" w14:textId="77777777" w:rsidR="001772D3" w:rsidRPr="00924279" w:rsidRDefault="001772D3" w:rsidP="001772D3">
            <w:pPr>
              <w:pStyle w:val="TableCellText"/>
              <w:rPr>
                <w:rFonts w:asciiTheme="minorHAnsi" w:hAnsiTheme="minorHAnsi"/>
              </w:rPr>
            </w:pPr>
            <w:r w:rsidRPr="00924279">
              <w:rPr>
                <w:rFonts w:asciiTheme="minorHAnsi" w:hAnsiTheme="minorHAnsi"/>
              </w:rPr>
              <w:t>1,2,4</w:t>
            </w:r>
          </w:p>
        </w:tc>
      </w:tr>
      <w:tr w:rsidR="001772D3" w:rsidRPr="00CC451D" w14:paraId="4B3548A4" w14:textId="77777777" w:rsidTr="00D00390">
        <w:trPr>
          <w:trHeight w:val="300"/>
        </w:trPr>
        <w:tc>
          <w:tcPr>
            <w:tcW w:w="7050" w:type="dxa"/>
            <w:tcBorders>
              <w:top w:val="single" w:sz="4" w:space="0" w:color="0070C0"/>
              <w:left w:val="single" w:sz="4" w:space="0" w:color="0070C0"/>
              <w:bottom w:val="single" w:sz="4" w:space="0" w:color="0070C0"/>
              <w:right w:val="single" w:sz="4" w:space="0" w:color="0070C0"/>
            </w:tcBorders>
            <w:noWrap/>
          </w:tcPr>
          <w:p w14:paraId="40488DF6" w14:textId="77777777" w:rsidR="001772D3" w:rsidRPr="00924279" w:rsidRDefault="001772D3" w:rsidP="001772D3">
            <w:pPr>
              <w:pStyle w:val="TableCellText"/>
              <w:rPr>
                <w:rFonts w:asciiTheme="minorHAnsi" w:hAnsiTheme="minorHAnsi"/>
                <w:b/>
              </w:rPr>
            </w:pPr>
            <w:r w:rsidRPr="00924279">
              <w:rPr>
                <w:rFonts w:asciiTheme="minorHAnsi" w:hAnsiTheme="minorHAnsi"/>
                <w:b/>
              </w:rPr>
              <w:lastRenderedPageBreak/>
              <w:t>Electric</w:t>
            </w:r>
          </w:p>
          <w:p w14:paraId="3A7AF335" w14:textId="77777777" w:rsidR="001772D3" w:rsidRPr="00924279" w:rsidRDefault="001772D3" w:rsidP="001772D3">
            <w:pPr>
              <w:pStyle w:val="TableCellText"/>
              <w:spacing w:after="120"/>
              <w:ind w:left="199"/>
              <w:rPr>
                <w:rFonts w:asciiTheme="minorHAnsi" w:hAnsiTheme="minorHAnsi"/>
              </w:rPr>
            </w:pPr>
            <w:r w:rsidRPr="00924279">
              <w:rPr>
                <w:rFonts w:asciiTheme="minorHAnsi" w:hAnsiTheme="minorHAnsi"/>
              </w:rPr>
              <w:t>This option in the Tool assumes the purchase of a new electric truck, and the old truck will be scrapped.</w:t>
            </w:r>
          </w:p>
          <w:p w14:paraId="19D0FC24" w14:textId="77777777" w:rsidR="001772D3" w:rsidRPr="00924279" w:rsidRDefault="001772D3" w:rsidP="001772D3">
            <w:pPr>
              <w:pStyle w:val="TableCellText"/>
              <w:ind w:left="199"/>
              <w:rPr>
                <w:rFonts w:asciiTheme="minorHAnsi" w:hAnsiTheme="minorHAnsi"/>
              </w:rPr>
            </w:pPr>
            <w:r w:rsidRPr="00924279">
              <w:rPr>
                <w:rFonts w:asciiTheme="minorHAnsi" w:hAnsiTheme="minorHAnsi"/>
              </w:rPr>
              <w:t>Battery electric vehicles replace the entire engine and drive train of a conventional vehicle with an electric motor and generator, powered by a battery pack. The range of battery electric vehicles is dependent on the battery technology and the size of the battery pack. For electric trucks only, GHG emissions from electricity generation are estimated, based upon average or user-entered electrical grid mix.</w:t>
            </w:r>
          </w:p>
        </w:tc>
        <w:tc>
          <w:tcPr>
            <w:tcW w:w="810" w:type="dxa"/>
            <w:tcBorders>
              <w:top w:val="single" w:sz="4" w:space="0" w:color="0070C0"/>
              <w:left w:val="single" w:sz="4" w:space="0" w:color="0070C0"/>
              <w:bottom w:val="single" w:sz="4" w:space="0" w:color="0070C0"/>
              <w:right w:val="single" w:sz="4" w:space="0" w:color="0070C0"/>
            </w:tcBorders>
          </w:tcPr>
          <w:p w14:paraId="0165BA4A" w14:textId="77777777" w:rsidR="001772D3" w:rsidRPr="00924279" w:rsidRDefault="001772D3" w:rsidP="001772D3">
            <w:pPr>
              <w:pStyle w:val="TableCellText"/>
              <w:rPr>
                <w:rFonts w:asciiTheme="minorHAnsi" w:hAnsiTheme="minorHAnsi"/>
              </w:rPr>
            </w:pPr>
            <w:r w:rsidRPr="00924279">
              <w:rPr>
                <w:rFonts w:asciiTheme="minorHAnsi" w:hAnsiTheme="minorHAnsi"/>
              </w:rPr>
              <w:t>All</w:t>
            </w:r>
          </w:p>
        </w:tc>
        <w:tc>
          <w:tcPr>
            <w:tcW w:w="810" w:type="dxa"/>
            <w:tcBorders>
              <w:top w:val="single" w:sz="4" w:space="0" w:color="0070C0"/>
              <w:left w:val="single" w:sz="4" w:space="0" w:color="0070C0"/>
              <w:bottom w:val="single" w:sz="4" w:space="0" w:color="0070C0"/>
              <w:right w:val="single" w:sz="4" w:space="0" w:color="0070C0"/>
            </w:tcBorders>
          </w:tcPr>
          <w:p w14:paraId="36A847C1" w14:textId="77777777" w:rsidR="001772D3" w:rsidRPr="00924279" w:rsidRDefault="001772D3" w:rsidP="001772D3">
            <w:pPr>
              <w:pStyle w:val="TableCellText"/>
              <w:rPr>
                <w:rFonts w:asciiTheme="minorHAnsi" w:hAnsiTheme="minorHAnsi"/>
              </w:rPr>
            </w:pPr>
            <w:r w:rsidRPr="00924279">
              <w:rPr>
                <w:rFonts w:asciiTheme="minorHAnsi" w:hAnsiTheme="minorHAnsi"/>
              </w:rPr>
              <w:t>All</w:t>
            </w:r>
          </w:p>
        </w:tc>
        <w:tc>
          <w:tcPr>
            <w:tcW w:w="677" w:type="dxa"/>
            <w:tcBorders>
              <w:top w:val="single" w:sz="4" w:space="0" w:color="0070C0"/>
              <w:left w:val="single" w:sz="4" w:space="0" w:color="0070C0"/>
              <w:bottom w:val="single" w:sz="4" w:space="0" w:color="0070C0"/>
              <w:right w:val="single" w:sz="4" w:space="0" w:color="0070C0"/>
            </w:tcBorders>
          </w:tcPr>
          <w:p w14:paraId="70D58AA8" w14:textId="77777777" w:rsidR="001772D3" w:rsidRPr="00924279" w:rsidRDefault="001772D3" w:rsidP="001772D3">
            <w:pPr>
              <w:pStyle w:val="TableCellText"/>
              <w:rPr>
                <w:rFonts w:asciiTheme="minorHAnsi" w:hAnsiTheme="minorHAnsi"/>
              </w:rPr>
            </w:pPr>
            <w:r w:rsidRPr="00924279">
              <w:rPr>
                <w:rFonts w:asciiTheme="minorHAnsi" w:hAnsiTheme="minorHAnsi"/>
              </w:rPr>
              <w:t>1,2,4</w:t>
            </w:r>
          </w:p>
        </w:tc>
      </w:tr>
      <w:tr w:rsidR="001772D3" w14:paraId="1FC1887A" w14:textId="77777777" w:rsidTr="00D00390">
        <w:tblPrEx>
          <w:tblLook w:val="0480" w:firstRow="0" w:lastRow="0" w:firstColumn="1" w:lastColumn="0" w:noHBand="0" w:noVBand="1"/>
        </w:tblPrEx>
        <w:trPr>
          <w:trHeight w:val="58"/>
        </w:trPr>
        <w:tc>
          <w:tcPr>
            <w:tcW w:w="9347" w:type="dxa"/>
            <w:gridSpan w:val="4"/>
            <w:tcBorders>
              <w:top w:val="single" w:sz="4" w:space="0" w:color="0070C0"/>
              <w:left w:val="nil"/>
              <w:bottom w:val="nil"/>
              <w:right w:val="nil"/>
            </w:tcBorders>
            <w:noWrap/>
            <w:tcMar>
              <w:top w:w="0" w:type="dxa"/>
              <w:left w:w="58" w:type="dxa"/>
              <w:bottom w:w="0" w:type="dxa"/>
            </w:tcMar>
          </w:tcPr>
          <w:p w14:paraId="56308DEC" w14:textId="428D47BD" w:rsidR="001772D3" w:rsidRPr="00D00390" w:rsidRDefault="001772D3" w:rsidP="001772D3">
            <w:pPr>
              <w:pStyle w:val="TableCellText"/>
              <w:rPr>
                <w:rFonts w:asciiTheme="minorHAnsi" w:hAnsiTheme="minorHAnsi"/>
              </w:rPr>
            </w:pPr>
            <w:r w:rsidRPr="00D00390">
              <w:rPr>
                <w:rStyle w:val="TableFootnoteReferenceChar"/>
                <w:rFonts w:asciiTheme="minorHAnsi" w:hAnsiTheme="minorHAnsi"/>
              </w:rPr>
              <w:t>a</w:t>
            </w:r>
            <w:r w:rsidRPr="00D517E7">
              <w:rPr>
                <w:rStyle w:val="TableFootnoteChar"/>
                <w:rFonts w:asciiTheme="minorHAnsi" w:hAnsiTheme="minorHAnsi"/>
                <w:sz w:val="18"/>
              </w:rPr>
              <w:t xml:space="preserve">Codes used in this table for analysis types: </w:t>
            </w:r>
            <w:r w:rsidRPr="00D517E7">
              <w:rPr>
                <w:rFonts w:asciiTheme="minorHAnsi" w:hAnsiTheme="minorHAnsi"/>
                <w:b/>
                <w:sz w:val="18"/>
              </w:rPr>
              <w:t>Dep</w:t>
            </w:r>
            <w:r w:rsidRPr="00D517E7">
              <w:rPr>
                <w:rFonts w:asciiTheme="minorHAnsi" w:hAnsiTheme="minorHAnsi"/>
                <w:sz w:val="18"/>
              </w:rPr>
              <w:t xml:space="preserve">=Deployment </w:t>
            </w:r>
            <w:r w:rsidR="00F402BA" w:rsidRPr="00D517E7">
              <w:rPr>
                <w:rFonts w:asciiTheme="minorHAnsi" w:hAnsiTheme="minorHAnsi"/>
                <w:b/>
                <w:sz w:val="18"/>
              </w:rPr>
              <w:t>Fund</w:t>
            </w:r>
            <w:r w:rsidR="00F402BA" w:rsidRPr="00D517E7">
              <w:rPr>
                <w:rFonts w:asciiTheme="minorHAnsi" w:hAnsiTheme="minorHAnsi"/>
                <w:sz w:val="18"/>
              </w:rPr>
              <w:t>=Funding Impact</w:t>
            </w:r>
            <w:r w:rsidRPr="00D517E7">
              <w:rPr>
                <w:rFonts w:asciiTheme="minorHAnsi" w:hAnsiTheme="minorHAnsi"/>
                <w:sz w:val="18"/>
              </w:rPr>
              <w:t xml:space="preserve"> </w:t>
            </w:r>
            <w:r w:rsidRPr="00D517E7">
              <w:rPr>
                <w:rFonts w:asciiTheme="minorHAnsi" w:hAnsiTheme="minorHAnsi"/>
                <w:b/>
                <w:sz w:val="18"/>
              </w:rPr>
              <w:t>Inc</w:t>
            </w:r>
            <w:r w:rsidRPr="00D517E7">
              <w:rPr>
                <w:rFonts w:asciiTheme="minorHAnsi" w:hAnsiTheme="minorHAnsi"/>
                <w:sz w:val="18"/>
              </w:rPr>
              <w:t>=Incentive</w:t>
            </w:r>
          </w:p>
        </w:tc>
      </w:tr>
      <w:tr w:rsidR="001772D3" w14:paraId="5B3D6A69" w14:textId="77777777" w:rsidTr="00072541">
        <w:tblPrEx>
          <w:tblLook w:val="0480" w:firstRow="0" w:lastRow="0" w:firstColumn="1" w:lastColumn="0" w:noHBand="0" w:noVBand="1"/>
        </w:tblPrEx>
        <w:trPr>
          <w:trHeight w:val="58"/>
        </w:trPr>
        <w:tc>
          <w:tcPr>
            <w:tcW w:w="9347" w:type="dxa"/>
            <w:gridSpan w:val="4"/>
            <w:tcBorders>
              <w:top w:val="nil"/>
              <w:left w:val="nil"/>
              <w:bottom w:val="nil"/>
              <w:right w:val="nil"/>
            </w:tcBorders>
            <w:noWrap/>
            <w:tcMar>
              <w:top w:w="0" w:type="dxa"/>
              <w:bottom w:w="0" w:type="dxa"/>
            </w:tcMar>
          </w:tcPr>
          <w:p w14:paraId="5E9D7FD1" w14:textId="77777777" w:rsidR="001772D3" w:rsidRPr="00D00390" w:rsidRDefault="001772D3" w:rsidP="001772D3">
            <w:pPr>
              <w:pStyle w:val="TableCellText"/>
              <w:rPr>
                <w:rFonts w:asciiTheme="minorHAnsi" w:hAnsiTheme="minorHAnsi"/>
              </w:rPr>
            </w:pPr>
            <w:r w:rsidRPr="00D00390">
              <w:rPr>
                <w:rStyle w:val="TableFootnoteReferenceChar"/>
                <w:rFonts w:asciiTheme="minorHAnsi" w:hAnsiTheme="minorHAnsi"/>
              </w:rPr>
              <w:t>b</w:t>
            </w:r>
            <w:r w:rsidRPr="00D517E7">
              <w:rPr>
                <w:rFonts w:asciiTheme="minorHAnsi" w:hAnsiTheme="minorHAnsi"/>
                <w:sz w:val="18"/>
              </w:rPr>
              <w:t xml:space="preserve">Codes used in this table for geographic scales: </w:t>
            </w:r>
            <w:r w:rsidRPr="00D517E7">
              <w:rPr>
                <w:rFonts w:asciiTheme="minorHAnsi" w:hAnsiTheme="minorHAnsi"/>
                <w:b/>
                <w:sz w:val="18"/>
              </w:rPr>
              <w:t>S</w:t>
            </w:r>
            <w:r w:rsidRPr="00D517E7">
              <w:rPr>
                <w:rFonts w:asciiTheme="minorHAnsi" w:hAnsiTheme="minorHAnsi"/>
                <w:sz w:val="18"/>
              </w:rPr>
              <w:t xml:space="preserve">=State </w:t>
            </w:r>
            <w:r w:rsidRPr="00D517E7">
              <w:rPr>
                <w:rFonts w:asciiTheme="minorHAnsi" w:hAnsiTheme="minorHAnsi"/>
                <w:b/>
                <w:sz w:val="18"/>
              </w:rPr>
              <w:t>M</w:t>
            </w:r>
            <w:r w:rsidRPr="00D517E7">
              <w:rPr>
                <w:rFonts w:asciiTheme="minorHAnsi" w:hAnsiTheme="minorHAnsi"/>
                <w:sz w:val="18"/>
              </w:rPr>
              <w:t xml:space="preserve">=Metropolitan </w:t>
            </w:r>
            <w:r w:rsidRPr="00D517E7">
              <w:rPr>
                <w:rFonts w:asciiTheme="minorHAnsi" w:hAnsiTheme="minorHAnsi"/>
                <w:b/>
                <w:sz w:val="18"/>
              </w:rPr>
              <w:t>C</w:t>
            </w:r>
            <w:r w:rsidRPr="00D517E7">
              <w:rPr>
                <w:rFonts w:asciiTheme="minorHAnsi" w:hAnsiTheme="minorHAnsi"/>
                <w:sz w:val="18"/>
              </w:rPr>
              <w:t xml:space="preserve">=County/Municipal </w:t>
            </w:r>
            <w:r w:rsidRPr="00D517E7">
              <w:rPr>
                <w:rFonts w:asciiTheme="minorHAnsi" w:hAnsiTheme="minorHAnsi"/>
                <w:b/>
                <w:sz w:val="18"/>
              </w:rPr>
              <w:t>D</w:t>
            </w:r>
            <w:r w:rsidRPr="00D517E7">
              <w:rPr>
                <w:rFonts w:asciiTheme="minorHAnsi" w:hAnsiTheme="minorHAnsi"/>
                <w:sz w:val="18"/>
              </w:rPr>
              <w:t xml:space="preserve">=Distribution Center </w:t>
            </w:r>
            <w:r w:rsidRPr="00D517E7">
              <w:rPr>
                <w:rFonts w:asciiTheme="minorHAnsi" w:hAnsiTheme="minorHAnsi"/>
                <w:b/>
                <w:sz w:val="18"/>
              </w:rPr>
              <w:t>P</w:t>
            </w:r>
            <w:r w:rsidRPr="00D517E7">
              <w:rPr>
                <w:rFonts w:asciiTheme="minorHAnsi" w:hAnsiTheme="minorHAnsi"/>
                <w:sz w:val="18"/>
              </w:rPr>
              <w:t>=Port</w:t>
            </w:r>
          </w:p>
        </w:tc>
      </w:tr>
      <w:tr w:rsidR="001772D3" w14:paraId="47D8BA6B" w14:textId="77777777" w:rsidTr="00072541">
        <w:tblPrEx>
          <w:tblLook w:val="0480" w:firstRow="0" w:lastRow="0" w:firstColumn="1" w:lastColumn="0" w:noHBand="0" w:noVBand="1"/>
        </w:tblPrEx>
        <w:trPr>
          <w:trHeight w:val="58"/>
        </w:trPr>
        <w:tc>
          <w:tcPr>
            <w:tcW w:w="9347" w:type="dxa"/>
            <w:gridSpan w:val="4"/>
            <w:tcBorders>
              <w:top w:val="nil"/>
              <w:left w:val="nil"/>
              <w:bottom w:val="nil"/>
              <w:right w:val="nil"/>
            </w:tcBorders>
            <w:noWrap/>
            <w:tcMar>
              <w:top w:w="0" w:type="dxa"/>
              <w:bottom w:w="0" w:type="dxa"/>
            </w:tcMar>
          </w:tcPr>
          <w:p w14:paraId="5E283727" w14:textId="3D0B7130" w:rsidR="001772D3" w:rsidRPr="00D00390" w:rsidRDefault="001772D3" w:rsidP="001772D3">
            <w:pPr>
              <w:pStyle w:val="TableCellText"/>
              <w:ind w:left="206" w:hanging="206"/>
              <w:rPr>
                <w:rFonts w:asciiTheme="minorHAnsi" w:hAnsiTheme="minorHAnsi"/>
              </w:rPr>
            </w:pPr>
            <w:r w:rsidRPr="00D00390">
              <w:rPr>
                <w:rStyle w:val="TableFootnoteReferenceChar"/>
                <w:rFonts w:asciiTheme="minorHAnsi" w:hAnsiTheme="minorHAnsi"/>
              </w:rPr>
              <w:t>c</w:t>
            </w:r>
            <w:r w:rsidRPr="00D517E7">
              <w:rPr>
                <w:rFonts w:asciiTheme="minorHAnsi" w:hAnsiTheme="minorHAnsi"/>
                <w:sz w:val="18"/>
              </w:rPr>
              <w:t xml:space="preserve">Codes used in this table for truck types: </w:t>
            </w:r>
            <w:r w:rsidRPr="00D517E7">
              <w:rPr>
                <w:rFonts w:asciiTheme="minorHAnsi" w:hAnsiTheme="minorHAnsi"/>
                <w:b/>
                <w:sz w:val="18"/>
              </w:rPr>
              <w:t>1</w:t>
            </w:r>
            <w:r w:rsidRPr="00D517E7">
              <w:rPr>
                <w:rFonts w:asciiTheme="minorHAnsi" w:hAnsiTheme="minorHAnsi"/>
                <w:sz w:val="18"/>
              </w:rPr>
              <w:t>=Single</w:t>
            </w:r>
            <w:r w:rsidR="007B1EA8">
              <w:rPr>
                <w:rFonts w:asciiTheme="minorHAnsi" w:hAnsiTheme="minorHAnsi"/>
                <w:sz w:val="18"/>
              </w:rPr>
              <w:t xml:space="preserve"> unit</w:t>
            </w:r>
            <w:r w:rsidRPr="00D517E7">
              <w:rPr>
                <w:rFonts w:asciiTheme="minorHAnsi" w:hAnsiTheme="minorHAnsi"/>
                <w:sz w:val="18"/>
              </w:rPr>
              <w:t xml:space="preserve"> Short Haul, Gasoline </w:t>
            </w:r>
            <w:r w:rsidRPr="00D517E7">
              <w:rPr>
                <w:rFonts w:asciiTheme="minorHAnsi" w:hAnsiTheme="minorHAnsi"/>
                <w:b/>
                <w:sz w:val="18"/>
              </w:rPr>
              <w:t>2</w:t>
            </w:r>
            <w:r w:rsidRPr="00D517E7">
              <w:rPr>
                <w:rFonts w:asciiTheme="minorHAnsi" w:hAnsiTheme="minorHAnsi"/>
                <w:sz w:val="18"/>
              </w:rPr>
              <w:t>=Single</w:t>
            </w:r>
            <w:r w:rsidR="007B1EA8">
              <w:rPr>
                <w:rFonts w:asciiTheme="minorHAnsi" w:hAnsiTheme="minorHAnsi"/>
                <w:sz w:val="18"/>
              </w:rPr>
              <w:t xml:space="preserve"> unit</w:t>
            </w:r>
            <w:r w:rsidRPr="00D517E7">
              <w:rPr>
                <w:rFonts w:asciiTheme="minorHAnsi" w:hAnsiTheme="minorHAnsi"/>
                <w:sz w:val="18"/>
              </w:rPr>
              <w:t xml:space="preserve"> Short Haul, Diesel </w:t>
            </w:r>
            <w:r w:rsidRPr="00D517E7">
              <w:rPr>
                <w:rFonts w:asciiTheme="minorHAnsi" w:hAnsiTheme="minorHAnsi"/>
                <w:b/>
                <w:sz w:val="18"/>
              </w:rPr>
              <w:t>3</w:t>
            </w:r>
            <w:r w:rsidRPr="00D517E7">
              <w:rPr>
                <w:rFonts w:asciiTheme="minorHAnsi" w:hAnsiTheme="minorHAnsi"/>
                <w:sz w:val="18"/>
              </w:rPr>
              <w:t>=Single</w:t>
            </w:r>
            <w:r w:rsidR="007B1EA8">
              <w:rPr>
                <w:rFonts w:asciiTheme="minorHAnsi" w:hAnsiTheme="minorHAnsi"/>
                <w:sz w:val="18"/>
              </w:rPr>
              <w:t xml:space="preserve"> unit</w:t>
            </w:r>
            <w:r w:rsidRPr="00D517E7">
              <w:rPr>
                <w:rFonts w:asciiTheme="minorHAnsi" w:hAnsiTheme="minorHAnsi"/>
                <w:sz w:val="18"/>
              </w:rPr>
              <w:t xml:space="preserve"> Long Haul </w:t>
            </w:r>
            <w:r w:rsidRPr="00D517E7">
              <w:rPr>
                <w:rFonts w:asciiTheme="minorHAnsi" w:hAnsiTheme="minorHAnsi"/>
                <w:b/>
                <w:sz w:val="18"/>
              </w:rPr>
              <w:t>4</w:t>
            </w:r>
            <w:r w:rsidRPr="00D517E7">
              <w:rPr>
                <w:rFonts w:asciiTheme="minorHAnsi" w:hAnsiTheme="minorHAnsi"/>
                <w:sz w:val="18"/>
              </w:rPr>
              <w:t>=Combination</w:t>
            </w:r>
            <w:r w:rsidR="007B1EA8">
              <w:rPr>
                <w:rFonts w:asciiTheme="minorHAnsi" w:hAnsiTheme="minorHAnsi"/>
                <w:sz w:val="18"/>
              </w:rPr>
              <w:t xml:space="preserve"> unit</w:t>
            </w:r>
            <w:r w:rsidRPr="00D517E7">
              <w:rPr>
                <w:rFonts w:asciiTheme="minorHAnsi" w:hAnsiTheme="minorHAnsi"/>
                <w:sz w:val="18"/>
              </w:rPr>
              <w:t xml:space="preserve"> Short Haul </w:t>
            </w:r>
            <w:r w:rsidRPr="00D517E7">
              <w:rPr>
                <w:rFonts w:asciiTheme="minorHAnsi" w:hAnsiTheme="minorHAnsi"/>
                <w:b/>
                <w:sz w:val="18"/>
              </w:rPr>
              <w:t>5</w:t>
            </w:r>
            <w:r w:rsidRPr="00D517E7">
              <w:rPr>
                <w:rFonts w:asciiTheme="minorHAnsi" w:hAnsiTheme="minorHAnsi"/>
                <w:sz w:val="18"/>
              </w:rPr>
              <w:t>=Combination</w:t>
            </w:r>
            <w:r w:rsidR="007B1EA8">
              <w:rPr>
                <w:rFonts w:asciiTheme="minorHAnsi" w:hAnsiTheme="minorHAnsi"/>
                <w:sz w:val="18"/>
              </w:rPr>
              <w:t xml:space="preserve"> unit</w:t>
            </w:r>
            <w:r w:rsidRPr="00D517E7">
              <w:rPr>
                <w:rFonts w:asciiTheme="minorHAnsi" w:hAnsiTheme="minorHAnsi"/>
                <w:sz w:val="18"/>
              </w:rPr>
              <w:t xml:space="preserve"> Long Haul</w:t>
            </w:r>
          </w:p>
        </w:tc>
      </w:tr>
    </w:tbl>
    <w:p w14:paraId="3703C1AE" w14:textId="77777777" w:rsidR="00D517E7" w:rsidRDefault="00D517E7" w:rsidP="00D517E7">
      <w:pPr>
        <w:pStyle w:val="BodyText"/>
      </w:pPr>
    </w:p>
    <w:p w14:paraId="3A023EEA" w14:textId="033467A2" w:rsidR="00D517E7" w:rsidRDefault="00D517E7">
      <w:pPr>
        <w:spacing w:after="200" w:line="276" w:lineRule="auto"/>
        <w:rPr>
          <w:rFonts w:cs="Arial"/>
        </w:rPr>
      </w:pPr>
      <w:r>
        <w:br w:type="page"/>
      </w:r>
    </w:p>
    <w:p w14:paraId="6074803F" w14:textId="77777777" w:rsidR="005F08E5" w:rsidRDefault="005F08E5" w:rsidP="005F08E5">
      <w:pPr>
        <w:pStyle w:val="Heading3"/>
      </w:pPr>
      <w:bookmarkStart w:id="26" w:name="_Toc482973548"/>
      <w:r>
        <w:lastRenderedPageBreak/>
        <w:t>Exhaust Retrofits</w:t>
      </w:r>
      <w:bookmarkEnd w:id="26"/>
    </w:p>
    <w:p w14:paraId="7068E7DF" w14:textId="77777777" w:rsidR="00656C32" w:rsidRDefault="00216F84" w:rsidP="00656C32">
      <w:pPr>
        <w:pStyle w:val="BodyText"/>
      </w:pPr>
      <w:r>
        <w:t>Exhaust retrofits reduce emissions by replacing the muffler with a catalyst or particulate filter. These can be added to older trucks to reduce emissions</w:t>
      </w:r>
      <w:r w:rsidR="005F08E5">
        <w:t>.</w:t>
      </w:r>
      <w:r>
        <w:t xml:space="preserve"> Newer trucks already have these devices.</w:t>
      </w:r>
      <w:r w:rsidR="00656C32">
        <w:t xml:space="preserve"> The retrofits used in the Tool are described in </w:t>
      </w:r>
      <w:r w:rsidR="00833B69">
        <w:fldChar w:fldCharType="begin"/>
      </w:r>
      <w:r w:rsidR="00656C32">
        <w:instrText xml:space="preserve"> REF _Ref458521440 \h </w:instrText>
      </w:r>
      <w:r w:rsidR="00833B69">
        <w:fldChar w:fldCharType="separate"/>
      </w:r>
      <w:r w:rsidR="00C42F38">
        <w:t xml:space="preserve">Table </w:t>
      </w:r>
      <w:r w:rsidR="00C42F38">
        <w:rPr>
          <w:noProof/>
        </w:rPr>
        <w:t>7</w:t>
      </w:r>
      <w:r w:rsidR="00833B69">
        <w:fldChar w:fldCharType="end"/>
      </w:r>
      <w:r w:rsidR="00656C32">
        <w:t>.</w:t>
      </w:r>
    </w:p>
    <w:p w14:paraId="039440F0" w14:textId="77777777" w:rsidR="00656C32" w:rsidRDefault="00656C32" w:rsidP="00656C32">
      <w:pPr>
        <w:pStyle w:val="TableCaption"/>
      </w:pPr>
      <w:bookmarkStart w:id="27" w:name="_Ref458521440"/>
      <w:bookmarkStart w:id="28" w:name="_Toc482973587"/>
      <w:r>
        <w:t xml:space="preserve">Table </w:t>
      </w:r>
      <w:r w:rsidR="00833B69">
        <w:fldChar w:fldCharType="begin"/>
      </w:r>
      <w:r>
        <w:instrText xml:space="preserve"> SEQ Table \* ARABIC </w:instrText>
      </w:r>
      <w:r w:rsidR="00833B69">
        <w:fldChar w:fldCharType="separate"/>
      </w:r>
      <w:r w:rsidR="00305706">
        <w:t>7</w:t>
      </w:r>
      <w:r w:rsidR="00833B69">
        <w:fldChar w:fldCharType="end"/>
      </w:r>
      <w:bookmarkEnd w:id="27"/>
      <w:r>
        <w:t>. Exhaust Retrofits Used in the Tool</w:t>
      </w:r>
      <w:bookmarkEnd w:id="28"/>
    </w:p>
    <w:tbl>
      <w:tblPr>
        <w:tblStyle w:val="TemplateTable"/>
        <w:tblW w:w="9387" w:type="dxa"/>
        <w:tblCellMar>
          <w:top w:w="0" w:type="dxa"/>
          <w:bottom w:w="0" w:type="dxa"/>
        </w:tblCellMar>
        <w:tblLook w:val="04A0" w:firstRow="1" w:lastRow="0" w:firstColumn="1" w:lastColumn="0" w:noHBand="0" w:noVBand="1"/>
      </w:tblPr>
      <w:tblGrid>
        <w:gridCol w:w="7031"/>
        <w:gridCol w:w="901"/>
        <w:gridCol w:w="729"/>
        <w:gridCol w:w="699"/>
        <w:gridCol w:w="27"/>
      </w:tblGrid>
      <w:tr w:rsidR="00656C32" w:rsidRPr="00CC451D" w14:paraId="6290C7DC" w14:textId="77777777" w:rsidTr="00656C32">
        <w:trPr>
          <w:cnfStyle w:val="100000000000" w:firstRow="1" w:lastRow="0" w:firstColumn="0" w:lastColumn="0" w:oddVBand="0" w:evenVBand="0" w:oddHBand="0" w:evenHBand="0" w:firstRowFirstColumn="0" w:firstRowLastColumn="0" w:lastRowFirstColumn="0" w:lastRowLastColumn="0"/>
          <w:trHeight w:val="24"/>
        </w:trPr>
        <w:tc>
          <w:tcPr>
            <w:tcW w:w="7031" w:type="dxa"/>
            <w:tcBorders>
              <w:bottom w:val="single" w:sz="4" w:space="0" w:color="0070C0"/>
            </w:tcBorders>
            <w:noWrap/>
            <w:vAlign w:val="bottom"/>
            <w:hideMark/>
          </w:tcPr>
          <w:p w14:paraId="698BF274" w14:textId="77777777" w:rsidR="00656C32" w:rsidRPr="00924279" w:rsidRDefault="00656C32" w:rsidP="00072541">
            <w:pPr>
              <w:pStyle w:val="TableColumnHeading"/>
            </w:pPr>
            <w:r w:rsidRPr="00924279">
              <w:t>Exhaust Retrofit</w:t>
            </w:r>
          </w:p>
        </w:tc>
        <w:tc>
          <w:tcPr>
            <w:tcW w:w="833" w:type="dxa"/>
            <w:tcBorders>
              <w:bottom w:val="single" w:sz="4" w:space="0" w:color="0070C0"/>
            </w:tcBorders>
            <w:vAlign w:val="bottom"/>
          </w:tcPr>
          <w:p w14:paraId="38E13FFB" w14:textId="77777777" w:rsidR="00656C32" w:rsidRPr="00656C32" w:rsidRDefault="00656C32" w:rsidP="00072541">
            <w:pPr>
              <w:pStyle w:val="TableColumnHeading"/>
            </w:pPr>
            <w:r w:rsidRPr="00656C32">
              <w:t>Analysis Types</w:t>
            </w:r>
            <w:r w:rsidRPr="00656C32">
              <w:rPr>
                <w:rStyle w:val="TableFootnoteReferenceChar"/>
              </w:rPr>
              <w:t>a</w:t>
            </w:r>
          </w:p>
        </w:tc>
        <w:tc>
          <w:tcPr>
            <w:tcW w:w="729" w:type="dxa"/>
            <w:tcBorders>
              <w:bottom w:val="single" w:sz="4" w:space="0" w:color="0070C0"/>
            </w:tcBorders>
            <w:vAlign w:val="bottom"/>
          </w:tcPr>
          <w:p w14:paraId="346052FB" w14:textId="77777777" w:rsidR="00656C32" w:rsidRPr="00656C32" w:rsidRDefault="00656C32" w:rsidP="00072541">
            <w:pPr>
              <w:pStyle w:val="TableColumnHeading"/>
            </w:pPr>
            <w:r w:rsidRPr="00656C32">
              <w:t>Geo-graphic Scales</w:t>
            </w:r>
            <w:r w:rsidRPr="00656C32">
              <w:rPr>
                <w:rStyle w:val="TableFootnoteReferenceChar"/>
              </w:rPr>
              <w:t>b</w:t>
            </w:r>
          </w:p>
        </w:tc>
        <w:tc>
          <w:tcPr>
            <w:tcW w:w="794" w:type="dxa"/>
            <w:gridSpan w:val="2"/>
            <w:tcBorders>
              <w:bottom w:val="single" w:sz="4" w:space="0" w:color="0070C0"/>
            </w:tcBorders>
            <w:vAlign w:val="bottom"/>
          </w:tcPr>
          <w:p w14:paraId="6E5C3601" w14:textId="77777777" w:rsidR="00656C32" w:rsidRPr="00656C32" w:rsidRDefault="00656C32" w:rsidP="00072541">
            <w:pPr>
              <w:pStyle w:val="TableColumnHeading"/>
            </w:pPr>
            <w:r w:rsidRPr="00656C32">
              <w:t>Truck Types</w:t>
            </w:r>
            <w:r w:rsidRPr="00656C32">
              <w:rPr>
                <w:rStyle w:val="TableFootnoteReferenceChar"/>
              </w:rPr>
              <w:t>c</w:t>
            </w:r>
          </w:p>
        </w:tc>
      </w:tr>
      <w:tr w:rsidR="00656C32" w:rsidRPr="00CC451D" w14:paraId="7FC264F0" w14:textId="77777777" w:rsidTr="00656C32">
        <w:trPr>
          <w:trHeight w:val="24"/>
        </w:trPr>
        <w:tc>
          <w:tcPr>
            <w:tcW w:w="7031" w:type="dxa"/>
            <w:tcBorders>
              <w:top w:val="single" w:sz="4" w:space="0" w:color="0070C0"/>
              <w:left w:val="single" w:sz="4" w:space="0" w:color="0070C0"/>
              <w:bottom w:val="single" w:sz="4" w:space="0" w:color="0070C0"/>
              <w:right w:val="single" w:sz="4" w:space="0" w:color="0070C0"/>
            </w:tcBorders>
            <w:noWrap/>
          </w:tcPr>
          <w:p w14:paraId="67503ABB" w14:textId="77777777" w:rsidR="00656C32" w:rsidRPr="00924279" w:rsidRDefault="00656C32" w:rsidP="00072541">
            <w:pPr>
              <w:pStyle w:val="TableCellText"/>
              <w:rPr>
                <w:b/>
              </w:rPr>
            </w:pPr>
            <w:r w:rsidRPr="00924279">
              <w:rPr>
                <w:b/>
              </w:rPr>
              <w:t>Diesel Oxidation Catalyst (DOC)</w:t>
            </w:r>
          </w:p>
          <w:p w14:paraId="0BEA02C9" w14:textId="77777777" w:rsidR="00656C32" w:rsidRPr="00924279" w:rsidRDefault="00656C32" w:rsidP="00072541">
            <w:pPr>
              <w:pStyle w:val="TableCellText"/>
              <w:spacing w:after="120"/>
              <w:ind w:left="226"/>
            </w:pPr>
            <w:r w:rsidRPr="00924279">
              <w:t xml:space="preserve">Only for 1991-2003 engine model years. </w:t>
            </w:r>
          </w:p>
          <w:p w14:paraId="2B798D3F" w14:textId="77777777" w:rsidR="00656C32" w:rsidRPr="00F402BA" w:rsidRDefault="00656C32" w:rsidP="00072541">
            <w:pPr>
              <w:pStyle w:val="TableCellText"/>
              <w:ind w:left="226"/>
            </w:pPr>
            <w:r w:rsidRPr="00924279">
              <w:t>An after-treatment device that reduces carbon monoxide, hydrocarbons (HC), and the organic carbon component of PM. Typically housed in a stainless steel structure connected to the exhaust system muffler. Can be used in combination with Selective Catalytic Reduction (SCR) to reduce emissions further. Not needed with Diesel Particulate Filters (DPFs), because DPFs generally include catalytic material.</w:t>
            </w:r>
          </w:p>
        </w:tc>
        <w:tc>
          <w:tcPr>
            <w:tcW w:w="833" w:type="dxa"/>
            <w:tcBorders>
              <w:top w:val="single" w:sz="4" w:space="0" w:color="0070C0"/>
              <w:left w:val="single" w:sz="4" w:space="0" w:color="0070C0"/>
              <w:bottom w:val="single" w:sz="4" w:space="0" w:color="0070C0"/>
              <w:right w:val="single" w:sz="4" w:space="0" w:color="0070C0"/>
            </w:tcBorders>
          </w:tcPr>
          <w:p w14:paraId="712C7483" w14:textId="7B020DEF" w:rsidR="00656C32" w:rsidRPr="00F402BA" w:rsidRDefault="00656C32" w:rsidP="00072541">
            <w:pPr>
              <w:pStyle w:val="TableCellText"/>
            </w:pPr>
            <w:r w:rsidRPr="00F402BA">
              <w:t>Dep,</w:t>
            </w:r>
            <w:r w:rsidR="00F402BA">
              <w:t>Fund</w:t>
            </w:r>
          </w:p>
        </w:tc>
        <w:tc>
          <w:tcPr>
            <w:tcW w:w="729" w:type="dxa"/>
            <w:tcBorders>
              <w:top w:val="single" w:sz="4" w:space="0" w:color="0070C0"/>
              <w:left w:val="single" w:sz="4" w:space="0" w:color="0070C0"/>
              <w:bottom w:val="single" w:sz="4" w:space="0" w:color="0070C0"/>
              <w:right w:val="single" w:sz="4" w:space="0" w:color="0070C0"/>
            </w:tcBorders>
          </w:tcPr>
          <w:p w14:paraId="517EC27F" w14:textId="77777777" w:rsidR="00656C32" w:rsidRPr="00F402BA" w:rsidRDefault="00656C32" w:rsidP="00072541">
            <w:pPr>
              <w:pStyle w:val="TableCellText"/>
            </w:pPr>
            <w:r w:rsidRPr="00F402BA">
              <w:t>All</w:t>
            </w:r>
          </w:p>
        </w:tc>
        <w:tc>
          <w:tcPr>
            <w:tcW w:w="794" w:type="dxa"/>
            <w:gridSpan w:val="2"/>
            <w:tcBorders>
              <w:top w:val="single" w:sz="4" w:space="0" w:color="0070C0"/>
              <w:left w:val="single" w:sz="4" w:space="0" w:color="0070C0"/>
              <w:bottom w:val="single" w:sz="4" w:space="0" w:color="0070C0"/>
              <w:right w:val="single" w:sz="4" w:space="0" w:color="0070C0"/>
            </w:tcBorders>
          </w:tcPr>
          <w:p w14:paraId="06F85430" w14:textId="77777777" w:rsidR="00656C32" w:rsidRPr="00F402BA" w:rsidRDefault="00656C32" w:rsidP="00072541">
            <w:pPr>
              <w:pStyle w:val="TableCellText"/>
            </w:pPr>
            <w:r w:rsidRPr="00F402BA">
              <w:t>2,3,4,5</w:t>
            </w:r>
          </w:p>
        </w:tc>
      </w:tr>
      <w:tr w:rsidR="00656C32" w:rsidRPr="00CC451D" w14:paraId="6EB0DE79" w14:textId="77777777" w:rsidTr="00656C32">
        <w:trPr>
          <w:trHeight w:val="24"/>
        </w:trPr>
        <w:tc>
          <w:tcPr>
            <w:tcW w:w="7031" w:type="dxa"/>
            <w:tcBorders>
              <w:top w:val="single" w:sz="4" w:space="0" w:color="0070C0"/>
              <w:left w:val="single" w:sz="4" w:space="0" w:color="0070C0"/>
              <w:bottom w:val="single" w:sz="4" w:space="0" w:color="0070C0"/>
              <w:right w:val="single" w:sz="4" w:space="0" w:color="0070C0"/>
            </w:tcBorders>
            <w:noWrap/>
          </w:tcPr>
          <w:p w14:paraId="5FA75188" w14:textId="77777777" w:rsidR="00656C32" w:rsidRPr="00924279" w:rsidRDefault="00656C32" w:rsidP="00072541">
            <w:pPr>
              <w:pStyle w:val="TableCellText"/>
              <w:rPr>
                <w:b/>
              </w:rPr>
            </w:pPr>
            <w:r w:rsidRPr="00924279">
              <w:rPr>
                <w:b/>
              </w:rPr>
              <w:t>Diesel Particulate Filter (DPF)</w:t>
            </w:r>
          </w:p>
          <w:p w14:paraId="30EFC279" w14:textId="77777777" w:rsidR="00656C32" w:rsidRPr="00924279" w:rsidRDefault="00656C32" w:rsidP="00072541">
            <w:pPr>
              <w:pStyle w:val="TableCellText"/>
              <w:spacing w:after="120"/>
              <w:ind w:left="226"/>
            </w:pPr>
            <w:r w:rsidRPr="00924279">
              <w:t>Can only be used on 1994–2006 trucks</w:t>
            </w:r>
            <w:r w:rsidR="00F74FE2" w:rsidRPr="00924279">
              <w:t xml:space="preserve"> which are in good operating condition</w:t>
            </w:r>
            <w:r w:rsidRPr="00924279">
              <w:t xml:space="preserve"> (trucks of model year 2007 and newer already have DPFs as original equipment).</w:t>
            </w:r>
          </w:p>
          <w:p w14:paraId="79045D4B" w14:textId="77777777" w:rsidR="00656C32" w:rsidRPr="00F402BA" w:rsidRDefault="00656C32" w:rsidP="00072541">
            <w:pPr>
              <w:pStyle w:val="TableCellText"/>
              <w:ind w:left="226"/>
            </w:pPr>
            <w:r w:rsidRPr="00924279">
              <w:t>An after-treatment device that captures PM from the exhaust gas flow. To prevent plugging of the filter, filtered PM must be oxidized through a regeneration process (i.e., the trapped particles must be burned away). DPFs are labeled passive or active, depending on the method of regeneration. Regeneration is accomplished by either raising the exhaust gas temperature or by lowering the diesel PM ignition temperature through the use of a catalyst. Catalysts can be applied as a coating on the filter or installed upstream of the filter. Passive and semi-active DPFs require operating temperatures above certain thresholds for a portion of time in order to oxidize the PM. Active systems use a separate heat source to raise the gas temperatures high enough for regeneration.</w:t>
            </w:r>
          </w:p>
        </w:tc>
        <w:tc>
          <w:tcPr>
            <w:tcW w:w="833" w:type="dxa"/>
            <w:tcBorders>
              <w:top w:val="single" w:sz="4" w:space="0" w:color="0070C0"/>
              <w:left w:val="single" w:sz="4" w:space="0" w:color="0070C0"/>
              <w:bottom w:val="single" w:sz="4" w:space="0" w:color="0070C0"/>
              <w:right w:val="single" w:sz="4" w:space="0" w:color="0070C0"/>
            </w:tcBorders>
          </w:tcPr>
          <w:p w14:paraId="377BEF12" w14:textId="18DD7F51" w:rsidR="00656C32" w:rsidRPr="00F402BA" w:rsidRDefault="00656C32" w:rsidP="00072541">
            <w:pPr>
              <w:pStyle w:val="TableCellText"/>
            </w:pPr>
            <w:r w:rsidRPr="00F402BA">
              <w:t>Dep,</w:t>
            </w:r>
            <w:r w:rsidR="00F402BA">
              <w:t>Fund</w:t>
            </w:r>
          </w:p>
        </w:tc>
        <w:tc>
          <w:tcPr>
            <w:tcW w:w="729" w:type="dxa"/>
            <w:tcBorders>
              <w:top w:val="single" w:sz="4" w:space="0" w:color="0070C0"/>
              <w:left w:val="single" w:sz="4" w:space="0" w:color="0070C0"/>
              <w:bottom w:val="single" w:sz="4" w:space="0" w:color="0070C0"/>
              <w:right w:val="single" w:sz="4" w:space="0" w:color="0070C0"/>
            </w:tcBorders>
          </w:tcPr>
          <w:p w14:paraId="288F63E0" w14:textId="77777777" w:rsidR="00656C32" w:rsidRPr="00F402BA" w:rsidRDefault="00656C32" w:rsidP="00072541">
            <w:pPr>
              <w:pStyle w:val="TableCellText"/>
            </w:pPr>
            <w:r w:rsidRPr="00F402BA">
              <w:t>All</w:t>
            </w:r>
          </w:p>
        </w:tc>
        <w:tc>
          <w:tcPr>
            <w:tcW w:w="794" w:type="dxa"/>
            <w:gridSpan w:val="2"/>
            <w:tcBorders>
              <w:top w:val="single" w:sz="4" w:space="0" w:color="0070C0"/>
              <w:left w:val="single" w:sz="4" w:space="0" w:color="0070C0"/>
              <w:bottom w:val="single" w:sz="4" w:space="0" w:color="0070C0"/>
              <w:right w:val="single" w:sz="4" w:space="0" w:color="0070C0"/>
            </w:tcBorders>
          </w:tcPr>
          <w:p w14:paraId="1FF75627" w14:textId="77777777" w:rsidR="00656C32" w:rsidRPr="00F402BA" w:rsidRDefault="00656C32" w:rsidP="00072541">
            <w:pPr>
              <w:pStyle w:val="TableCellText"/>
            </w:pPr>
            <w:r w:rsidRPr="00F402BA">
              <w:t>2,3,4,5</w:t>
            </w:r>
          </w:p>
        </w:tc>
      </w:tr>
      <w:tr w:rsidR="00656C32" w14:paraId="45B1CE68" w14:textId="77777777" w:rsidTr="00072541">
        <w:tblPrEx>
          <w:tblLook w:val="0480" w:firstRow="0" w:lastRow="0" w:firstColumn="1" w:lastColumn="0" w:noHBand="0" w:noVBand="1"/>
        </w:tblPrEx>
        <w:trPr>
          <w:gridAfter w:val="1"/>
          <w:wAfter w:w="40" w:type="dxa"/>
          <w:trHeight w:val="58"/>
        </w:trPr>
        <w:tc>
          <w:tcPr>
            <w:tcW w:w="9347" w:type="dxa"/>
            <w:gridSpan w:val="4"/>
            <w:tcBorders>
              <w:left w:val="nil"/>
              <w:bottom w:val="nil"/>
              <w:right w:val="nil"/>
            </w:tcBorders>
            <w:noWrap/>
            <w:tcMar>
              <w:top w:w="0" w:type="dxa"/>
              <w:left w:w="58" w:type="dxa"/>
              <w:bottom w:w="0" w:type="dxa"/>
            </w:tcMar>
          </w:tcPr>
          <w:p w14:paraId="3F9B58FE" w14:textId="6F90F101" w:rsidR="00656C32" w:rsidRPr="00656C32" w:rsidRDefault="00656C32" w:rsidP="00072541">
            <w:pPr>
              <w:pStyle w:val="TableCellText"/>
            </w:pPr>
            <w:r w:rsidRPr="00656C32">
              <w:rPr>
                <w:rStyle w:val="TableFootnoteReferenceChar"/>
              </w:rPr>
              <w:t>a</w:t>
            </w:r>
            <w:r w:rsidRPr="00D517E7">
              <w:rPr>
                <w:rStyle w:val="TableFootnoteChar"/>
                <w:sz w:val="18"/>
              </w:rPr>
              <w:t xml:space="preserve">Codes used in this table for analysis types: </w:t>
            </w:r>
            <w:r w:rsidRPr="00D517E7">
              <w:rPr>
                <w:b/>
                <w:sz w:val="18"/>
              </w:rPr>
              <w:t>Dep</w:t>
            </w:r>
            <w:r w:rsidRPr="00D517E7">
              <w:rPr>
                <w:sz w:val="18"/>
              </w:rPr>
              <w:t xml:space="preserve">=Deployment </w:t>
            </w:r>
            <w:r w:rsidR="00F402BA" w:rsidRPr="00D517E7">
              <w:rPr>
                <w:b/>
                <w:sz w:val="18"/>
              </w:rPr>
              <w:t>Fund</w:t>
            </w:r>
            <w:r w:rsidR="00F402BA" w:rsidRPr="00D517E7">
              <w:rPr>
                <w:sz w:val="18"/>
              </w:rPr>
              <w:t>=Funding Impact</w:t>
            </w:r>
            <w:r w:rsidRPr="00D517E7">
              <w:rPr>
                <w:sz w:val="18"/>
              </w:rPr>
              <w:t xml:space="preserve"> </w:t>
            </w:r>
            <w:r w:rsidRPr="00D517E7">
              <w:rPr>
                <w:b/>
                <w:sz w:val="18"/>
              </w:rPr>
              <w:t>Inc</w:t>
            </w:r>
            <w:r w:rsidRPr="00D517E7">
              <w:rPr>
                <w:sz w:val="18"/>
              </w:rPr>
              <w:t>=Incentive</w:t>
            </w:r>
          </w:p>
        </w:tc>
      </w:tr>
      <w:tr w:rsidR="00656C32" w14:paraId="5CBAB566" w14:textId="77777777" w:rsidTr="00072541">
        <w:tblPrEx>
          <w:tblLook w:val="0480" w:firstRow="0" w:lastRow="0" w:firstColumn="1" w:lastColumn="0" w:noHBand="0" w:noVBand="1"/>
        </w:tblPrEx>
        <w:trPr>
          <w:gridAfter w:val="1"/>
          <w:wAfter w:w="40" w:type="dxa"/>
          <w:trHeight w:val="58"/>
        </w:trPr>
        <w:tc>
          <w:tcPr>
            <w:tcW w:w="9347" w:type="dxa"/>
            <w:gridSpan w:val="4"/>
            <w:tcBorders>
              <w:top w:val="nil"/>
              <w:left w:val="nil"/>
              <w:bottom w:val="nil"/>
              <w:right w:val="nil"/>
            </w:tcBorders>
            <w:noWrap/>
            <w:tcMar>
              <w:top w:w="0" w:type="dxa"/>
              <w:bottom w:w="0" w:type="dxa"/>
            </w:tcMar>
          </w:tcPr>
          <w:p w14:paraId="51484638" w14:textId="77777777" w:rsidR="00656C32" w:rsidRPr="00656C32" w:rsidRDefault="00656C32" w:rsidP="00072541">
            <w:pPr>
              <w:pStyle w:val="TableCellText"/>
            </w:pPr>
            <w:r w:rsidRPr="00656C32">
              <w:rPr>
                <w:rStyle w:val="TableFootnoteReferenceChar"/>
              </w:rPr>
              <w:t>b</w:t>
            </w:r>
            <w:r w:rsidRPr="00D517E7">
              <w:rPr>
                <w:sz w:val="18"/>
              </w:rPr>
              <w:t xml:space="preserve">Codes used in this table for geographic scales: </w:t>
            </w:r>
            <w:r w:rsidRPr="00D517E7">
              <w:rPr>
                <w:b/>
                <w:sz w:val="18"/>
              </w:rPr>
              <w:t>S</w:t>
            </w:r>
            <w:r w:rsidRPr="00D517E7">
              <w:rPr>
                <w:sz w:val="18"/>
              </w:rPr>
              <w:t xml:space="preserve">=State </w:t>
            </w:r>
            <w:r w:rsidRPr="00D517E7">
              <w:rPr>
                <w:b/>
                <w:sz w:val="18"/>
              </w:rPr>
              <w:t>M</w:t>
            </w:r>
            <w:r w:rsidRPr="00D517E7">
              <w:rPr>
                <w:sz w:val="18"/>
              </w:rPr>
              <w:t xml:space="preserve">=Metropolitan </w:t>
            </w:r>
            <w:r w:rsidRPr="00D517E7">
              <w:rPr>
                <w:b/>
                <w:sz w:val="18"/>
              </w:rPr>
              <w:t>C</w:t>
            </w:r>
            <w:r w:rsidRPr="00D517E7">
              <w:rPr>
                <w:sz w:val="18"/>
              </w:rPr>
              <w:t xml:space="preserve">=County/Municipal </w:t>
            </w:r>
            <w:r w:rsidRPr="00D517E7">
              <w:rPr>
                <w:b/>
                <w:sz w:val="18"/>
              </w:rPr>
              <w:t>D</w:t>
            </w:r>
            <w:r w:rsidRPr="00D517E7">
              <w:rPr>
                <w:sz w:val="18"/>
              </w:rPr>
              <w:t xml:space="preserve">=Distribution Center </w:t>
            </w:r>
            <w:r w:rsidRPr="00D517E7">
              <w:rPr>
                <w:b/>
                <w:sz w:val="18"/>
              </w:rPr>
              <w:t>P</w:t>
            </w:r>
            <w:r w:rsidRPr="00D517E7">
              <w:rPr>
                <w:sz w:val="18"/>
              </w:rPr>
              <w:t>=Port</w:t>
            </w:r>
          </w:p>
        </w:tc>
      </w:tr>
      <w:tr w:rsidR="00656C32" w14:paraId="536A5154" w14:textId="77777777" w:rsidTr="00072541">
        <w:tblPrEx>
          <w:tblLook w:val="0480" w:firstRow="0" w:lastRow="0" w:firstColumn="1" w:lastColumn="0" w:noHBand="0" w:noVBand="1"/>
        </w:tblPrEx>
        <w:trPr>
          <w:gridAfter w:val="1"/>
          <w:wAfter w:w="40" w:type="dxa"/>
          <w:trHeight w:val="58"/>
        </w:trPr>
        <w:tc>
          <w:tcPr>
            <w:tcW w:w="9347" w:type="dxa"/>
            <w:gridSpan w:val="4"/>
            <w:tcBorders>
              <w:top w:val="nil"/>
              <w:left w:val="nil"/>
              <w:bottom w:val="nil"/>
              <w:right w:val="nil"/>
            </w:tcBorders>
            <w:noWrap/>
            <w:tcMar>
              <w:top w:w="0" w:type="dxa"/>
              <w:bottom w:w="0" w:type="dxa"/>
            </w:tcMar>
          </w:tcPr>
          <w:p w14:paraId="01CDE8D8" w14:textId="79BF612D" w:rsidR="00656C32" w:rsidRPr="00656C32" w:rsidRDefault="00656C32" w:rsidP="00072541">
            <w:pPr>
              <w:pStyle w:val="TableCellText"/>
              <w:ind w:left="206" w:hanging="206"/>
            </w:pPr>
            <w:r w:rsidRPr="00656C32">
              <w:rPr>
                <w:rStyle w:val="TableFootnoteReferenceChar"/>
              </w:rPr>
              <w:t>c</w:t>
            </w:r>
            <w:r w:rsidRPr="00D517E7">
              <w:rPr>
                <w:sz w:val="18"/>
              </w:rPr>
              <w:t xml:space="preserve">Codes used in this table for truck types: </w:t>
            </w:r>
            <w:r w:rsidRPr="00D517E7">
              <w:rPr>
                <w:b/>
                <w:sz w:val="18"/>
              </w:rPr>
              <w:t>1</w:t>
            </w:r>
            <w:r w:rsidRPr="00D517E7">
              <w:rPr>
                <w:sz w:val="18"/>
              </w:rPr>
              <w:t>=Single</w:t>
            </w:r>
            <w:r w:rsidR="007B1EA8">
              <w:rPr>
                <w:sz w:val="18"/>
              </w:rPr>
              <w:t xml:space="preserve"> unit</w:t>
            </w:r>
            <w:r w:rsidRPr="00D517E7">
              <w:rPr>
                <w:sz w:val="18"/>
              </w:rPr>
              <w:t xml:space="preserve"> Short Haul, Gasoline </w:t>
            </w:r>
            <w:r w:rsidRPr="00D517E7">
              <w:rPr>
                <w:b/>
                <w:sz w:val="18"/>
              </w:rPr>
              <w:t>2</w:t>
            </w:r>
            <w:r w:rsidRPr="00D517E7">
              <w:rPr>
                <w:sz w:val="18"/>
              </w:rPr>
              <w:t>=Single</w:t>
            </w:r>
            <w:r w:rsidR="007B1EA8">
              <w:rPr>
                <w:sz w:val="18"/>
              </w:rPr>
              <w:t xml:space="preserve"> unit</w:t>
            </w:r>
            <w:r w:rsidRPr="00D517E7">
              <w:rPr>
                <w:sz w:val="18"/>
              </w:rPr>
              <w:t xml:space="preserve"> Short Haul, Diesel </w:t>
            </w:r>
            <w:r w:rsidRPr="00D517E7">
              <w:rPr>
                <w:b/>
                <w:sz w:val="18"/>
              </w:rPr>
              <w:t>3</w:t>
            </w:r>
            <w:r w:rsidRPr="00D517E7">
              <w:rPr>
                <w:sz w:val="18"/>
              </w:rPr>
              <w:t>=Single</w:t>
            </w:r>
            <w:r w:rsidR="007B1EA8">
              <w:rPr>
                <w:sz w:val="18"/>
              </w:rPr>
              <w:t xml:space="preserve"> unit</w:t>
            </w:r>
            <w:r w:rsidRPr="00D517E7">
              <w:rPr>
                <w:sz w:val="18"/>
              </w:rPr>
              <w:t xml:space="preserve"> Long Haul </w:t>
            </w:r>
            <w:r w:rsidRPr="00D517E7">
              <w:rPr>
                <w:b/>
                <w:sz w:val="18"/>
              </w:rPr>
              <w:t>4</w:t>
            </w:r>
            <w:r w:rsidRPr="00D517E7">
              <w:rPr>
                <w:sz w:val="18"/>
              </w:rPr>
              <w:t>=Combination</w:t>
            </w:r>
            <w:r w:rsidR="007B1EA8">
              <w:rPr>
                <w:sz w:val="18"/>
              </w:rPr>
              <w:t xml:space="preserve"> unit</w:t>
            </w:r>
            <w:r w:rsidRPr="00D517E7">
              <w:rPr>
                <w:sz w:val="18"/>
              </w:rPr>
              <w:t xml:space="preserve"> Short Haul </w:t>
            </w:r>
            <w:r w:rsidRPr="00D517E7">
              <w:rPr>
                <w:b/>
                <w:sz w:val="18"/>
              </w:rPr>
              <w:t>5</w:t>
            </w:r>
            <w:r w:rsidRPr="00D517E7">
              <w:rPr>
                <w:sz w:val="18"/>
              </w:rPr>
              <w:t>=Combination</w:t>
            </w:r>
            <w:r w:rsidR="007B1EA8">
              <w:rPr>
                <w:sz w:val="18"/>
              </w:rPr>
              <w:t xml:space="preserve"> unit</w:t>
            </w:r>
            <w:r w:rsidRPr="00D517E7">
              <w:rPr>
                <w:sz w:val="18"/>
              </w:rPr>
              <w:t xml:space="preserve"> Long Haul</w:t>
            </w:r>
          </w:p>
        </w:tc>
      </w:tr>
    </w:tbl>
    <w:p w14:paraId="0B5660CA" w14:textId="77777777" w:rsidR="00D517E7" w:rsidRDefault="00D517E7" w:rsidP="00644913">
      <w:pPr>
        <w:pStyle w:val="BodyText"/>
      </w:pPr>
    </w:p>
    <w:p w14:paraId="0855241E" w14:textId="4557553F" w:rsidR="00644913" w:rsidRDefault="00644913">
      <w:pPr>
        <w:spacing w:after="200" w:line="276" w:lineRule="auto"/>
        <w:rPr>
          <w:rFonts w:cs="Arial"/>
        </w:rPr>
      </w:pPr>
      <w:r>
        <w:br w:type="page"/>
      </w:r>
    </w:p>
    <w:p w14:paraId="30BED976" w14:textId="376510DD" w:rsidR="005F08E5" w:rsidRDefault="005F08E5" w:rsidP="005F08E5">
      <w:pPr>
        <w:pStyle w:val="Heading3"/>
      </w:pPr>
      <w:bookmarkStart w:id="29" w:name="_Toc482973549"/>
      <w:r>
        <w:lastRenderedPageBreak/>
        <w:t>Aerodynamic Devices</w:t>
      </w:r>
      <w:bookmarkEnd w:id="29"/>
    </w:p>
    <w:p w14:paraId="24A95B76" w14:textId="75EA5E47" w:rsidR="008369D5" w:rsidRDefault="005D13E3" w:rsidP="005F08E5">
      <w:pPr>
        <w:pStyle w:val="BodyText"/>
      </w:pPr>
      <w:r>
        <w:t>Various aerodynamic devices can be added to existing trucks.</w:t>
      </w:r>
      <w:r w:rsidR="00330080">
        <w:t xml:space="preserve"> </w:t>
      </w:r>
      <w:r>
        <w:t>These tend to pro</w:t>
      </w:r>
      <w:r w:rsidR="00656C32">
        <w:t xml:space="preserve">vide the most benefits for </w:t>
      </w:r>
      <w:r w:rsidR="006771E4">
        <w:t>long haul</w:t>
      </w:r>
      <w:r>
        <w:t xml:space="preserve"> trucks an</w:t>
      </w:r>
      <w:r w:rsidR="00656C32">
        <w:t xml:space="preserve">d therefore are limited to </w:t>
      </w:r>
      <w:r w:rsidR="006771E4">
        <w:t>long haul</w:t>
      </w:r>
      <w:r>
        <w:t xml:space="preserve"> trucks in the Tool.</w:t>
      </w:r>
      <w:r w:rsidR="00330080">
        <w:t xml:space="preserve"> </w:t>
      </w:r>
      <w:r>
        <w:t>Generally they reduce the aerodynamic drag of the vehicle and increase fuel economy</w:t>
      </w:r>
      <w:r w:rsidR="00656C32">
        <w:t>,</w:t>
      </w:r>
      <w:r>
        <w:t xml:space="preserve"> thereby reduc</w:t>
      </w:r>
      <w:r w:rsidR="00656C32">
        <w:t>ing</w:t>
      </w:r>
      <w:r>
        <w:t xml:space="preserve"> CO</w:t>
      </w:r>
      <w:r w:rsidRPr="00FE68A1">
        <w:rPr>
          <w:vertAlign w:val="subscript"/>
        </w:rPr>
        <w:t>2</w:t>
      </w:r>
      <w:r>
        <w:t xml:space="preserve"> emissions.</w:t>
      </w:r>
      <w:r w:rsidR="00330080">
        <w:t xml:space="preserve"> </w:t>
      </w:r>
      <w:r>
        <w:t>The devices can be used in combination on a given truck, but the combined fuel economy results will likely be less than the sum of all the various aerodynamic devices added.</w:t>
      </w:r>
      <w:r w:rsidR="008369D5">
        <w:t xml:space="preserve"> </w:t>
      </w:r>
      <w:r w:rsidR="00AE11A2">
        <w:t xml:space="preserve">Each Tool choice is described in </w:t>
      </w:r>
      <w:r w:rsidR="00833B69">
        <w:fldChar w:fldCharType="begin"/>
      </w:r>
      <w:r w:rsidR="00AE11A2">
        <w:instrText xml:space="preserve"> REF _Ref458582442 \h </w:instrText>
      </w:r>
      <w:r w:rsidR="00833B69">
        <w:fldChar w:fldCharType="separate"/>
      </w:r>
      <w:r w:rsidR="00C42F38">
        <w:t xml:space="preserve">Table </w:t>
      </w:r>
      <w:r w:rsidR="00C42F38">
        <w:rPr>
          <w:noProof/>
        </w:rPr>
        <w:t>8</w:t>
      </w:r>
      <w:r w:rsidR="00833B69">
        <w:fldChar w:fldCharType="end"/>
      </w:r>
      <w:r w:rsidR="00AE11A2">
        <w:t xml:space="preserve"> and shown in </w:t>
      </w:r>
      <w:r w:rsidR="00833B69">
        <w:fldChar w:fldCharType="begin"/>
      </w:r>
      <w:r w:rsidR="00AE11A2">
        <w:instrText xml:space="preserve"> REF _Ref459977764 \h </w:instrText>
      </w:r>
      <w:r w:rsidR="00833B69">
        <w:fldChar w:fldCharType="separate"/>
      </w:r>
      <w:r w:rsidR="00C42F38">
        <w:t xml:space="preserve">Figure </w:t>
      </w:r>
      <w:r w:rsidR="00C42F38">
        <w:rPr>
          <w:noProof/>
        </w:rPr>
        <w:t>1</w:t>
      </w:r>
      <w:r w:rsidR="00833B69">
        <w:fldChar w:fldCharType="end"/>
      </w:r>
      <w:r w:rsidR="008369D5">
        <w:t>.</w:t>
      </w:r>
    </w:p>
    <w:p w14:paraId="10267E4F" w14:textId="5060A8E8" w:rsidR="00AE11A2" w:rsidRDefault="00AE11A2" w:rsidP="00AE11A2">
      <w:pPr>
        <w:pStyle w:val="TableCaption"/>
      </w:pPr>
      <w:bookmarkStart w:id="30" w:name="_Ref458582442"/>
      <w:bookmarkStart w:id="31" w:name="_Toc482973588"/>
      <w:r>
        <w:t xml:space="preserve">Table </w:t>
      </w:r>
      <w:r w:rsidR="00833B69">
        <w:fldChar w:fldCharType="begin"/>
      </w:r>
      <w:r>
        <w:instrText xml:space="preserve"> SEQ Table \* ARABIC </w:instrText>
      </w:r>
      <w:r w:rsidR="00833B69">
        <w:fldChar w:fldCharType="separate"/>
      </w:r>
      <w:r w:rsidR="00305706">
        <w:t>8</w:t>
      </w:r>
      <w:r w:rsidR="00833B69">
        <w:fldChar w:fldCharType="end"/>
      </w:r>
      <w:bookmarkEnd w:id="30"/>
      <w:r>
        <w:t>. Aerodynamic Devices Used in the Tool</w:t>
      </w:r>
      <w:bookmarkEnd w:id="31"/>
    </w:p>
    <w:tbl>
      <w:tblPr>
        <w:tblStyle w:val="TemplateTable"/>
        <w:tblW w:w="9351" w:type="dxa"/>
        <w:tblLayout w:type="fixed"/>
        <w:tblCellMar>
          <w:top w:w="0" w:type="dxa"/>
          <w:bottom w:w="0" w:type="dxa"/>
        </w:tblCellMar>
        <w:tblLook w:val="04A0" w:firstRow="1" w:lastRow="0" w:firstColumn="1" w:lastColumn="0" w:noHBand="0" w:noVBand="1"/>
      </w:tblPr>
      <w:tblGrid>
        <w:gridCol w:w="7014"/>
        <w:gridCol w:w="810"/>
        <w:gridCol w:w="810"/>
        <w:gridCol w:w="717"/>
      </w:tblGrid>
      <w:tr w:rsidR="00AE11A2" w:rsidRPr="00AE11A2" w14:paraId="5B1ABA49" w14:textId="77777777" w:rsidTr="00AE11A2">
        <w:trPr>
          <w:cnfStyle w:val="100000000000" w:firstRow="1" w:lastRow="0" w:firstColumn="0" w:lastColumn="0" w:oddVBand="0" w:evenVBand="0" w:oddHBand="0" w:evenHBand="0" w:firstRowFirstColumn="0" w:firstRowLastColumn="0" w:lastRowFirstColumn="0" w:lastRowLastColumn="0"/>
          <w:trHeight w:val="24"/>
        </w:trPr>
        <w:tc>
          <w:tcPr>
            <w:tcW w:w="7014" w:type="dxa"/>
            <w:tcBorders>
              <w:bottom w:val="single" w:sz="4" w:space="0" w:color="0070C0"/>
            </w:tcBorders>
            <w:noWrap/>
            <w:vAlign w:val="bottom"/>
            <w:hideMark/>
          </w:tcPr>
          <w:p w14:paraId="2FC85845" w14:textId="77777777" w:rsidR="00AE11A2" w:rsidRPr="00AE11A2" w:rsidRDefault="00AE11A2" w:rsidP="004739E4">
            <w:pPr>
              <w:pStyle w:val="TableColumnHeading"/>
            </w:pPr>
            <w:r w:rsidRPr="00AE11A2">
              <w:t>Aerodynamic Device</w:t>
            </w:r>
          </w:p>
        </w:tc>
        <w:tc>
          <w:tcPr>
            <w:tcW w:w="810" w:type="dxa"/>
            <w:tcBorders>
              <w:bottom w:val="single" w:sz="4" w:space="0" w:color="0070C0"/>
            </w:tcBorders>
            <w:vAlign w:val="bottom"/>
          </w:tcPr>
          <w:p w14:paraId="33EF120E" w14:textId="77777777" w:rsidR="00AE11A2" w:rsidRPr="00AE11A2" w:rsidRDefault="00AE11A2" w:rsidP="004739E4">
            <w:pPr>
              <w:pStyle w:val="TableColumnHeading"/>
            </w:pPr>
            <w:r w:rsidRPr="00AE11A2">
              <w:t>Analysis Types</w:t>
            </w:r>
            <w:r w:rsidRPr="00AE11A2">
              <w:rPr>
                <w:rStyle w:val="TableFootnoteReferenceChar"/>
              </w:rPr>
              <w:t>a</w:t>
            </w:r>
          </w:p>
        </w:tc>
        <w:tc>
          <w:tcPr>
            <w:tcW w:w="810" w:type="dxa"/>
            <w:tcBorders>
              <w:bottom w:val="single" w:sz="4" w:space="0" w:color="0070C0"/>
            </w:tcBorders>
            <w:vAlign w:val="bottom"/>
          </w:tcPr>
          <w:p w14:paraId="75946565" w14:textId="77777777" w:rsidR="00AE11A2" w:rsidRPr="00AE11A2" w:rsidRDefault="00AE11A2" w:rsidP="004739E4">
            <w:pPr>
              <w:pStyle w:val="TableColumnHeading"/>
            </w:pPr>
            <w:r w:rsidRPr="00AE11A2">
              <w:t>Geo-graphic Scales</w:t>
            </w:r>
            <w:r w:rsidRPr="00AE11A2">
              <w:rPr>
                <w:rStyle w:val="TableFootnoteReferenceChar"/>
              </w:rPr>
              <w:t>b</w:t>
            </w:r>
          </w:p>
        </w:tc>
        <w:tc>
          <w:tcPr>
            <w:tcW w:w="717" w:type="dxa"/>
            <w:tcBorders>
              <w:bottom w:val="single" w:sz="4" w:space="0" w:color="0070C0"/>
            </w:tcBorders>
            <w:vAlign w:val="bottom"/>
          </w:tcPr>
          <w:p w14:paraId="5902CA60" w14:textId="77777777" w:rsidR="00AE11A2" w:rsidRPr="00AE11A2" w:rsidRDefault="00AE11A2" w:rsidP="004739E4">
            <w:pPr>
              <w:pStyle w:val="TableColumnHeading"/>
            </w:pPr>
            <w:r w:rsidRPr="00AE11A2">
              <w:t>Truck Types</w:t>
            </w:r>
            <w:r w:rsidRPr="00AE11A2">
              <w:rPr>
                <w:rStyle w:val="TableFootnoteReferenceChar"/>
              </w:rPr>
              <w:t>c</w:t>
            </w:r>
          </w:p>
        </w:tc>
      </w:tr>
      <w:tr w:rsidR="00AE11A2" w:rsidRPr="00AE11A2" w14:paraId="694870F4" w14:textId="77777777" w:rsidTr="00AE11A2">
        <w:trPr>
          <w:trHeight w:val="24"/>
        </w:trPr>
        <w:tc>
          <w:tcPr>
            <w:tcW w:w="7014" w:type="dxa"/>
            <w:tcBorders>
              <w:top w:val="single" w:sz="4" w:space="0" w:color="0070C0"/>
              <w:left w:val="single" w:sz="4" w:space="0" w:color="0070C0"/>
              <w:bottom w:val="single" w:sz="4" w:space="0" w:color="0070C0"/>
              <w:right w:val="single" w:sz="4" w:space="0" w:color="0070C0"/>
            </w:tcBorders>
            <w:noWrap/>
          </w:tcPr>
          <w:p w14:paraId="2B697490" w14:textId="77777777" w:rsidR="00AE11A2" w:rsidRPr="00AE11A2" w:rsidRDefault="00AE11A2" w:rsidP="004739E4">
            <w:pPr>
              <w:pStyle w:val="TableCellText"/>
              <w:rPr>
                <w:b/>
              </w:rPr>
            </w:pPr>
            <w:r w:rsidRPr="00AE11A2">
              <w:rPr>
                <w:b/>
              </w:rPr>
              <w:t>Boat Tail</w:t>
            </w:r>
          </w:p>
          <w:p w14:paraId="07A97D53" w14:textId="77777777" w:rsidR="00AE11A2" w:rsidRPr="00AE11A2" w:rsidRDefault="00AE11A2" w:rsidP="004739E4">
            <w:pPr>
              <w:ind w:left="208"/>
              <w:rPr>
                <w:szCs w:val="20"/>
              </w:rPr>
            </w:pPr>
            <w:r w:rsidRPr="00AE11A2">
              <w:rPr>
                <w:rFonts w:eastAsia="Calibri" w:cs="Arial"/>
                <w:szCs w:val="20"/>
              </w:rPr>
              <w:t>Sometimes called a trailer tail, A tapering protrusion mounted on the rear of a truck or trailer to reduce aerodynamic drag.</w:t>
            </w:r>
          </w:p>
        </w:tc>
        <w:tc>
          <w:tcPr>
            <w:tcW w:w="810" w:type="dxa"/>
            <w:tcBorders>
              <w:top w:val="single" w:sz="4" w:space="0" w:color="0070C0"/>
              <w:left w:val="single" w:sz="4" w:space="0" w:color="0070C0"/>
              <w:bottom w:val="single" w:sz="4" w:space="0" w:color="0070C0"/>
              <w:right w:val="single" w:sz="4" w:space="0" w:color="0070C0"/>
            </w:tcBorders>
          </w:tcPr>
          <w:p w14:paraId="0C3997CC" w14:textId="77777777" w:rsidR="00AE11A2" w:rsidRPr="00AE11A2" w:rsidRDefault="00AE11A2" w:rsidP="004739E4">
            <w:pPr>
              <w:pStyle w:val="TableCellText"/>
            </w:pPr>
            <w:r w:rsidRPr="00AE11A2">
              <w:t>All</w:t>
            </w:r>
          </w:p>
        </w:tc>
        <w:tc>
          <w:tcPr>
            <w:tcW w:w="810" w:type="dxa"/>
            <w:tcBorders>
              <w:top w:val="single" w:sz="4" w:space="0" w:color="0070C0"/>
              <w:left w:val="single" w:sz="4" w:space="0" w:color="0070C0"/>
              <w:bottom w:val="single" w:sz="4" w:space="0" w:color="0070C0"/>
              <w:right w:val="single" w:sz="4" w:space="0" w:color="0070C0"/>
            </w:tcBorders>
          </w:tcPr>
          <w:p w14:paraId="18811AE5" w14:textId="77777777" w:rsidR="00AE11A2" w:rsidRPr="00AE11A2" w:rsidRDefault="00AE11A2" w:rsidP="004739E4">
            <w:pPr>
              <w:pStyle w:val="TableCellText"/>
            </w:pPr>
            <w:r w:rsidRPr="00AE11A2">
              <w:t>S,M,C</w:t>
            </w:r>
            <w:r>
              <w:t>,D</w:t>
            </w:r>
          </w:p>
        </w:tc>
        <w:tc>
          <w:tcPr>
            <w:tcW w:w="717" w:type="dxa"/>
            <w:tcBorders>
              <w:top w:val="single" w:sz="4" w:space="0" w:color="0070C0"/>
              <w:left w:val="single" w:sz="4" w:space="0" w:color="0070C0"/>
              <w:bottom w:val="single" w:sz="4" w:space="0" w:color="0070C0"/>
              <w:right w:val="single" w:sz="4" w:space="0" w:color="0070C0"/>
            </w:tcBorders>
          </w:tcPr>
          <w:p w14:paraId="2BF175FF" w14:textId="77777777" w:rsidR="00AE11A2" w:rsidRPr="00AE11A2" w:rsidRDefault="00AE11A2" w:rsidP="004739E4">
            <w:pPr>
              <w:pStyle w:val="TableCellText"/>
            </w:pPr>
            <w:r w:rsidRPr="00AE11A2">
              <w:t>3,5</w:t>
            </w:r>
          </w:p>
        </w:tc>
      </w:tr>
      <w:tr w:rsidR="00AE11A2" w:rsidRPr="00AE11A2" w14:paraId="0D509A21" w14:textId="77777777" w:rsidTr="00AE11A2">
        <w:trPr>
          <w:trHeight w:val="24"/>
        </w:trPr>
        <w:tc>
          <w:tcPr>
            <w:tcW w:w="7014" w:type="dxa"/>
            <w:tcBorders>
              <w:top w:val="single" w:sz="4" w:space="0" w:color="0070C0"/>
              <w:left w:val="single" w:sz="4" w:space="0" w:color="0070C0"/>
              <w:bottom w:val="single" w:sz="4" w:space="0" w:color="0070C0"/>
              <w:right w:val="single" w:sz="4" w:space="0" w:color="0070C0"/>
            </w:tcBorders>
            <w:noWrap/>
          </w:tcPr>
          <w:p w14:paraId="1B223F1F" w14:textId="77777777" w:rsidR="00AE11A2" w:rsidRPr="00AE11A2" w:rsidRDefault="00AE11A2" w:rsidP="004739E4">
            <w:pPr>
              <w:pStyle w:val="TableCellText"/>
              <w:rPr>
                <w:b/>
              </w:rPr>
            </w:pPr>
            <w:r w:rsidRPr="00AE11A2">
              <w:rPr>
                <w:b/>
              </w:rPr>
              <w:t>Trailer Gap Fairing</w:t>
            </w:r>
          </w:p>
          <w:p w14:paraId="0BDC531E" w14:textId="77777777" w:rsidR="00AE11A2" w:rsidRPr="00AE11A2" w:rsidRDefault="00AE11A2" w:rsidP="004739E4">
            <w:pPr>
              <w:ind w:left="208"/>
              <w:rPr>
                <w:szCs w:val="20"/>
              </w:rPr>
            </w:pPr>
            <w:r w:rsidRPr="00AE11A2">
              <w:rPr>
                <w:szCs w:val="20"/>
              </w:rPr>
              <w:t>Also known as gap reducers. Usually rounded additions to the sides and/or top of the front of the trailer that reduce the gap between the tractor and trailer.</w:t>
            </w:r>
          </w:p>
        </w:tc>
        <w:tc>
          <w:tcPr>
            <w:tcW w:w="810" w:type="dxa"/>
            <w:tcBorders>
              <w:top w:val="single" w:sz="4" w:space="0" w:color="0070C0"/>
              <w:left w:val="single" w:sz="4" w:space="0" w:color="0070C0"/>
              <w:bottom w:val="single" w:sz="4" w:space="0" w:color="0070C0"/>
              <w:right w:val="single" w:sz="4" w:space="0" w:color="0070C0"/>
            </w:tcBorders>
          </w:tcPr>
          <w:p w14:paraId="1E6D6AFC" w14:textId="77777777" w:rsidR="00AE11A2" w:rsidRPr="00AE11A2" w:rsidRDefault="00AE11A2" w:rsidP="004739E4">
            <w:pPr>
              <w:pStyle w:val="TableCellText"/>
              <w:rPr>
                <w:highlight w:val="yellow"/>
              </w:rPr>
            </w:pPr>
            <w:r w:rsidRPr="00AE11A2">
              <w:t>All</w:t>
            </w:r>
          </w:p>
        </w:tc>
        <w:tc>
          <w:tcPr>
            <w:tcW w:w="810" w:type="dxa"/>
            <w:tcBorders>
              <w:top w:val="single" w:sz="4" w:space="0" w:color="0070C0"/>
              <w:left w:val="single" w:sz="4" w:space="0" w:color="0070C0"/>
              <w:bottom w:val="single" w:sz="4" w:space="0" w:color="0070C0"/>
              <w:right w:val="single" w:sz="4" w:space="0" w:color="0070C0"/>
            </w:tcBorders>
          </w:tcPr>
          <w:p w14:paraId="66AE0B27" w14:textId="77777777" w:rsidR="00AE11A2" w:rsidRPr="00AE11A2" w:rsidRDefault="00AE11A2" w:rsidP="004739E4">
            <w:pPr>
              <w:pStyle w:val="TableCellText"/>
              <w:rPr>
                <w:highlight w:val="yellow"/>
              </w:rPr>
            </w:pPr>
            <w:r w:rsidRPr="00AE11A2">
              <w:t>S,M,C</w:t>
            </w:r>
            <w:r>
              <w:t>,D</w:t>
            </w:r>
          </w:p>
        </w:tc>
        <w:tc>
          <w:tcPr>
            <w:tcW w:w="717" w:type="dxa"/>
            <w:tcBorders>
              <w:top w:val="single" w:sz="4" w:space="0" w:color="0070C0"/>
              <w:left w:val="single" w:sz="4" w:space="0" w:color="0070C0"/>
              <w:bottom w:val="single" w:sz="4" w:space="0" w:color="0070C0"/>
              <w:right w:val="single" w:sz="4" w:space="0" w:color="0070C0"/>
            </w:tcBorders>
          </w:tcPr>
          <w:p w14:paraId="3DEECD8E" w14:textId="77777777" w:rsidR="00AE11A2" w:rsidRPr="00AE11A2" w:rsidRDefault="00AE11A2" w:rsidP="004739E4">
            <w:pPr>
              <w:pStyle w:val="TableCellText"/>
            </w:pPr>
            <w:r w:rsidRPr="00AE11A2">
              <w:t>5</w:t>
            </w:r>
          </w:p>
        </w:tc>
      </w:tr>
      <w:tr w:rsidR="00AE11A2" w:rsidRPr="00AE11A2" w14:paraId="2078AC46" w14:textId="77777777" w:rsidTr="00AE11A2">
        <w:trPr>
          <w:trHeight w:val="24"/>
        </w:trPr>
        <w:tc>
          <w:tcPr>
            <w:tcW w:w="7014" w:type="dxa"/>
            <w:tcBorders>
              <w:top w:val="single" w:sz="4" w:space="0" w:color="0070C0"/>
              <w:left w:val="single" w:sz="4" w:space="0" w:color="0070C0"/>
              <w:bottom w:val="single" w:sz="4" w:space="0" w:color="0070C0"/>
              <w:right w:val="single" w:sz="4" w:space="0" w:color="0070C0"/>
            </w:tcBorders>
            <w:noWrap/>
          </w:tcPr>
          <w:p w14:paraId="683599C9" w14:textId="77777777" w:rsidR="00AE11A2" w:rsidRPr="00AE11A2" w:rsidRDefault="00AE11A2" w:rsidP="004739E4">
            <w:pPr>
              <w:pStyle w:val="TableCellText"/>
              <w:rPr>
                <w:b/>
              </w:rPr>
            </w:pPr>
            <w:r w:rsidRPr="00AE11A2">
              <w:rPr>
                <w:b/>
              </w:rPr>
              <w:t xml:space="preserve">Roof Fairings </w:t>
            </w:r>
          </w:p>
          <w:p w14:paraId="6B599DE4" w14:textId="77777777" w:rsidR="00AE11A2" w:rsidRPr="00AE11A2" w:rsidRDefault="00AE11A2" w:rsidP="004739E4">
            <w:pPr>
              <w:ind w:left="208"/>
              <w:rPr>
                <w:szCs w:val="20"/>
              </w:rPr>
            </w:pPr>
            <w:r w:rsidRPr="00AE11A2">
              <w:rPr>
                <w:rFonts w:eastAsia="Calibri" w:cs="Arial"/>
                <w:szCs w:val="20"/>
              </w:rPr>
              <w:t xml:space="preserve">Extends over the cab of a tractor and has enclosed sides. Designed to improve the flow of air over and around a tractor-trailer, reducing aerodynamic drag and increasing fuel efficiency. Some are collapsible to allow for the fairing to be taken down when the tractor is operated </w:t>
            </w:r>
            <w:r w:rsidR="00FA10B7">
              <w:rPr>
                <w:rFonts w:eastAsia="Calibri" w:cs="Arial"/>
                <w:szCs w:val="20"/>
              </w:rPr>
              <w:t xml:space="preserve">with a non-box trailer or </w:t>
            </w:r>
            <w:r w:rsidRPr="00AE11A2">
              <w:rPr>
                <w:rFonts w:eastAsia="Calibri" w:cs="Arial"/>
                <w:szCs w:val="20"/>
              </w:rPr>
              <w:t>without an attached trailer.</w:t>
            </w:r>
          </w:p>
        </w:tc>
        <w:tc>
          <w:tcPr>
            <w:tcW w:w="810" w:type="dxa"/>
            <w:tcBorders>
              <w:top w:val="single" w:sz="4" w:space="0" w:color="0070C0"/>
              <w:left w:val="single" w:sz="4" w:space="0" w:color="0070C0"/>
              <w:bottom w:val="single" w:sz="4" w:space="0" w:color="0070C0"/>
              <w:right w:val="single" w:sz="4" w:space="0" w:color="0070C0"/>
            </w:tcBorders>
          </w:tcPr>
          <w:p w14:paraId="680B26EA" w14:textId="77777777" w:rsidR="00AE11A2" w:rsidRPr="00AE11A2" w:rsidRDefault="00AE11A2" w:rsidP="004739E4">
            <w:pPr>
              <w:pStyle w:val="TableCellText"/>
            </w:pPr>
            <w:r w:rsidRPr="00AE11A2">
              <w:t>All</w:t>
            </w:r>
          </w:p>
        </w:tc>
        <w:tc>
          <w:tcPr>
            <w:tcW w:w="810" w:type="dxa"/>
            <w:tcBorders>
              <w:top w:val="single" w:sz="4" w:space="0" w:color="0070C0"/>
              <w:left w:val="single" w:sz="4" w:space="0" w:color="0070C0"/>
              <w:bottom w:val="single" w:sz="4" w:space="0" w:color="0070C0"/>
              <w:right w:val="single" w:sz="4" w:space="0" w:color="0070C0"/>
            </w:tcBorders>
          </w:tcPr>
          <w:p w14:paraId="0EE0DF37" w14:textId="77777777" w:rsidR="00AE11A2" w:rsidRPr="00AE11A2" w:rsidRDefault="00AE11A2" w:rsidP="004739E4">
            <w:pPr>
              <w:pStyle w:val="TableCellText"/>
            </w:pPr>
            <w:r w:rsidRPr="00AE11A2">
              <w:t>S,M,C</w:t>
            </w:r>
            <w:r>
              <w:t>,D</w:t>
            </w:r>
          </w:p>
        </w:tc>
        <w:tc>
          <w:tcPr>
            <w:tcW w:w="717" w:type="dxa"/>
            <w:tcBorders>
              <w:top w:val="single" w:sz="4" w:space="0" w:color="0070C0"/>
              <w:left w:val="single" w:sz="4" w:space="0" w:color="0070C0"/>
              <w:bottom w:val="single" w:sz="4" w:space="0" w:color="0070C0"/>
              <w:right w:val="single" w:sz="4" w:space="0" w:color="0070C0"/>
            </w:tcBorders>
          </w:tcPr>
          <w:p w14:paraId="63DFEC4A" w14:textId="77777777" w:rsidR="00AE11A2" w:rsidRPr="00AE11A2" w:rsidRDefault="00AE11A2" w:rsidP="004739E4">
            <w:pPr>
              <w:pStyle w:val="TableCellText"/>
            </w:pPr>
            <w:r w:rsidRPr="00AE11A2">
              <w:t>3,5</w:t>
            </w:r>
          </w:p>
        </w:tc>
      </w:tr>
      <w:tr w:rsidR="00AE11A2" w:rsidRPr="00AE11A2" w14:paraId="2992B563" w14:textId="77777777" w:rsidTr="00AE11A2">
        <w:trPr>
          <w:trHeight w:val="24"/>
        </w:trPr>
        <w:tc>
          <w:tcPr>
            <w:tcW w:w="7014" w:type="dxa"/>
            <w:tcBorders>
              <w:top w:val="single" w:sz="4" w:space="0" w:color="0070C0"/>
              <w:left w:val="single" w:sz="4" w:space="0" w:color="0070C0"/>
              <w:bottom w:val="single" w:sz="4" w:space="0" w:color="0070C0"/>
              <w:right w:val="single" w:sz="4" w:space="0" w:color="0070C0"/>
            </w:tcBorders>
            <w:noWrap/>
          </w:tcPr>
          <w:p w14:paraId="5075C7A7" w14:textId="77777777" w:rsidR="00AE11A2" w:rsidRPr="00AE11A2" w:rsidRDefault="00AE11A2" w:rsidP="004739E4">
            <w:pPr>
              <w:pStyle w:val="TableCellText"/>
              <w:rPr>
                <w:b/>
              </w:rPr>
            </w:pPr>
            <w:r w:rsidRPr="00AE11A2">
              <w:rPr>
                <w:b/>
              </w:rPr>
              <w:t>Tractor Side Fairings</w:t>
            </w:r>
          </w:p>
          <w:p w14:paraId="517943C8" w14:textId="77777777" w:rsidR="00AE11A2" w:rsidRPr="00AE11A2" w:rsidRDefault="00AE11A2" w:rsidP="008F7BF8">
            <w:pPr>
              <w:ind w:left="207"/>
              <w:rPr>
                <w:szCs w:val="20"/>
              </w:rPr>
            </w:pPr>
            <w:r w:rsidRPr="00AE11A2">
              <w:rPr>
                <w:szCs w:val="20"/>
              </w:rPr>
              <w:t>Also known as cab fairings. Extend downward from the base of the cab between the wheels of the tractor, covering the open space and streamlining the fuel tank(s). In some cases, may consist of a single component that is a wheel-to-wheel fairing. In other cases, consists of two components—a partial side fairing and a fuel tank fairing.</w:t>
            </w:r>
          </w:p>
        </w:tc>
        <w:tc>
          <w:tcPr>
            <w:tcW w:w="810" w:type="dxa"/>
            <w:tcBorders>
              <w:top w:val="single" w:sz="4" w:space="0" w:color="0070C0"/>
              <w:left w:val="single" w:sz="4" w:space="0" w:color="0070C0"/>
              <w:bottom w:val="single" w:sz="4" w:space="0" w:color="0070C0"/>
              <w:right w:val="single" w:sz="4" w:space="0" w:color="0070C0"/>
            </w:tcBorders>
          </w:tcPr>
          <w:p w14:paraId="342A41FF" w14:textId="77777777" w:rsidR="00AE11A2" w:rsidRPr="00AE11A2" w:rsidRDefault="00AE11A2" w:rsidP="004739E4">
            <w:pPr>
              <w:pStyle w:val="TableCellText"/>
              <w:rPr>
                <w:highlight w:val="yellow"/>
              </w:rPr>
            </w:pPr>
            <w:r w:rsidRPr="00AE11A2">
              <w:t>All</w:t>
            </w:r>
          </w:p>
        </w:tc>
        <w:tc>
          <w:tcPr>
            <w:tcW w:w="810" w:type="dxa"/>
            <w:tcBorders>
              <w:top w:val="single" w:sz="4" w:space="0" w:color="0070C0"/>
              <w:left w:val="single" w:sz="4" w:space="0" w:color="0070C0"/>
              <w:bottom w:val="single" w:sz="4" w:space="0" w:color="0070C0"/>
              <w:right w:val="single" w:sz="4" w:space="0" w:color="0070C0"/>
            </w:tcBorders>
          </w:tcPr>
          <w:p w14:paraId="5432B485" w14:textId="77777777" w:rsidR="00AE11A2" w:rsidRPr="00AE11A2" w:rsidRDefault="00AE11A2" w:rsidP="004739E4">
            <w:pPr>
              <w:pStyle w:val="TableCellText"/>
              <w:rPr>
                <w:highlight w:val="yellow"/>
              </w:rPr>
            </w:pPr>
            <w:r w:rsidRPr="00AE11A2">
              <w:t>S,M,C</w:t>
            </w:r>
            <w:r>
              <w:t>,D</w:t>
            </w:r>
          </w:p>
        </w:tc>
        <w:tc>
          <w:tcPr>
            <w:tcW w:w="717" w:type="dxa"/>
            <w:tcBorders>
              <w:top w:val="single" w:sz="4" w:space="0" w:color="0070C0"/>
              <w:left w:val="single" w:sz="4" w:space="0" w:color="0070C0"/>
              <w:bottom w:val="single" w:sz="4" w:space="0" w:color="0070C0"/>
              <w:right w:val="single" w:sz="4" w:space="0" w:color="0070C0"/>
            </w:tcBorders>
          </w:tcPr>
          <w:p w14:paraId="384426D6" w14:textId="77777777" w:rsidR="00AE11A2" w:rsidRPr="00AE11A2" w:rsidRDefault="00AE11A2" w:rsidP="004739E4">
            <w:pPr>
              <w:pStyle w:val="TableCellText"/>
            </w:pPr>
            <w:r w:rsidRPr="00AE11A2">
              <w:t>5</w:t>
            </w:r>
          </w:p>
        </w:tc>
      </w:tr>
      <w:tr w:rsidR="00AE11A2" w:rsidRPr="00AE11A2" w14:paraId="2F1B8DBD" w14:textId="77777777" w:rsidTr="00AE11A2">
        <w:trPr>
          <w:trHeight w:val="300"/>
        </w:trPr>
        <w:tc>
          <w:tcPr>
            <w:tcW w:w="7014" w:type="dxa"/>
            <w:tcBorders>
              <w:top w:val="single" w:sz="4" w:space="0" w:color="0070C0"/>
              <w:left w:val="single" w:sz="4" w:space="0" w:color="0070C0"/>
              <w:bottom w:val="single" w:sz="4" w:space="0" w:color="0070C0"/>
              <w:right w:val="single" w:sz="4" w:space="0" w:color="0070C0"/>
            </w:tcBorders>
            <w:noWrap/>
          </w:tcPr>
          <w:p w14:paraId="7C45620A" w14:textId="77777777" w:rsidR="00AE11A2" w:rsidRPr="00AE11A2" w:rsidRDefault="00AE11A2" w:rsidP="004739E4">
            <w:pPr>
              <w:pStyle w:val="TableCellText"/>
              <w:rPr>
                <w:b/>
              </w:rPr>
            </w:pPr>
            <w:r w:rsidRPr="00AE11A2">
              <w:rPr>
                <w:b/>
              </w:rPr>
              <w:t xml:space="preserve">Trailer Side Skirts </w:t>
            </w:r>
          </w:p>
          <w:p w14:paraId="0CCF19FD" w14:textId="77777777" w:rsidR="00AE11A2" w:rsidRPr="00AE11A2" w:rsidRDefault="00AE11A2" w:rsidP="004739E4">
            <w:pPr>
              <w:ind w:left="208"/>
              <w:rPr>
                <w:szCs w:val="20"/>
              </w:rPr>
            </w:pPr>
            <w:r w:rsidRPr="00AE11A2">
              <w:rPr>
                <w:rFonts w:eastAsia="Calibri" w:cs="Arial"/>
                <w:szCs w:val="20"/>
              </w:rPr>
              <w:t xml:space="preserve">Also called trailer fairings. Extend down from the bottom of the trailer to cover part of the open space between the tractor and the rear wheels. Improve airflow around the trailer and reduce drag. Can be used on either the front trailer or both trailers with increased results. </w:t>
            </w:r>
          </w:p>
        </w:tc>
        <w:tc>
          <w:tcPr>
            <w:tcW w:w="810" w:type="dxa"/>
            <w:tcBorders>
              <w:top w:val="single" w:sz="4" w:space="0" w:color="0070C0"/>
              <w:left w:val="single" w:sz="4" w:space="0" w:color="0070C0"/>
              <w:bottom w:val="single" w:sz="4" w:space="0" w:color="0070C0"/>
              <w:right w:val="single" w:sz="4" w:space="0" w:color="0070C0"/>
            </w:tcBorders>
          </w:tcPr>
          <w:p w14:paraId="0024B83C" w14:textId="77777777" w:rsidR="00AE11A2" w:rsidRPr="00AE11A2" w:rsidRDefault="00AE11A2" w:rsidP="004739E4">
            <w:pPr>
              <w:pStyle w:val="TableCellText"/>
            </w:pPr>
            <w:r w:rsidRPr="00AE11A2">
              <w:t>All</w:t>
            </w:r>
          </w:p>
        </w:tc>
        <w:tc>
          <w:tcPr>
            <w:tcW w:w="810" w:type="dxa"/>
            <w:tcBorders>
              <w:top w:val="single" w:sz="4" w:space="0" w:color="0070C0"/>
              <w:left w:val="single" w:sz="4" w:space="0" w:color="0070C0"/>
              <w:bottom w:val="single" w:sz="4" w:space="0" w:color="0070C0"/>
              <w:right w:val="single" w:sz="4" w:space="0" w:color="0070C0"/>
            </w:tcBorders>
          </w:tcPr>
          <w:p w14:paraId="1BBC878D" w14:textId="77777777" w:rsidR="00AE11A2" w:rsidRPr="00AE11A2" w:rsidRDefault="00AE11A2" w:rsidP="004739E4">
            <w:pPr>
              <w:pStyle w:val="TableCellText"/>
            </w:pPr>
            <w:r w:rsidRPr="00AE11A2">
              <w:t>S,M,C</w:t>
            </w:r>
            <w:r>
              <w:t>,D</w:t>
            </w:r>
          </w:p>
        </w:tc>
        <w:tc>
          <w:tcPr>
            <w:tcW w:w="717" w:type="dxa"/>
            <w:tcBorders>
              <w:top w:val="single" w:sz="4" w:space="0" w:color="0070C0"/>
              <w:left w:val="single" w:sz="4" w:space="0" w:color="0070C0"/>
              <w:bottom w:val="single" w:sz="4" w:space="0" w:color="0070C0"/>
              <w:right w:val="single" w:sz="4" w:space="0" w:color="0070C0"/>
            </w:tcBorders>
          </w:tcPr>
          <w:p w14:paraId="2AA8F714" w14:textId="77777777" w:rsidR="00AE11A2" w:rsidRPr="00AE11A2" w:rsidRDefault="00AE11A2" w:rsidP="004739E4">
            <w:pPr>
              <w:pStyle w:val="TableCellText"/>
            </w:pPr>
            <w:r w:rsidRPr="00AE11A2">
              <w:t>5</w:t>
            </w:r>
          </w:p>
        </w:tc>
      </w:tr>
      <w:tr w:rsidR="00AE11A2" w:rsidRPr="00AE11A2" w14:paraId="45FDA1C1" w14:textId="77777777" w:rsidTr="00AE11A2">
        <w:trPr>
          <w:trHeight w:val="300"/>
        </w:trPr>
        <w:tc>
          <w:tcPr>
            <w:tcW w:w="7014" w:type="dxa"/>
            <w:tcBorders>
              <w:top w:val="single" w:sz="4" w:space="0" w:color="0070C0"/>
              <w:left w:val="single" w:sz="4" w:space="0" w:color="0070C0"/>
              <w:bottom w:val="single" w:sz="4" w:space="0" w:color="0070C0"/>
              <w:right w:val="single" w:sz="4" w:space="0" w:color="0070C0"/>
            </w:tcBorders>
            <w:noWrap/>
          </w:tcPr>
          <w:p w14:paraId="4F194C79" w14:textId="77777777" w:rsidR="00AE11A2" w:rsidRPr="00AE11A2" w:rsidRDefault="00AE11A2" w:rsidP="004739E4">
            <w:pPr>
              <w:pStyle w:val="TableCellText"/>
              <w:rPr>
                <w:b/>
              </w:rPr>
            </w:pPr>
            <w:r w:rsidRPr="00AE11A2">
              <w:rPr>
                <w:b/>
              </w:rPr>
              <w:t xml:space="preserve">Fuel Tank Skirts </w:t>
            </w:r>
          </w:p>
          <w:p w14:paraId="18979C5F" w14:textId="77777777" w:rsidR="00AE11A2" w:rsidRPr="00AE11A2" w:rsidRDefault="00AE11A2" w:rsidP="004739E4">
            <w:pPr>
              <w:ind w:left="208"/>
              <w:rPr>
                <w:szCs w:val="20"/>
              </w:rPr>
            </w:pPr>
            <w:r w:rsidRPr="00AE11A2">
              <w:rPr>
                <w:rFonts w:eastAsia="Calibri" w:cs="Arial"/>
                <w:szCs w:val="20"/>
              </w:rPr>
              <w:t>Cover the fuel tank and reduce aerodynamic drag caused by the fuel tank.</w:t>
            </w:r>
          </w:p>
        </w:tc>
        <w:tc>
          <w:tcPr>
            <w:tcW w:w="810" w:type="dxa"/>
            <w:tcBorders>
              <w:top w:val="single" w:sz="4" w:space="0" w:color="0070C0"/>
              <w:left w:val="single" w:sz="4" w:space="0" w:color="0070C0"/>
              <w:bottom w:val="single" w:sz="4" w:space="0" w:color="0070C0"/>
              <w:right w:val="single" w:sz="4" w:space="0" w:color="0070C0"/>
            </w:tcBorders>
          </w:tcPr>
          <w:p w14:paraId="0B5696E5" w14:textId="77777777" w:rsidR="00AE11A2" w:rsidRPr="00AE11A2" w:rsidRDefault="00AE11A2" w:rsidP="004739E4">
            <w:pPr>
              <w:pStyle w:val="TableCellText"/>
            </w:pPr>
            <w:r w:rsidRPr="00AE11A2">
              <w:t>All</w:t>
            </w:r>
          </w:p>
        </w:tc>
        <w:tc>
          <w:tcPr>
            <w:tcW w:w="810" w:type="dxa"/>
            <w:tcBorders>
              <w:top w:val="single" w:sz="4" w:space="0" w:color="0070C0"/>
              <w:left w:val="single" w:sz="4" w:space="0" w:color="0070C0"/>
              <w:bottom w:val="single" w:sz="4" w:space="0" w:color="0070C0"/>
              <w:right w:val="single" w:sz="4" w:space="0" w:color="0070C0"/>
            </w:tcBorders>
          </w:tcPr>
          <w:p w14:paraId="13E79361" w14:textId="77777777" w:rsidR="00AE11A2" w:rsidRPr="00AE11A2" w:rsidRDefault="00AE11A2" w:rsidP="004739E4">
            <w:pPr>
              <w:pStyle w:val="TableCellText"/>
            </w:pPr>
            <w:r w:rsidRPr="00AE11A2">
              <w:t>S,M,C</w:t>
            </w:r>
            <w:r>
              <w:t>,D</w:t>
            </w:r>
          </w:p>
        </w:tc>
        <w:tc>
          <w:tcPr>
            <w:tcW w:w="717" w:type="dxa"/>
            <w:tcBorders>
              <w:top w:val="single" w:sz="4" w:space="0" w:color="0070C0"/>
              <w:left w:val="single" w:sz="4" w:space="0" w:color="0070C0"/>
              <w:bottom w:val="single" w:sz="4" w:space="0" w:color="0070C0"/>
              <w:right w:val="single" w:sz="4" w:space="0" w:color="0070C0"/>
            </w:tcBorders>
          </w:tcPr>
          <w:p w14:paraId="360DAEF4" w14:textId="77777777" w:rsidR="00AE11A2" w:rsidRPr="00AE11A2" w:rsidRDefault="00AE11A2" w:rsidP="004739E4">
            <w:pPr>
              <w:pStyle w:val="TableCellText"/>
            </w:pPr>
            <w:r w:rsidRPr="00AE11A2">
              <w:t>5</w:t>
            </w:r>
          </w:p>
        </w:tc>
      </w:tr>
      <w:tr w:rsidR="00AE11A2" w:rsidRPr="00AE11A2" w14:paraId="7EE46496" w14:textId="77777777" w:rsidTr="00AE11A2">
        <w:tblPrEx>
          <w:tblLook w:val="0480" w:firstRow="0" w:lastRow="0" w:firstColumn="1" w:lastColumn="0" w:noHBand="0" w:noVBand="1"/>
        </w:tblPrEx>
        <w:trPr>
          <w:trHeight w:val="58"/>
        </w:trPr>
        <w:tc>
          <w:tcPr>
            <w:tcW w:w="9351" w:type="dxa"/>
            <w:gridSpan w:val="4"/>
            <w:tcBorders>
              <w:top w:val="single" w:sz="4" w:space="0" w:color="0070C0"/>
              <w:left w:val="nil"/>
              <w:bottom w:val="nil"/>
              <w:right w:val="nil"/>
            </w:tcBorders>
            <w:noWrap/>
            <w:tcMar>
              <w:top w:w="0" w:type="dxa"/>
              <w:left w:w="58" w:type="dxa"/>
              <w:bottom w:w="0" w:type="dxa"/>
            </w:tcMar>
          </w:tcPr>
          <w:p w14:paraId="2E333E29" w14:textId="31E3DEB7" w:rsidR="00AE11A2" w:rsidRPr="00AE11A2" w:rsidRDefault="00AE11A2" w:rsidP="004739E4">
            <w:pPr>
              <w:pStyle w:val="TableCellText"/>
            </w:pPr>
            <w:r w:rsidRPr="00AE11A2">
              <w:rPr>
                <w:rStyle w:val="TableFootnoteReferenceChar"/>
              </w:rPr>
              <w:t>a</w:t>
            </w:r>
            <w:r w:rsidRPr="00D517E7">
              <w:rPr>
                <w:rStyle w:val="TableFootnoteChar"/>
                <w:sz w:val="18"/>
              </w:rPr>
              <w:t xml:space="preserve">Codes used in this table for analysis types: </w:t>
            </w:r>
            <w:r w:rsidRPr="00D517E7">
              <w:rPr>
                <w:b/>
                <w:sz w:val="18"/>
              </w:rPr>
              <w:t>Dep</w:t>
            </w:r>
            <w:r w:rsidRPr="00D517E7">
              <w:rPr>
                <w:sz w:val="18"/>
              </w:rPr>
              <w:t xml:space="preserve">=Deployment </w:t>
            </w:r>
            <w:r w:rsidR="00F402BA" w:rsidRPr="00D517E7">
              <w:rPr>
                <w:b/>
                <w:sz w:val="18"/>
              </w:rPr>
              <w:t>Fund</w:t>
            </w:r>
            <w:r w:rsidR="00F402BA" w:rsidRPr="00D517E7">
              <w:rPr>
                <w:sz w:val="18"/>
              </w:rPr>
              <w:t>=Funding Impact</w:t>
            </w:r>
            <w:r w:rsidRPr="00D517E7">
              <w:rPr>
                <w:sz w:val="18"/>
              </w:rPr>
              <w:t xml:space="preserve"> </w:t>
            </w:r>
            <w:r w:rsidRPr="00D517E7">
              <w:rPr>
                <w:b/>
                <w:sz w:val="18"/>
              </w:rPr>
              <w:t>Inc</w:t>
            </w:r>
            <w:r w:rsidRPr="00D517E7">
              <w:rPr>
                <w:sz w:val="18"/>
              </w:rPr>
              <w:t>=Incentive</w:t>
            </w:r>
          </w:p>
        </w:tc>
      </w:tr>
      <w:tr w:rsidR="00AE11A2" w:rsidRPr="00AE11A2" w14:paraId="15841D77" w14:textId="77777777" w:rsidTr="004739E4">
        <w:tblPrEx>
          <w:tblLook w:val="0480" w:firstRow="0" w:lastRow="0" w:firstColumn="1" w:lastColumn="0" w:noHBand="0" w:noVBand="1"/>
        </w:tblPrEx>
        <w:trPr>
          <w:trHeight w:val="58"/>
        </w:trPr>
        <w:tc>
          <w:tcPr>
            <w:tcW w:w="9351" w:type="dxa"/>
            <w:gridSpan w:val="4"/>
            <w:tcBorders>
              <w:top w:val="nil"/>
              <w:left w:val="nil"/>
              <w:bottom w:val="nil"/>
              <w:right w:val="nil"/>
            </w:tcBorders>
            <w:noWrap/>
            <w:tcMar>
              <w:top w:w="0" w:type="dxa"/>
              <w:bottom w:w="0" w:type="dxa"/>
            </w:tcMar>
          </w:tcPr>
          <w:p w14:paraId="1AF3C974" w14:textId="77777777" w:rsidR="00AE11A2" w:rsidRPr="00AE11A2" w:rsidRDefault="00AE11A2" w:rsidP="004739E4">
            <w:pPr>
              <w:pStyle w:val="TableCellText"/>
            </w:pPr>
            <w:r w:rsidRPr="00AE11A2">
              <w:rPr>
                <w:rStyle w:val="TableFootnoteReferenceChar"/>
              </w:rPr>
              <w:t>b</w:t>
            </w:r>
            <w:r w:rsidRPr="00D517E7">
              <w:rPr>
                <w:sz w:val="18"/>
              </w:rPr>
              <w:t xml:space="preserve">Codes used in this table for geographic scales: </w:t>
            </w:r>
            <w:r w:rsidRPr="00D517E7">
              <w:rPr>
                <w:b/>
                <w:sz w:val="18"/>
              </w:rPr>
              <w:t>S</w:t>
            </w:r>
            <w:r w:rsidRPr="00D517E7">
              <w:rPr>
                <w:sz w:val="18"/>
              </w:rPr>
              <w:t xml:space="preserve">=State </w:t>
            </w:r>
            <w:r w:rsidRPr="00D517E7">
              <w:rPr>
                <w:b/>
                <w:sz w:val="18"/>
              </w:rPr>
              <w:t>M</w:t>
            </w:r>
            <w:r w:rsidRPr="00D517E7">
              <w:rPr>
                <w:sz w:val="18"/>
              </w:rPr>
              <w:t xml:space="preserve">=Metropolitan </w:t>
            </w:r>
            <w:r w:rsidRPr="00D517E7">
              <w:rPr>
                <w:b/>
                <w:sz w:val="18"/>
              </w:rPr>
              <w:t>C</w:t>
            </w:r>
            <w:r w:rsidRPr="00D517E7">
              <w:rPr>
                <w:sz w:val="18"/>
              </w:rPr>
              <w:t xml:space="preserve">=County/Municipal </w:t>
            </w:r>
            <w:r w:rsidRPr="00D517E7">
              <w:rPr>
                <w:b/>
                <w:sz w:val="18"/>
              </w:rPr>
              <w:t>D</w:t>
            </w:r>
            <w:r w:rsidRPr="00D517E7">
              <w:rPr>
                <w:sz w:val="18"/>
              </w:rPr>
              <w:t xml:space="preserve">=Distribution Center </w:t>
            </w:r>
            <w:r w:rsidRPr="00D517E7">
              <w:rPr>
                <w:b/>
                <w:sz w:val="18"/>
              </w:rPr>
              <w:t>P</w:t>
            </w:r>
            <w:r w:rsidRPr="00D517E7">
              <w:rPr>
                <w:sz w:val="18"/>
              </w:rPr>
              <w:t>=Port</w:t>
            </w:r>
          </w:p>
        </w:tc>
      </w:tr>
      <w:tr w:rsidR="00AE11A2" w:rsidRPr="00AE11A2" w14:paraId="1289D0C7" w14:textId="77777777" w:rsidTr="004739E4">
        <w:tblPrEx>
          <w:tblLook w:val="0480" w:firstRow="0" w:lastRow="0" w:firstColumn="1" w:lastColumn="0" w:noHBand="0" w:noVBand="1"/>
        </w:tblPrEx>
        <w:trPr>
          <w:trHeight w:val="58"/>
        </w:trPr>
        <w:tc>
          <w:tcPr>
            <w:tcW w:w="9351" w:type="dxa"/>
            <w:gridSpan w:val="4"/>
            <w:tcBorders>
              <w:top w:val="nil"/>
              <w:left w:val="nil"/>
              <w:bottom w:val="nil"/>
              <w:right w:val="nil"/>
            </w:tcBorders>
            <w:noWrap/>
            <w:tcMar>
              <w:top w:w="0" w:type="dxa"/>
              <w:bottom w:w="0" w:type="dxa"/>
            </w:tcMar>
          </w:tcPr>
          <w:p w14:paraId="086B2C29" w14:textId="48A76019" w:rsidR="00AE11A2" w:rsidRPr="00AE11A2" w:rsidRDefault="00AE11A2" w:rsidP="004739E4">
            <w:pPr>
              <w:pStyle w:val="TableCellText"/>
              <w:ind w:left="206" w:hanging="206"/>
            </w:pPr>
            <w:r w:rsidRPr="00AE11A2">
              <w:rPr>
                <w:rStyle w:val="TableFootnoteReferenceChar"/>
              </w:rPr>
              <w:t>c</w:t>
            </w:r>
            <w:r w:rsidRPr="00D517E7">
              <w:rPr>
                <w:sz w:val="18"/>
              </w:rPr>
              <w:t xml:space="preserve">Codes used in this table for truck types: </w:t>
            </w:r>
            <w:r w:rsidRPr="00D517E7">
              <w:rPr>
                <w:b/>
                <w:sz w:val="18"/>
              </w:rPr>
              <w:t>1</w:t>
            </w:r>
            <w:r w:rsidRPr="00D517E7">
              <w:rPr>
                <w:sz w:val="18"/>
              </w:rPr>
              <w:t>=Single</w:t>
            </w:r>
            <w:r w:rsidR="007B1EA8">
              <w:rPr>
                <w:sz w:val="18"/>
              </w:rPr>
              <w:t xml:space="preserve"> unit</w:t>
            </w:r>
            <w:r w:rsidRPr="00D517E7">
              <w:rPr>
                <w:sz w:val="18"/>
              </w:rPr>
              <w:t xml:space="preserve"> Short Haul, Gasoline </w:t>
            </w:r>
            <w:r w:rsidRPr="00D517E7">
              <w:rPr>
                <w:b/>
                <w:sz w:val="18"/>
              </w:rPr>
              <w:t>2</w:t>
            </w:r>
            <w:r w:rsidRPr="00D517E7">
              <w:rPr>
                <w:sz w:val="18"/>
              </w:rPr>
              <w:t>=Single</w:t>
            </w:r>
            <w:r w:rsidR="007B1EA8">
              <w:rPr>
                <w:sz w:val="18"/>
              </w:rPr>
              <w:t xml:space="preserve"> unit</w:t>
            </w:r>
            <w:r w:rsidRPr="00D517E7">
              <w:rPr>
                <w:sz w:val="18"/>
              </w:rPr>
              <w:t xml:space="preserve"> Short Haul, Diesel </w:t>
            </w:r>
            <w:r w:rsidRPr="00D517E7">
              <w:rPr>
                <w:b/>
                <w:sz w:val="18"/>
              </w:rPr>
              <w:t>3</w:t>
            </w:r>
            <w:r w:rsidRPr="00D517E7">
              <w:rPr>
                <w:sz w:val="18"/>
              </w:rPr>
              <w:t>=Single</w:t>
            </w:r>
            <w:r w:rsidR="007B1EA8">
              <w:rPr>
                <w:sz w:val="18"/>
              </w:rPr>
              <w:t xml:space="preserve"> unit</w:t>
            </w:r>
            <w:r w:rsidRPr="00D517E7">
              <w:rPr>
                <w:sz w:val="18"/>
              </w:rPr>
              <w:t xml:space="preserve"> Long Haul </w:t>
            </w:r>
            <w:r w:rsidRPr="00D517E7">
              <w:rPr>
                <w:b/>
                <w:sz w:val="18"/>
              </w:rPr>
              <w:t>4</w:t>
            </w:r>
            <w:r w:rsidRPr="00D517E7">
              <w:rPr>
                <w:sz w:val="18"/>
              </w:rPr>
              <w:t>=Combination</w:t>
            </w:r>
            <w:r w:rsidR="007B1EA8">
              <w:rPr>
                <w:sz w:val="18"/>
              </w:rPr>
              <w:t xml:space="preserve"> unit</w:t>
            </w:r>
            <w:r w:rsidRPr="00D517E7">
              <w:rPr>
                <w:sz w:val="18"/>
              </w:rPr>
              <w:t xml:space="preserve"> Short Haul </w:t>
            </w:r>
            <w:r w:rsidRPr="00D517E7">
              <w:rPr>
                <w:b/>
                <w:sz w:val="18"/>
              </w:rPr>
              <w:t>5</w:t>
            </w:r>
            <w:r w:rsidRPr="00D517E7">
              <w:rPr>
                <w:sz w:val="18"/>
              </w:rPr>
              <w:t>=Combination</w:t>
            </w:r>
            <w:r w:rsidR="007B1EA8">
              <w:rPr>
                <w:sz w:val="18"/>
              </w:rPr>
              <w:t xml:space="preserve"> unit</w:t>
            </w:r>
            <w:r w:rsidRPr="00D517E7">
              <w:rPr>
                <w:sz w:val="18"/>
              </w:rPr>
              <w:t xml:space="preserve"> Long Haul</w:t>
            </w:r>
          </w:p>
        </w:tc>
      </w:tr>
    </w:tbl>
    <w:p w14:paraId="4C1B1864" w14:textId="77777777" w:rsidR="00AE11A2" w:rsidRDefault="00AE11A2" w:rsidP="00AE11A2">
      <w:pPr>
        <w:pStyle w:val="FigureCaption"/>
      </w:pPr>
      <w:bookmarkStart w:id="32" w:name="_Ref459977764"/>
      <w:bookmarkStart w:id="33" w:name="_Toc482973609"/>
      <w:r>
        <w:lastRenderedPageBreak/>
        <w:t xml:space="preserve">Figure </w:t>
      </w:r>
      <w:r w:rsidR="00833B69">
        <w:fldChar w:fldCharType="begin"/>
      </w:r>
      <w:r w:rsidR="006578C8">
        <w:instrText xml:space="preserve"> SEQ Figure \* ARABIC </w:instrText>
      </w:r>
      <w:r w:rsidR="00833B69">
        <w:fldChar w:fldCharType="separate"/>
      </w:r>
      <w:r w:rsidR="00C42F38">
        <w:rPr>
          <w:noProof/>
        </w:rPr>
        <w:t>1</w:t>
      </w:r>
      <w:r w:rsidR="00833B69">
        <w:rPr>
          <w:noProof/>
        </w:rPr>
        <w:fldChar w:fldCharType="end"/>
      </w:r>
      <w:bookmarkEnd w:id="32"/>
      <w:r w:rsidR="00C43F06">
        <w:rPr>
          <w:noProof/>
        </w:rPr>
        <w:t>.</w:t>
      </w:r>
      <w:r>
        <w:t xml:space="preserve"> Aerodynamic Devices Used in the Tool</w:t>
      </w:r>
      <w:bookmarkEnd w:id="33"/>
    </w:p>
    <w:p w14:paraId="468393B6" w14:textId="77777777" w:rsidR="008369D5" w:rsidRDefault="00072541" w:rsidP="005F08E5">
      <w:pPr>
        <w:pStyle w:val="BodyText"/>
      </w:pPr>
      <w:r w:rsidRPr="00072541">
        <w:rPr>
          <w:noProof/>
        </w:rPr>
        <w:drawing>
          <wp:inline distT="0" distB="0" distL="0" distR="0" wp14:anchorId="0AB9BFC5" wp14:editId="12FE93E1">
            <wp:extent cx="5943600" cy="292140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921403"/>
                    </a:xfrm>
                    <a:prstGeom prst="rect">
                      <a:avLst/>
                    </a:prstGeom>
                    <a:noFill/>
                    <a:ln>
                      <a:noFill/>
                    </a:ln>
                  </pic:spPr>
                </pic:pic>
              </a:graphicData>
            </a:graphic>
          </wp:inline>
        </w:drawing>
      </w:r>
    </w:p>
    <w:p w14:paraId="664195BE" w14:textId="77777777" w:rsidR="00644913" w:rsidRDefault="00644913" w:rsidP="00644913">
      <w:pPr>
        <w:pStyle w:val="BodyText"/>
      </w:pPr>
    </w:p>
    <w:p w14:paraId="7D1A9461" w14:textId="7FBB3ED3" w:rsidR="00644913" w:rsidRDefault="00644913">
      <w:pPr>
        <w:spacing w:after="200" w:line="276" w:lineRule="auto"/>
        <w:rPr>
          <w:rFonts w:cs="Arial"/>
        </w:rPr>
      </w:pPr>
      <w:r>
        <w:br w:type="page"/>
      </w:r>
    </w:p>
    <w:p w14:paraId="40C68FB9" w14:textId="77777777" w:rsidR="005F08E5" w:rsidRDefault="005F08E5" w:rsidP="005F08E5">
      <w:pPr>
        <w:pStyle w:val="Heading3"/>
      </w:pPr>
      <w:bookmarkStart w:id="34" w:name="_Toc482973550"/>
      <w:r>
        <w:lastRenderedPageBreak/>
        <w:t>Tires</w:t>
      </w:r>
      <w:bookmarkEnd w:id="34"/>
    </w:p>
    <w:p w14:paraId="1C84878C" w14:textId="253CB9F5" w:rsidR="005F08E5" w:rsidRDefault="005D13E3" w:rsidP="005F08E5">
      <w:pPr>
        <w:pStyle w:val="BodyText"/>
      </w:pPr>
      <w:r w:rsidRPr="00F92B44">
        <w:t xml:space="preserve">Energy lost due to resistance or friction at the point where tires meet the road can have an impact on </w:t>
      </w:r>
      <w:r w:rsidR="00AE11A2">
        <w:t xml:space="preserve">the </w:t>
      </w:r>
      <w:r w:rsidRPr="00F92B44">
        <w:t xml:space="preserve">fuel economy of trucks, especially tractor-trailers </w:t>
      </w:r>
      <w:r>
        <w:t>because they</w:t>
      </w:r>
      <w:r w:rsidRPr="00F92B44">
        <w:t xml:space="preserve"> have more tires.</w:t>
      </w:r>
      <w:r w:rsidR="00330080">
        <w:t xml:space="preserve"> </w:t>
      </w:r>
      <w:r>
        <w:t xml:space="preserve">Three strategies in the Tool relate to tires, as summarized </w:t>
      </w:r>
      <w:r w:rsidR="00AE11A2">
        <w:t xml:space="preserve">in </w:t>
      </w:r>
      <w:r w:rsidR="00833B69">
        <w:fldChar w:fldCharType="begin"/>
      </w:r>
      <w:r w:rsidR="006F5BAA">
        <w:instrText xml:space="preserve"> REF _Ref458586741 \h </w:instrText>
      </w:r>
      <w:r w:rsidR="00833B69">
        <w:fldChar w:fldCharType="separate"/>
      </w:r>
      <w:r w:rsidR="00C42F38">
        <w:t xml:space="preserve">Table </w:t>
      </w:r>
      <w:r w:rsidR="00C42F38">
        <w:rPr>
          <w:noProof/>
        </w:rPr>
        <w:t>9</w:t>
      </w:r>
      <w:r w:rsidR="00833B69">
        <w:fldChar w:fldCharType="end"/>
      </w:r>
      <w:r w:rsidR="006F5BAA">
        <w:t>.</w:t>
      </w:r>
    </w:p>
    <w:p w14:paraId="2350C972" w14:textId="77777777" w:rsidR="00AE11A2" w:rsidRDefault="00AE11A2" w:rsidP="00AE11A2">
      <w:pPr>
        <w:pStyle w:val="TableCaption"/>
      </w:pPr>
      <w:bookmarkStart w:id="35" w:name="_Ref458586741"/>
      <w:bookmarkStart w:id="36" w:name="_Toc482973589"/>
      <w:r>
        <w:t xml:space="preserve">Table </w:t>
      </w:r>
      <w:r w:rsidR="00833B69">
        <w:fldChar w:fldCharType="begin"/>
      </w:r>
      <w:r>
        <w:instrText xml:space="preserve"> SEQ Table \* ARABIC </w:instrText>
      </w:r>
      <w:r w:rsidR="00833B69">
        <w:fldChar w:fldCharType="separate"/>
      </w:r>
      <w:r w:rsidR="00305706">
        <w:t>9</w:t>
      </w:r>
      <w:r w:rsidR="00833B69">
        <w:fldChar w:fldCharType="end"/>
      </w:r>
      <w:bookmarkEnd w:id="35"/>
      <w:r>
        <w:t>. Tire Modifications Used in the Tool</w:t>
      </w:r>
      <w:bookmarkEnd w:id="36"/>
    </w:p>
    <w:tbl>
      <w:tblPr>
        <w:tblStyle w:val="TemplateTable"/>
        <w:tblW w:w="9347" w:type="dxa"/>
        <w:tblLayout w:type="fixed"/>
        <w:tblCellMar>
          <w:top w:w="0" w:type="dxa"/>
          <w:bottom w:w="0" w:type="dxa"/>
        </w:tblCellMar>
        <w:tblLook w:val="04A0" w:firstRow="1" w:lastRow="0" w:firstColumn="1" w:lastColumn="0" w:noHBand="0" w:noVBand="1"/>
      </w:tblPr>
      <w:tblGrid>
        <w:gridCol w:w="2231"/>
        <w:gridCol w:w="4787"/>
        <w:gridCol w:w="810"/>
        <w:gridCol w:w="810"/>
        <w:gridCol w:w="684"/>
        <w:gridCol w:w="25"/>
      </w:tblGrid>
      <w:tr w:rsidR="00AE11A2" w:rsidRPr="00CC451D" w14:paraId="7388E281" w14:textId="77777777" w:rsidTr="004739E4">
        <w:trPr>
          <w:gridAfter w:val="1"/>
          <w:cnfStyle w:val="100000000000" w:firstRow="1" w:lastRow="0" w:firstColumn="0" w:lastColumn="0" w:oddVBand="0" w:evenVBand="0" w:oddHBand="0" w:evenHBand="0" w:firstRowFirstColumn="0" w:firstRowLastColumn="0" w:lastRowFirstColumn="0" w:lastRowLastColumn="0"/>
          <w:wAfter w:w="25" w:type="dxa"/>
          <w:trHeight w:val="24"/>
        </w:trPr>
        <w:tc>
          <w:tcPr>
            <w:tcW w:w="7018" w:type="dxa"/>
            <w:gridSpan w:val="2"/>
            <w:vAlign w:val="bottom"/>
          </w:tcPr>
          <w:p w14:paraId="6D4CEE1B" w14:textId="77777777" w:rsidR="00AE11A2" w:rsidRPr="00CC451D" w:rsidRDefault="00AE11A2" w:rsidP="004739E4">
            <w:pPr>
              <w:pStyle w:val="TableColumnHeading"/>
            </w:pPr>
            <w:r>
              <w:t>Tire Modification</w:t>
            </w:r>
          </w:p>
        </w:tc>
        <w:tc>
          <w:tcPr>
            <w:tcW w:w="810" w:type="dxa"/>
            <w:vAlign w:val="bottom"/>
          </w:tcPr>
          <w:p w14:paraId="3B577DE4" w14:textId="77777777" w:rsidR="00AE11A2" w:rsidRDefault="00AE11A2" w:rsidP="004739E4">
            <w:pPr>
              <w:pStyle w:val="TableColumnHeading"/>
            </w:pPr>
            <w:r>
              <w:t>Analysis Types</w:t>
            </w:r>
            <w:r w:rsidRPr="00D6223F">
              <w:rPr>
                <w:rStyle w:val="TableFootnoteReferenceChar"/>
              </w:rPr>
              <w:t>a</w:t>
            </w:r>
          </w:p>
        </w:tc>
        <w:tc>
          <w:tcPr>
            <w:tcW w:w="810" w:type="dxa"/>
            <w:vAlign w:val="bottom"/>
          </w:tcPr>
          <w:p w14:paraId="268565E0" w14:textId="77777777" w:rsidR="00AE11A2" w:rsidRDefault="00AE11A2" w:rsidP="004739E4">
            <w:pPr>
              <w:pStyle w:val="TableColumnHeading"/>
            </w:pPr>
            <w:r>
              <w:t>Geo-graphic Scales</w:t>
            </w:r>
            <w:r>
              <w:rPr>
                <w:rStyle w:val="TableFootnoteReferenceChar"/>
              </w:rPr>
              <w:t>b</w:t>
            </w:r>
          </w:p>
        </w:tc>
        <w:tc>
          <w:tcPr>
            <w:tcW w:w="684" w:type="dxa"/>
            <w:vAlign w:val="bottom"/>
          </w:tcPr>
          <w:p w14:paraId="66A2183E" w14:textId="77777777" w:rsidR="00AE11A2" w:rsidRDefault="00AE11A2" w:rsidP="004739E4">
            <w:pPr>
              <w:pStyle w:val="TableColumnHeading"/>
            </w:pPr>
            <w:r>
              <w:t>Truck Types</w:t>
            </w:r>
            <w:r>
              <w:rPr>
                <w:rStyle w:val="TableFootnoteReferenceChar"/>
              </w:rPr>
              <w:t>c</w:t>
            </w:r>
          </w:p>
        </w:tc>
      </w:tr>
      <w:tr w:rsidR="00AE11A2" w:rsidRPr="00CC451D" w14:paraId="2C32A9FF" w14:textId="77777777" w:rsidTr="004739E4">
        <w:trPr>
          <w:gridAfter w:val="1"/>
          <w:wAfter w:w="25" w:type="dxa"/>
          <w:trHeight w:val="24"/>
        </w:trPr>
        <w:tc>
          <w:tcPr>
            <w:tcW w:w="7018" w:type="dxa"/>
            <w:gridSpan w:val="2"/>
          </w:tcPr>
          <w:p w14:paraId="656662DA" w14:textId="77777777" w:rsidR="00AE11A2" w:rsidRPr="00D6223F" w:rsidRDefault="00AE11A2" w:rsidP="004739E4">
            <w:pPr>
              <w:pStyle w:val="TableCellText"/>
              <w:rPr>
                <w:b/>
              </w:rPr>
            </w:pPr>
            <w:r>
              <w:rPr>
                <w:b/>
              </w:rPr>
              <w:t xml:space="preserve">Low </w:t>
            </w:r>
            <w:r w:rsidRPr="00603823">
              <w:rPr>
                <w:b/>
              </w:rPr>
              <w:t>Rolling Resistance Tires</w:t>
            </w:r>
          </w:p>
          <w:p w14:paraId="23EB25EE" w14:textId="77777777" w:rsidR="00AE11A2" w:rsidRPr="005B74C8" w:rsidRDefault="00AE11A2" w:rsidP="004739E4">
            <w:pPr>
              <w:ind w:left="193"/>
            </w:pPr>
            <w:r>
              <w:rPr>
                <w:rFonts w:eastAsia="Calibri" w:cs="Arial"/>
                <w:sz w:val="18"/>
                <w:szCs w:val="18"/>
              </w:rPr>
              <w:t>M</w:t>
            </w:r>
            <w:r w:rsidRPr="00603823">
              <w:rPr>
                <w:rFonts w:eastAsia="Calibri" w:cs="Arial"/>
                <w:sz w:val="18"/>
                <w:szCs w:val="18"/>
              </w:rPr>
              <w:t xml:space="preserve">inimize the energy lost as heat as the tire rolls. </w:t>
            </w:r>
            <w:r>
              <w:rPr>
                <w:rFonts w:eastAsia="Calibri" w:cs="Arial"/>
                <w:sz w:val="18"/>
                <w:szCs w:val="18"/>
              </w:rPr>
              <w:t>A</w:t>
            </w:r>
            <w:r w:rsidRPr="00603823">
              <w:rPr>
                <w:rFonts w:eastAsia="Calibri" w:cs="Arial"/>
                <w:sz w:val="18"/>
                <w:szCs w:val="18"/>
              </w:rPr>
              <w:t>chieved through the use</w:t>
            </w:r>
            <w:r>
              <w:rPr>
                <w:rFonts w:eastAsia="Calibri" w:cs="Arial"/>
                <w:sz w:val="18"/>
                <w:szCs w:val="18"/>
              </w:rPr>
              <w:t xml:space="preserve"> of alternative tire materials, d</w:t>
            </w:r>
            <w:r w:rsidRPr="00603823">
              <w:rPr>
                <w:rFonts w:eastAsia="Calibri" w:cs="Arial"/>
                <w:sz w:val="18"/>
                <w:szCs w:val="18"/>
              </w:rPr>
              <w:t>esigned and verified for specific axle positions (i.e., steer, drive, or trailer). Low rolling resistance can also be achieved through retreads as well as tire replacements.</w:t>
            </w:r>
          </w:p>
        </w:tc>
        <w:tc>
          <w:tcPr>
            <w:tcW w:w="810" w:type="dxa"/>
          </w:tcPr>
          <w:p w14:paraId="0F1AE20C" w14:textId="25B6BECD" w:rsidR="00AE11A2" w:rsidRDefault="00AE11A2" w:rsidP="004739E4">
            <w:pPr>
              <w:pStyle w:val="TableCellText"/>
            </w:pPr>
            <w:r>
              <w:t>Dep,</w:t>
            </w:r>
            <w:r w:rsidR="00F402BA">
              <w:t>Fund</w:t>
            </w:r>
          </w:p>
        </w:tc>
        <w:tc>
          <w:tcPr>
            <w:tcW w:w="810" w:type="dxa"/>
          </w:tcPr>
          <w:p w14:paraId="155E9DE2" w14:textId="77777777" w:rsidR="00AE11A2" w:rsidRDefault="00AE11A2" w:rsidP="004739E4">
            <w:pPr>
              <w:pStyle w:val="TableCellText"/>
            </w:pPr>
            <w:r>
              <w:t>All</w:t>
            </w:r>
          </w:p>
        </w:tc>
        <w:tc>
          <w:tcPr>
            <w:tcW w:w="684" w:type="dxa"/>
          </w:tcPr>
          <w:p w14:paraId="69DBB16E" w14:textId="77777777" w:rsidR="00AE11A2" w:rsidRDefault="00AE11A2" w:rsidP="004739E4">
            <w:pPr>
              <w:pStyle w:val="TableCellText"/>
            </w:pPr>
            <w:r>
              <w:t>All</w:t>
            </w:r>
          </w:p>
        </w:tc>
      </w:tr>
      <w:tr w:rsidR="00AE11A2" w:rsidRPr="00CC451D" w14:paraId="39548D18" w14:textId="77777777" w:rsidTr="004739E4">
        <w:trPr>
          <w:gridAfter w:val="1"/>
          <w:wAfter w:w="25" w:type="dxa"/>
          <w:trHeight w:val="24"/>
        </w:trPr>
        <w:tc>
          <w:tcPr>
            <w:tcW w:w="7018" w:type="dxa"/>
            <w:gridSpan w:val="2"/>
          </w:tcPr>
          <w:p w14:paraId="2EB057BB" w14:textId="77777777" w:rsidR="00AE11A2" w:rsidRDefault="00AE11A2" w:rsidP="004739E4">
            <w:pPr>
              <w:pStyle w:val="TableCellText"/>
              <w:rPr>
                <w:b/>
              </w:rPr>
            </w:pPr>
            <w:r>
              <w:rPr>
                <w:b/>
              </w:rPr>
              <w:t>Wide-Base Single T</w:t>
            </w:r>
            <w:r w:rsidRPr="00603823">
              <w:rPr>
                <w:b/>
              </w:rPr>
              <w:t>ires</w:t>
            </w:r>
          </w:p>
          <w:p w14:paraId="3E226E56" w14:textId="75B83D16" w:rsidR="00AE11A2" w:rsidRPr="00D6223F" w:rsidRDefault="00AE11A2" w:rsidP="00FA10B7">
            <w:pPr>
              <w:ind w:left="193"/>
              <w:rPr>
                <w:sz w:val="18"/>
                <w:szCs w:val="18"/>
              </w:rPr>
            </w:pPr>
            <w:r>
              <w:rPr>
                <w:sz w:val="18"/>
                <w:szCs w:val="18"/>
              </w:rPr>
              <w:t>R</w:t>
            </w:r>
            <w:r w:rsidRPr="00603823">
              <w:rPr>
                <w:sz w:val="18"/>
                <w:szCs w:val="18"/>
              </w:rPr>
              <w:t>eplaces two thinner tires</w:t>
            </w:r>
            <w:r>
              <w:rPr>
                <w:sz w:val="18"/>
                <w:szCs w:val="18"/>
              </w:rPr>
              <w:t xml:space="preserve"> (which are heavy and </w:t>
            </w:r>
            <w:r w:rsidRPr="00603823">
              <w:rPr>
                <w:sz w:val="18"/>
                <w:szCs w:val="18"/>
              </w:rPr>
              <w:t>produce high rolling resistance</w:t>
            </w:r>
            <w:r>
              <w:rPr>
                <w:sz w:val="18"/>
                <w:szCs w:val="18"/>
              </w:rPr>
              <w:t>)</w:t>
            </w:r>
            <w:r w:rsidR="00FA10B7">
              <w:rPr>
                <w:sz w:val="18"/>
                <w:szCs w:val="18"/>
              </w:rPr>
              <w:t xml:space="preserve"> </w:t>
            </w:r>
            <w:r w:rsidRPr="00603823">
              <w:rPr>
                <w:sz w:val="18"/>
                <w:szCs w:val="18"/>
              </w:rPr>
              <w:t>with a single tire</w:t>
            </w:r>
            <w:r>
              <w:rPr>
                <w:sz w:val="18"/>
                <w:szCs w:val="18"/>
              </w:rPr>
              <w:t xml:space="preserve"> (</w:t>
            </w:r>
            <w:r w:rsidRPr="00603823">
              <w:rPr>
                <w:sz w:val="18"/>
                <w:szCs w:val="18"/>
              </w:rPr>
              <w:t xml:space="preserve">with an aluminum rim </w:t>
            </w:r>
            <w:r>
              <w:rPr>
                <w:sz w:val="18"/>
                <w:szCs w:val="18"/>
              </w:rPr>
              <w:t xml:space="preserve">that </w:t>
            </w:r>
            <w:r w:rsidRPr="00603823">
              <w:rPr>
                <w:sz w:val="18"/>
                <w:szCs w:val="18"/>
              </w:rPr>
              <w:t>is lighter than two standard tires and wheels and has lower rolling resistance</w:t>
            </w:r>
            <w:r>
              <w:rPr>
                <w:sz w:val="18"/>
                <w:szCs w:val="18"/>
              </w:rPr>
              <w:t>)</w:t>
            </w:r>
            <w:r w:rsidRPr="00603823">
              <w:rPr>
                <w:sz w:val="18"/>
                <w:szCs w:val="18"/>
              </w:rPr>
              <w:t>.</w:t>
            </w:r>
          </w:p>
        </w:tc>
        <w:tc>
          <w:tcPr>
            <w:tcW w:w="810" w:type="dxa"/>
          </w:tcPr>
          <w:p w14:paraId="49EFA512" w14:textId="6EC28D4B" w:rsidR="00AE11A2" w:rsidRPr="00CB50BA" w:rsidRDefault="00AE11A2" w:rsidP="004739E4">
            <w:pPr>
              <w:pStyle w:val="TableCellText"/>
              <w:rPr>
                <w:highlight w:val="yellow"/>
              </w:rPr>
            </w:pPr>
            <w:r>
              <w:t>Dep,</w:t>
            </w:r>
            <w:r w:rsidR="00F402BA">
              <w:t>Fund</w:t>
            </w:r>
          </w:p>
        </w:tc>
        <w:tc>
          <w:tcPr>
            <w:tcW w:w="810" w:type="dxa"/>
          </w:tcPr>
          <w:p w14:paraId="099C767D" w14:textId="77777777" w:rsidR="00AE11A2" w:rsidRPr="00CB50BA" w:rsidRDefault="00AE11A2" w:rsidP="004739E4">
            <w:pPr>
              <w:pStyle w:val="TableCellText"/>
              <w:rPr>
                <w:highlight w:val="yellow"/>
              </w:rPr>
            </w:pPr>
            <w:r>
              <w:t>All</w:t>
            </w:r>
          </w:p>
        </w:tc>
        <w:tc>
          <w:tcPr>
            <w:tcW w:w="684" w:type="dxa"/>
          </w:tcPr>
          <w:p w14:paraId="527A4FCF" w14:textId="77777777" w:rsidR="00AE11A2" w:rsidRPr="00D6223F" w:rsidRDefault="00AE11A2" w:rsidP="004739E4">
            <w:pPr>
              <w:pStyle w:val="TableCellText"/>
            </w:pPr>
            <w:r>
              <w:t>All</w:t>
            </w:r>
          </w:p>
        </w:tc>
      </w:tr>
      <w:tr w:rsidR="00AE11A2" w:rsidRPr="00CC451D" w14:paraId="2AAD2143" w14:textId="77777777" w:rsidTr="004739E4">
        <w:trPr>
          <w:gridAfter w:val="1"/>
          <w:wAfter w:w="25" w:type="dxa"/>
          <w:trHeight w:val="24"/>
        </w:trPr>
        <w:tc>
          <w:tcPr>
            <w:tcW w:w="2231" w:type="dxa"/>
            <w:vMerge w:val="restart"/>
            <w:vAlign w:val="center"/>
          </w:tcPr>
          <w:p w14:paraId="7BB5A3D6" w14:textId="77777777" w:rsidR="00AE11A2" w:rsidRDefault="00AE11A2" w:rsidP="004739E4">
            <w:pPr>
              <w:pStyle w:val="TableCellText"/>
              <w:rPr>
                <w:b/>
              </w:rPr>
            </w:pPr>
            <w:r w:rsidRPr="00603823">
              <w:rPr>
                <w:b/>
              </w:rPr>
              <w:t>Tire Pressure Systems</w:t>
            </w:r>
          </w:p>
          <w:p w14:paraId="025B4BF2" w14:textId="19EB39B8" w:rsidR="00AE11A2" w:rsidRPr="0040162B" w:rsidRDefault="00AE11A2" w:rsidP="00857D06">
            <w:pPr>
              <w:ind w:left="193"/>
              <w:rPr>
                <w:sz w:val="18"/>
                <w:szCs w:val="18"/>
              </w:rPr>
            </w:pPr>
            <w:r w:rsidRPr="0040162B">
              <w:rPr>
                <w:sz w:val="18"/>
                <w:szCs w:val="18"/>
              </w:rPr>
              <w:t>Proper tire inflation is a critical element that fleets consider when they seek to optimize</w:t>
            </w:r>
            <w:r w:rsidR="00FA10B7">
              <w:rPr>
                <w:sz w:val="18"/>
                <w:szCs w:val="18"/>
              </w:rPr>
              <w:t xml:space="preserve"> </w:t>
            </w:r>
            <w:r w:rsidRPr="0040162B">
              <w:rPr>
                <w:sz w:val="18"/>
                <w:szCs w:val="18"/>
              </w:rPr>
              <w:t>performance</w:t>
            </w:r>
            <w:r>
              <w:rPr>
                <w:sz w:val="18"/>
                <w:szCs w:val="18"/>
              </w:rPr>
              <w:t>,</w:t>
            </w:r>
            <w:r w:rsidRPr="0040162B">
              <w:rPr>
                <w:sz w:val="18"/>
                <w:szCs w:val="18"/>
              </w:rPr>
              <w:t xml:space="preserve"> fuel economy, maintenance, tire wear, and driver satisfaction/comfort. Tire pressure systems are designed to overcome a variety of causes of tire under-inflation. With properly inflated tires, tire rolling resistance is decreased and fuel use is reduced compared to under-inflation. </w:t>
            </w:r>
          </w:p>
        </w:tc>
        <w:tc>
          <w:tcPr>
            <w:tcW w:w="4787" w:type="dxa"/>
            <w:noWrap/>
          </w:tcPr>
          <w:p w14:paraId="037D387E" w14:textId="77777777" w:rsidR="00AE11A2" w:rsidRDefault="00AE11A2" w:rsidP="004739E4">
            <w:pPr>
              <w:rPr>
                <w:rFonts w:eastAsia="Calibri" w:cs="Arial"/>
                <w:b/>
                <w:szCs w:val="20"/>
              </w:rPr>
            </w:pPr>
            <w:r w:rsidRPr="00603823">
              <w:rPr>
                <w:rFonts w:eastAsia="Calibri" w:cs="Arial"/>
                <w:b/>
                <w:szCs w:val="20"/>
              </w:rPr>
              <w:t xml:space="preserve">Tire Pressure Monitoring </w:t>
            </w:r>
          </w:p>
          <w:p w14:paraId="75ECE861" w14:textId="77777777" w:rsidR="00AE11A2" w:rsidRPr="005B74C8" w:rsidRDefault="00AE11A2" w:rsidP="004739E4">
            <w:pPr>
              <w:ind w:left="122"/>
            </w:pPr>
            <w:r>
              <w:rPr>
                <w:rFonts w:eastAsia="Calibri" w:cs="Arial"/>
                <w:sz w:val="18"/>
                <w:szCs w:val="18"/>
              </w:rPr>
              <w:t>P</w:t>
            </w:r>
            <w:r w:rsidRPr="00603823">
              <w:rPr>
                <w:rFonts w:eastAsia="Calibri" w:cs="Arial"/>
                <w:sz w:val="18"/>
                <w:szCs w:val="18"/>
              </w:rPr>
              <w:t>rovides dire</w:t>
            </w:r>
            <w:r>
              <w:rPr>
                <w:rFonts w:eastAsia="Calibri" w:cs="Arial"/>
                <w:sz w:val="18"/>
                <w:szCs w:val="18"/>
              </w:rPr>
              <w:t>ct measurement of tire pressure.</w:t>
            </w:r>
            <w:r w:rsidRPr="00603823">
              <w:rPr>
                <w:rFonts w:eastAsia="Calibri" w:cs="Arial"/>
                <w:sz w:val="18"/>
                <w:szCs w:val="18"/>
              </w:rPr>
              <w:t xml:space="preserve"> </w:t>
            </w:r>
            <w:r>
              <w:rPr>
                <w:rFonts w:eastAsia="Calibri" w:cs="Arial"/>
                <w:sz w:val="18"/>
                <w:szCs w:val="18"/>
              </w:rPr>
              <w:t>S</w:t>
            </w:r>
            <w:r w:rsidRPr="00603823">
              <w:rPr>
                <w:rFonts w:eastAsia="Calibri" w:cs="Arial"/>
                <w:sz w:val="18"/>
                <w:szCs w:val="18"/>
              </w:rPr>
              <w:t xml:space="preserve">ome technologies also include temperature readings. Users establish a preset pressure target; when the pressure drops below this threshold, the driver and/or maintenance staff are alerted. </w:t>
            </w:r>
            <w:r>
              <w:rPr>
                <w:rFonts w:eastAsia="Calibri" w:cs="Arial"/>
                <w:sz w:val="18"/>
                <w:szCs w:val="18"/>
              </w:rPr>
              <w:t>A</w:t>
            </w:r>
            <w:r w:rsidRPr="00603823">
              <w:rPr>
                <w:rFonts w:eastAsia="Calibri" w:cs="Arial"/>
                <w:sz w:val="18"/>
                <w:szCs w:val="18"/>
              </w:rPr>
              <w:t>vailable for trailers and tractors.</w:t>
            </w:r>
          </w:p>
        </w:tc>
        <w:tc>
          <w:tcPr>
            <w:tcW w:w="810" w:type="dxa"/>
          </w:tcPr>
          <w:p w14:paraId="1C9BC153" w14:textId="38B379BF" w:rsidR="00AE11A2" w:rsidRDefault="00AE11A2" w:rsidP="004739E4">
            <w:pPr>
              <w:pStyle w:val="TableCellText"/>
            </w:pPr>
            <w:r>
              <w:t>Dep,</w:t>
            </w:r>
            <w:r w:rsidR="00F402BA">
              <w:t>Fund</w:t>
            </w:r>
          </w:p>
        </w:tc>
        <w:tc>
          <w:tcPr>
            <w:tcW w:w="810" w:type="dxa"/>
          </w:tcPr>
          <w:p w14:paraId="1E544DAB" w14:textId="77777777" w:rsidR="00AE11A2" w:rsidRDefault="00AE11A2" w:rsidP="004739E4">
            <w:pPr>
              <w:pStyle w:val="TableCellText"/>
            </w:pPr>
            <w:r>
              <w:t>S,M,C</w:t>
            </w:r>
            <w:r w:rsidR="00E37A64">
              <w:t>,D</w:t>
            </w:r>
          </w:p>
        </w:tc>
        <w:tc>
          <w:tcPr>
            <w:tcW w:w="684" w:type="dxa"/>
          </w:tcPr>
          <w:p w14:paraId="23345BA9" w14:textId="77777777" w:rsidR="00AE11A2" w:rsidRPr="002C20C3" w:rsidRDefault="00AE11A2" w:rsidP="004739E4">
            <w:pPr>
              <w:pStyle w:val="TableCellText"/>
            </w:pPr>
            <w:r>
              <w:t>5</w:t>
            </w:r>
          </w:p>
        </w:tc>
      </w:tr>
      <w:tr w:rsidR="00AE11A2" w:rsidRPr="00CC451D" w14:paraId="7BB17615" w14:textId="77777777" w:rsidTr="004739E4">
        <w:trPr>
          <w:gridAfter w:val="1"/>
          <w:wAfter w:w="25" w:type="dxa"/>
          <w:trHeight w:val="24"/>
        </w:trPr>
        <w:tc>
          <w:tcPr>
            <w:tcW w:w="2231" w:type="dxa"/>
            <w:vMerge/>
          </w:tcPr>
          <w:p w14:paraId="4EE1CA07" w14:textId="77777777" w:rsidR="00AE11A2" w:rsidRPr="00D36706" w:rsidRDefault="00AE11A2" w:rsidP="004739E4">
            <w:pPr>
              <w:pStyle w:val="TableCellText"/>
              <w:rPr>
                <w:b/>
              </w:rPr>
            </w:pPr>
          </w:p>
        </w:tc>
        <w:tc>
          <w:tcPr>
            <w:tcW w:w="4787" w:type="dxa"/>
            <w:noWrap/>
          </w:tcPr>
          <w:p w14:paraId="47103B58" w14:textId="77777777" w:rsidR="00AE11A2" w:rsidRDefault="00AE11A2" w:rsidP="004739E4">
            <w:pPr>
              <w:pStyle w:val="TableCellText"/>
              <w:rPr>
                <w:b/>
              </w:rPr>
            </w:pPr>
            <w:r w:rsidRPr="00603823">
              <w:rPr>
                <w:b/>
              </w:rPr>
              <w:t>Automatic Tire Inflation</w:t>
            </w:r>
            <w:r>
              <w:rPr>
                <w:b/>
              </w:rPr>
              <w:t xml:space="preserve"> (ATIS)</w:t>
            </w:r>
          </w:p>
          <w:p w14:paraId="54C17FC6" w14:textId="77777777" w:rsidR="00AE11A2" w:rsidRPr="00D6223F" w:rsidRDefault="00AE11A2" w:rsidP="004739E4">
            <w:pPr>
              <w:ind w:left="122"/>
              <w:rPr>
                <w:sz w:val="18"/>
                <w:szCs w:val="18"/>
              </w:rPr>
            </w:pPr>
            <w:r>
              <w:rPr>
                <w:sz w:val="18"/>
                <w:szCs w:val="18"/>
              </w:rPr>
              <w:t>M</w:t>
            </w:r>
            <w:r w:rsidRPr="00603823">
              <w:rPr>
                <w:sz w:val="18"/>
                <w:szCs w:val="18"/>
              </w:rPr>
              <w:t>onitor and continually adjust the level of pressurized air in tires, maintaining proper tire inflation automatically, even while the truck is moving.</w:t>
            </w:r>
          </w:p>
        </w:tc>
        <w:tc>
          <w:tcPr>
            <w:tcW w:w="810" w:type="dxa"/>
          </w:tcPr>
          <w:p w14:paraId="1E4FC2D9" w14:textId="585265D5" w:rsidR="00AE11A2" w:rsidRPr="00CB50BA" w:rsidRDefault="00AE11A2" w:rsidP="004739E4">
            <w:pPr>
              <w:pStyle w:val="TableCellText"/>
              <w:rPr>
                <w:highlight w:val="yellow"/>
              </w:rPr>
            </w:pPr>
            <w:r>
              <w:t>D</w:t>
            </w:r>
            <w:r w:rsidR="00524885">
              <w:t>ep</w:t>
            </w:r>
            <w:r>
              <w:t>,</w:t>
            </w:r>
            <w:r w:rsidR="00F402BA">
              <w:t>Fund</w:t>
            </w:r>
          </w:p>
        </w:tc>
        <w:tc>
          <w:tcPr>
            <w:tcW w:w="810" w:type="dxa"/>
          </w:tcPr>
          <w:p w14:paraId="74F2B23B" w14:textId="77777777" w:rsidR="00AE11A2" w:rsidRPr="00CB50BA" w:rsidRDefault="00AE11A2" w:rsidP="004739E4">
            <w:pPr>
              <w:pStyle w:val="TableCellText"/>
              <w:rPr>
                <w:highlight w:val="yellow"/>
              </w:rPr>
            </w:pPr>
            <w:r>
              <w:t>S,M,C</w:t>
            </w:r>
            <w:r w:rsidR="00E37A64">
              <w:t>,D</w:t>
            </w:r>
          </w:p>
        </w:tc>
        <w:tc>
          <w:tcPr>
            <w:tcW w:w="684" w:type="dxa"/>
          </w:tcPr>
          <w:p w14:paraId="1DAC7281" w14:textId="77777777" w:rsidR="00AE11A2" w:rsidRPr="00D6223F" w:rsidRDefault="00AE11A2" w:rsidP="004739E4">
            <w:pPr>
              <w:pStyle w:val="TableCellText"/>
            </w:pPr>
            <w:r w:rsidRPr="00D6223F">
              <w:t>5</w:t>
            </w:r>
          </w:p>
        </w:tc>
      </w:tr>
      <w:tr w:rsidR="00AE11A2" w:rsidRPr="00CC451D" w14:paraId="6D6F56D6" w14:textId="77777777" w:rsidTr="004739E4">
        <w:trPr>
          <w:gridAfter w:val="1"/>
          <w:wAfter w:w="25" w:type="dxa"/>
          <w:trHeight w:val="300"/>
        </w:trPr>
        <w:tc>
          <w:tcPr>
            <w:tcW w:w="2231" w:type="dxa"/>
            <w:vMerge/>
          </w:tcPr>
          <w:p w14:paraId="620BFECF" w14:textId="77777777" w:rsidR="00AE11A2" w:rsidRPr="00D36706" w:rsidRDefault="00AE11A2" w:rsidP="004739E4">
            <w:pPr>
              <w:pStyle w:val="TableCellText"/>
              <w:rPr>
                <w:b/>
              </w:rPr>
            </w:pPr>
          </w:p>
        </w:tc>
        <w:tc>
          <w:tcPr>
            <w:tcW w:w="4787" w:type="dxa"/>
            <w:noWrap/>
          </w:tcPr>
          <w:p w14:paraId="013B3CB8" w14:textId="77777777" w:rsidR="00AE11A2" w:rsidRDefault="00AE11A2" w:rsidP="004739E4">
            <w:pPr>
              <w:rPr>
                <w:rFonts w:eastAsia="Calibri" w:cs="Arial"/>
                <w:b/>
                <w:szCs w:val="20"/>
              </w:rPr>
            </w:pPr>
            <w:r w:rsidRPr="00603823">
              <w:rPr>
                <w:rFonts w:eastAsia="Calibri" w:cs="Arial"/>
                <w:b/>
                <w:szCs w:val="20"/>
              </w:rPr>
              <w:t xml:space="preserve">Dual Tire Equalizers </w:t>
            </w:r>
          </w:p>
          <w:p w14:paraId="58951970" w14:textId="77777777" w:rsidR="00AE11A2" w:rsidRPr="005B74C8" w:rsidRDefault="00AE11A2" w:rsidP="004739E4">
            <w:pPr>
              <w:ind w:left="122"/>
            </w:pPr>
            <w:r>
              <w:rPr>
                <w:rFonts w:eastAsia="Calibri" w:cs="Arial"/>
                <w:sz w:val="18"/>
                <w:szCs w:val="18"/>
              </w:rPr>
              <w:t>M</w:t>
            </w:r>
            <w:r w:rsidRPr="00603823">
              <w:rPr>
                <w:rFonts w:eastAsia="Calibri" w:cs="Arial"/>
                <w:sz w:val="18"/>
                <w:szCs w:val="18"/>
              </w:rPr>
              <w:t xml:space="preserve">aintain equal pressure in dual assemblies, which helps prevent premature wear and failure. </w:t>
            </w:r>
            <w:r>
              <w:rPr>
                <w:rFonts w:eastAsia="Calibri" w:cs="Arial"/>
                <w:sz w:val="18"/>
                <w:szCs w:val="18"/>
              </w:rPr>
              <w:t>U</w:t>
            </w:r>
            <w:r w:rsidRPr="00603823">
              <w:rPr>
                <w:rFonts w:eastAsia="Calibri" w:cs="Arial"/>
                <w:sz w:val="18"/>
                <w:szCs w:val="18"/>
              </w:rPr>
              <w:t>se a single sensor to monitor the pressure in both tires of a dual-tire assembly, with a hose connection to each tire valve stem. When pressure levels between the tires do not match, the system will bring the two tires to the same pressure level. No air is added or removed by the equalizer unit; if air loss continues, the leaking tire is isolated and a visual signal is sent the driver.</w:t>
            </w:r>
          </w:p>
        </w:tc>
        <w:tc>
          <w:tcPr>
            <w:tcW w:w="810" w:type="dxa"/>
          </w:tcPr>
          <w:p w14:paraId="6AFDB92C" w14:textId="6C198739" w:rsidR="00AE11A2" w:rsidRDefault="00AE11A2" w:rsidP="004739E4">
            <w:pPr>
              <w:pStyle w:val="TableCellText"/>
            </w:pPr>
            <w:r>
              <w:t>Dep,</w:t>
            </w:r>
            <w:r w:rsidR="00F402BA">
              <w:t>Fund</w:t>
            </w:r>
          </w:p>
        </w:tc>
        <w:tc>
          <w:tcPr>
            <w:tcW w:w="810" w:type="dxa"/>
          </w:tcPr>
          <w:p w14:paraId="22B5D056" w14:textId="77777777" w:rsidR="00AE11A2" w:rsidRDefault="00AE11A2" w:rsidP="004739E4">
            <w:pPr>
              <w:pStyle w:val="TableCellText"/>
            </w:pPr>
            <w:r>
              <w:t>S,M,C</w:t>
            </w:r>
            <w:r w:rsidR="00E37A64">
              <w:t>,D</w:t>
            </w:r>
          </w:p>
        </w:tc>
        <w:tc>
          <w:tcPr>
            <w:tcW w:w="684" w:type="dxa"/>
          </w:tcPr>
          <w:p w14:paraId="340636C1" w14:textId="77777777" w:rsidR="00AE11A2" w:rsidRDefault="00AE11A2" w:rsidP="004739E4">
            <w:pPr>
              <w:pStyle w:val="TableCellText"/>
            </w:pPr>
            <w:r>
              <w:t>5</w:t>
            </w:r>
          </w:p>
        </w:tc>
      </w:tr>
      <w:tr w:rsidR="00AE11A2" w:rsidRPr="00CC451D" w14:paraId="41335A31" w14:textId="77777777" w:rsidTr="004739E4">
        <w:trPr>
          <w:gridAfter w:val="1"/>
          <w:wAfter w:w="25" w:type="dxa"/>
          <w:trHeight w:val="300"/>
        </w:trPr>
        <w:tc>
          <w:tcPr>
            <w:tcW w:w="2231" w:type="dxa"/>
            <w:vMerge/>
          </w:tcPr>
          <w:p w14:paraId="63634FF1" w14:textId="77777777" w:rsidR="00AE11A2" w:rsidRPr="00D36706" w:rsidRDefault="00AE11A2" w:rsidP="004739E4">
            <w:pPr>
              <w:pStyle w:val="TableCellText"/>
              <w:rPr>
                <w:b/>
              </w:rPr>
            </w:pPr>
          </w:p>
        </w:tc>
        <w:tc>
          <w:tcPr>
            <w:tcW w:w="4787" w:type="dxa"/>
            <w:noWrap/>
          </w:tcPr>
          <w:p w14:paraId="73FEC8A8" w14:textId="77777777" w:rsidR="00AE11A2" w:rsidRDefault="00AE11A2" w:rsidP="004739E4">
            <w:pPr>
              <w:rPr>
                <w:rFonts w:eastAsia="Calibri" w:cs="Arial"/>
                <w:b/>
                <w:szCs w:val="20"/>
              </w:rPr>
            </w:pPr>
            <w:r w:rsidRPr="00603823">
              <w:rPr>
                <w:rFonts w:eastAsia="Calibri" w:cs="Arial"/>
                <w:b/>
                <w:szCs w:val="20"/>
              </w:rPr>
              <w:t xml:space="preserve">Central Tire Inflation </w:t>
            </w:r>
          </w:p>
          <w:p w14:paraId="1064DBC1" w14:textId="77777777" w:rsidR="00AE11A2" w:rsidRPr="005B74C8" w:rsidRDefault="00AE11A2" w:rsidP="004739E4">
            <w:pPr>
              <w:ind w:left="122"/>
            </w:pPr>
            <w:r>
              <w:rPr>
                <w:rFonts w:eastAsia="Calibri" w:cs="Arial"/>
                <w:sz w:val="18"/>
                <w:szCs w:val="18"/>
              </w:rPr>
              <w:t>S</w:t>
            </w:r>
            <w:r w:rsidRPr="00603823">
              <w:rPr>
                <w:rFonts w:eastAsia="Calibri" w:cs="Arial"/>
                <w:sz w:val="18"/>
                <w:szCs w:val="18"/>
              </w:rPr>
              <w:t xml:space="preserve">imilar to ATIS, but the driver can increase/decrease tire inflation from the cab depending on the operating conditions of the vehicle. </w:t>
            </w:r>
            <w:r>
              <w:rPr>
                <w:rFonts w:eastAsia="Calibri" w:cs="Arial"/>
                <w:sz w:val="18"/>
                <w:szCs w:val="18"/>
              </w:rPr>
              <w:t>T</w:t>
            </w:r>
            <w:r w:rsidRPr="00603823">
              <w:rPr>
                <w:rFonts w:eastAsia="Calibri" w:cs="Arial"/>
                <w:sz w:val="18"/>
                <w:szCs w:val="18"/>
              </w:rPr>
              <w:t>ypically intended for off-road or military truck applications.</w:t>
            </w:r>
          </w:p>
        </w:tc>
        <w:tc>
          <w:tcPr>
            <w:tcW w:w="810" w:type="dxa"/>
          </w:tcPr>
          <w:p w14:paraId="084F455F" w14:textId="2A6596A9" w:rsidR="00AE11A2" w:rsidRDefault="00AE11A2" w:rsidP="004739E4">
            <w:pPr>
              <w:pStyle w:val="TableCellText"/>
            </w:pPr>
            <w:r>
              <w:t>D</w:t>
            </w:r>
            <w:r w:rsidR="00524885">
              <w:t>ep</w:t>
            </w:r>
            <w:r>
              <w:t>,</w:t>
            </w:r>
            <w:r w:rsidR="00F402BA">
              <w:t>Fund</w:t>
            </w:r>
          </w:p>
        </w:tc>
        <w:tc>
          <w:tcPr>
            <w:tcW w:w="810" w:type="dxa"/>
          </w:tcPr>
          <w:p w14:paraId="64250136" w14:textId="77777777" w:rsidR="00AE11A2" w:rsidRDefault="00AE11A2" w:rsidP="004739E4">
            <w:pPr>
              <w:pStyle w:val="TableCellText"/>
            </w:pPr>
            <w:r>
              <w:t>S,M,C</w:t>
            </w:r>
            <w:r w:rsidR="00E37A64">
              <w:t>,D</w:t>
            </w:r>
          </w:p>
        </w:tc>
        <w:tc>
          <w:tcPr>
            <w:tcW w:w="684" w:type="dxa"/>
          </w:tcPr>
          <w:p w14:paraId="7AAC5B31" w14:textId="77777777" w:rsidR="00AE11A2" w:rsidRDefault="00AE11A2" w:rsidP="004739E4">
            <w:pPr>
              <w:pStyle w:val="TableCellText"/>
            </w:pPr>
            <w:r>
              <w:t>5</w:t>
            </w:r>
          </w:p>
        </w:tc>
      </w:tr>
      <w:tr w:rsidR="00AE11A2" w:rsidRPr="00CC451D" w14:paraId="196AE5F0" w14:textId="77777777" w:rsidTr="004739E4">
        <w:trPr>
          <w:gridAfter w:val="1"/>
          <w:wAfter w:w="25" w:type="dxa"/>
          <w:trHeight w:val="300"/>
        </w:trPr>
        <w:tc>
          <w:tcPr>
            <w:tcW w:w="2231" w:type="dxa"/>
            <w:vMerge/>
          </w:tcPr>
          <w:p w14:paraId="6A17D926" w14:textId="77777777" w:rsidR="00AE11A2" w:rsidRPr="00D36706" w:rsidRDefault="00AE11A2" w:rsidP="004739E4">
            <w:pPr>
              <w:pStyle w:val="TableCellText"/>
              <w:rPr>
                <w:b/>
              </w:rPr>
            </w:pPr>
          </w:p>
        </w:tc>
        <w:tc>
          <w:tcPr>
            <w:tcW w:w="4787" w:type="dxa"/>
            <w:noWrap/>
          </w:tcPr>
          <w:p w14:paraId="2FF26E5B" w14:textId="77777777" w:rsidR="00AE11A2" w:rsidRDefault="00AE11A2" w:rsidP="004739E4">
            <w:pPr>
              <w:rPr>
                <w:rFonts w:eastAsia="Calibri" w:cs="Arial"/>
                <w:b/>
                <w:szCs w:val="20"/>
              </w:rPr>
            </w:pPr>
            <w:r w:rsidRPr="00603823">
              <w:rPr>
                <w:rFonts w:eastAsia="Calibri" w:cs="Arial"/>
                <w:b/>
                <w:szCs w:val="20"/>
              </w:rPr>
              <w:t>Passive Tire Containment</w:t>
            </w:r>
          </w:p>
          <w:p w14:paraId="028073F3" w14:textId="77777777" w:rsidR="00AE11A2" w:rsidRPr="0040162B" w:rsidRDefault="00AE11A2" w:rsidP="004739E4">
            <w:pPr>
              <w:ind w:left="122"/>
              <w:rPr>
                <w:rFonts w:eastAsia="Calibri" w:cs="Arial"/>
                <w:sz w:val="18"/>
                <w:szCs w:val="18"/>
              </w:rPr>
            </w:pPr>
            <w:r>
              <w:rPr>
                <w:rFonts w:eastAsia="Calibri" w:cs="Arial"/>
                <w:sz w:val="18"/>
                <w:szCs w:val="18"/>
              </w:rPr>
              <w:t>O</w:t>
            </w:r>
            <w:r w:rsidRPr="0040162B">
              <w:rPr>
                <w:rFonts w:eastAsia="Calibri" w:cs="Arial"/>
                <w:sz w:val="18"/>
                <w:szCs w:val="18"/>
              </w:rPr>
              <w:t>ffer ways to maintain air in the tire without any action to measure, report, or adjust inflation pressure once a tire has been aired up. Nitrogen inflation attempts to reduce natural pressure losses due to diffusion through the casing. Use of tire sealants, in several forms, is generally aimed at downtime reduction due to air loss caused by small punctures.</w:t>
            </w:r>
          </w:p>
        </w:tc>
        <w:tc>
          <w:tcPr>
            <w:tcW w:w="810" w:type="dxa"/>
          </w:tcPr>
          <w:p w14:paraId="14ECF16B" w14:textId="16519C1A" w:rsidR="00AE11A2" w:rsidRDefault="00AE11A2" w:rsidP="004739E4">
            <w:pPr>
              <w:pStyle w:val="TableCellText"/>
            </w:pPr>
            <w:r>
              <w:t>D</w:t>
            </w:r>
            <w:r w:rsidR="00E37A64">
              <w:t>ep</w:t>
            </w:r>
            <w:r>
              <w:t>,</w:t>
            </w:r>
            <w:r w:rsidR="00F402BA">
              <w:t>Fund</w:t>
            </w:r>
          </w:p>
        </w:tc>
        <w:tc>
          <w:tcPr>
            <w:tcW w:w="810" w:type="dxa"/>
          </w:tcPr>
          <w:p w14:paraId="60F65BEE" w14:textId="77777777" w:rsidR="00AE11A2" w:rsidRDefault="00AE11A2" w:rsidP="004739E4">
            <w:pPr>
              <w:pStyle w:val="TableCellText"/>
            </w:pPr>
            <w:r>
              <w:t>S,M,C</w:t>
            </w:r>
            <w:r w:rsidR="00E37A64">
              <w:t>,D</w:t>
            </w:r>
          </w:p>
        </w:tc>
        <w:tc>
          <w:tcPr>
            <w:tcW w:w="684" w:type="dxa"/>
          </w:tcPr>
          <w:p w14:paraId="6631A3EF" w14:textId="77777777" w:rsidR="00AE11A2" w:rsidRDefault="00AE11A2" w:rsidP="004739E4">
            <w:pPr>
              <w:pStyle w:val="TableCellText"/>
            </w:pPr>
            <w:r>
              <w:t>5</w:t>
            </w:r>
          </w:p>
        </w:tc>
      </w:tr>
      <w:tr w:rsidR="00AE11A2" w14:paraId="70DDD11E" w14:textId="77777777" w:rsidTr="004739E4">
        <w:tblPrEx>
          <w:tblLook w:val="0480" w:firstRow="0" w:lastRow="0" w:firstColumn="1" w:lastColumn="0" w:noHBand="0" w:noVBand="1"/>
        </w:tblPrEx>
        <w:trPr>
          <w:trHeight w:val="58"/>
        </w:trPr>
        <w:tc>
          <w:tcPr>
            <w:tcW w:w="9347" w:type="dxa"/>
            <w:gridSpan w:val="6"/>
            <w:tcBorders>
              <w:left w:val="nil"/>
              <w:bottom w:val="nil"/>
              <w:right w:val="nil"/>
            </w:tcBorders>
            <w:noWrap/>
            <w:tcMar>
              <w:top w:w="0" w:type="dxa"/>
              <w:left w:w="58" w:type="dxa"/>
              <w:bottom w:w="0" w:type="dxa"/>
            </w:tcMar>
          </w:tcPr>
          <w:p w14:paraId="3503E10F" w14:textId="1193BD13" w:rsidR="00AE11A2" w:rsidRPr="00896F69" w:rsidRDefault="00AE11A2" w:rsidP="004739E4">
            <w:pPr>
              <w:pStyle w:val="TableCellText"/>
              <w:rPr>
                <w:sz w:val="18"/>
                <w:szCs w:val="18"/>
              </w:rPr>
            </w:pPr>
            <w:r w:rsidRPr="00896F69">
              <w:rPr>
                <w:rStyle w:val="TableFootnoteReferenceChar"/>
                <w:sz w:val="18"/>
                <w:szCs w:val="18"/>
              </w:rPr>
              <w:t>a</w:t>
            </w:r>
            <w:r w:rsidRPr="00896F69">
              <w:rPr>
                <w:rStyle w:val="TableFootnoteChar"/>
                <w:sz w:val="18"/>
                <w:szCs w:val="18"/>
              </w:rPr>
              <w:t>Codes used in this table for analysis types:</w:t>
            </w:r>
            <w:r>
              <w:rPr>
                <w:rStyle w:val="TableFootnoteChar"/>
                <w:sz w:val="18"/>
                <w:szCs w:val="18"/>
              </w:rPr>
              <w:t xml:space="preserve"> </w:t>
            </w:r>
            <w:r w:rsidRPr="00896F69">
              <w:rPr>
                <w:b/>
                <w:sz w:val="18"/>
                <w:szCs w:val="18"/>
              </w:rPr>
              <w:t>D</w:t>
            </w:r>
            <w:r w:rsidR="00E37A64">
              <w:rPr>
                <w:b/>
                <w:sz w:val="18"/>
                <w:szCs w:val="18"/>
              </w:rPr>
              <w:t>ep</w:t>
            </w:r>
            <w:r w:rsidRPr="00896F69">
              <w:rPr>
                <w:sz w:val="18"/>
                <w:szCs w:val="18"/>
              </w:rPr>
              <w:t xml:space="preserve">=Deployment </w:t>
            </w:r>
            <w:r w:rsidR="00F402BA">
              <w:rPr>
                <w:b/>
                <w:sz w:val="18"/>
                <w:szCs w:val="18"/>
              </w:rPr>
              <w:t>Fund</w:t>
            </w:r>
            <w:r w:rsidR="00F402BA">
              <w:rPr>
                <w:sz w:val="18"/>
                <w:szCs w:val="18"/>
              </w:rPr>
              <w:t>=Funding Impact</w:t>
            </w:r>
            <w:r w:rsidRPr="00896F69">
              <w:rPr>
                <w:sz w:val="18"/>
                <w:szCs w:val="18"/>
              </w:rPr>
              <w:t xml:space="preserve"> </w:t>
            </w:r>
            <w:r w:rsidRPr="00896F69">
              <w:rPr>
                <w:b/>
                <w:sz w:val="18"/>
                <w:szCs w:val="18"/>
              </w:rPr>
              <w:t>Inc</w:t>
            </w:r>
            <w:r w:rsidRPr="00896F69">
              <w:rPr>
                <w:sz w:val="18"/>
                <w:szCs w:val="18"/>
              </w:rPr>
              <w:t>=Incentive</w:t>
            </w:r>
          </w:p>
        </w:tc>
      </w:tr>
      <w:tr w:rsidR="00AE11A2" w14:paraId="5571E498" w14:textId="77777777" w:rsidTr="004739E4">
        <w:tblPrEx>
          <w:tblLook w:val="0480" w:firstRow="0" w:lastRow="0" w:firstColumn="1" w:lastColumn="0" w:noHBand="0" w:noVBand="1"/>
        </w:tblPrEx>
        <w:trPr>
          <w:trHeight w:val="58"/>
        </w:trPr>
        <w:tc>
          <w:tcPr>
            <w:tcW w:w="9347" w:type="dxa"/>
            <w:gridSpan w:val="6"/>
            <w:tcBorders>
              <w:top w:val="nil"/>
              <w:left w:val="nil"/>
              <w:bottom w:val="nil"/>
              <w:right w:val="nil"/>
            </w:tcBorders>
            <w:noWrap/>
            <w:tcMar>
              <w:top w:w="0" w:type="dxa"/>
              <w:bottom w:w="0" w:type="dxa"/>
            </w:tcMar>
          </w:tcPr>
          <w:p w14:paraId="08AC4F7B" w14:textId="77777777" w:rsidR="00AE11A2" w:rsidRPr="00D6223F" w:rsidRDefault="00AE11A2" w:rsidP="004739E4">
            <w:pPr>
              <w:pStyle w:val="TableCellText"/>
              <w:rPr>
                <w:sz w:val="18"/>
                <w:szCs w:val="18"/>
              </w:rPr>
            </w:pPr>
            <w:r>
              <w:rPr>
                <w:rStyle w:val="TableFootnoteReferenceChar"/>
                <w:sz w:val="18"/>
                <w:szCs w:val="18"/>
              </w:rPr>
              <w:t>b</w:t>
            </w:r>
            <w:r w:rsidRPr="00D6223F">
              <w:rPr>
                <w:sz w:val="18"/>
                <w:szCs w:val="18"/>
              </w:rPr>
              <w:t>Codes used in this table for geographic scales:</w:t>
            </w:r>
            <w:r>
              <w:rPr>
                <w:sz w:val="18"/>
                <w:szCs w:val="18"/>
              </w:rPr>
              <w:t xml:space="preserve"> </w:t>
            </w:r>
            <w:r w:rsidRPr="00896F69">
              <w:rPr>
                <w:b/>
                <w:sz w:val="18"/>
                <w:szCs w:val="18"/>
              </w:rPr>
              <w:t>S</w:t>
            </w:r>
            <w:r w:rsidRPr="00D6223F">
              <w:rPr>
                <w:sz w:val="18"/>
                <w:szCs w:val="18"/>
              </w:rPr>
              <w:t xml:space="preserve">=State </w:t>
            </w:r>
            <w:r w:rsidRPr="00896F69">
              <w:rPr>
                <w:b/>
                <w:sz w:val="18"/>
                <w:szCs w:val="18"/>
              </w:rPr>
              <w:t>M</w:t>
            </w:r>
            <w:r w:rsidRPr="00D6223F">
              <w:rPr>
                <w:sz w:val="18"/>
                <w:szCs w:val="18"/>
              </w:rPr>
              <w:t xml:space="preserve">=Metropolitan </w:t>
            </w:r>
            <w:r w:rsidRPr="00896F69">
              <w:rPr>
                <w:b/>
                <w:sz w:val="18"/>
                <w:szCs w:val="18"/>
              </w:rPr>
              <w:t>C</w:t>
            </w:r>
            <w:r w:rsidRPr="00D6223F">
              <w:rPr>
                <w:sz w:val="18"/>
                <w:szCs w:val="18"/>
              </w:rPr>
              <w:t xml:space="preserve">=County/Municipal </w:t>
            </w:r>
            <w:r w:rsidRPr="00896F69">
              <w:rPr>
                <w:b/>
                <w:sz w:val="18"/>
                <w:szCs w:val="18"/>
              </w:rPr>
              <w:t>D</w:t>
            </w:r>
            <w:r w:rsidRPr="00D6223F">
              <w:rPr>
                <w:sz w:val="18"/>
                <w:szCs w:val="18"/>
              </w:rPr>
              <w:t xml:space="preserve">=Distribution Center </w:t>
            </w:r>
            <w:r w:rsidRPr="00896F69">
              <w:rPr>
                <w:b/>
                <w:sz w:val="18"/>
                <w:szCs w:val="18"/>
              </w:rPr>
              <w:t>P</w:t>
            </w:r>
            <w:r w:rsidRPr="00D6223F">
              <w:rPr>
                <w:sz w:val="18"/>
                <w:szCs w:val="18"/>
              </w:rPr>
              <w:t>=Port</w:t>
            </w:r>
          </w:p>
        </w:tc>
      </w:tr>
      <w:tr w:rsidR="00AE11A2" w14:paraId="09D4648C" w14:textId="77777777" w:rsidTr="004739E4">
        <w:tblPrEx>
          <w:tblLook w:val="0480" w:firstRow="0" w:lastRow="0" w:firstColumn="1" w:lastColumn="0" w:noHBand="0" w:noVBand="1"/>
        </w:tblPrEx>
        <w:trPr>
          <w:trHeight w:val="58"/>
        </w:trPr>
        <w:tc>
          <w:tcPr>
            <w:tcW w:w="9347" w:type="dxa"/>
            <w:gridSpan w:val="6"/>
            <w:tcBorders>
              <w:top w:val="nil"/>
              <w:left w:val="nil"/>
              <w:bottom w:val="nil"/>
              <w:right w:val="nil"/>
            </w:tcBorders>
            <w:noWrap/>
            <w:tcMar>
              <w:top w:w="0" w:type="dxa"/>
              <w:bottom w:w="0" w:type="dxa"/>
            </w:tcMar>
          </w:tcPr>
          <w:p w14:paraId="0D5B7CEE" w14:textId="5062B4C0" w:rsidR="00AE11A2" w:rsidRPr="00896F69" w:rsidRDefault="00AE11A2" w:rsidP="004739E4">
            <w:pPr>
              <w:pStyle w:val="TableCellText"/>
              <w:ind w:left="206" w:hanging="206"/>
              <w:rPr>
                <w:sz w:val="18"/>
                <w:szCs w:val="18"/>
              </w:rPr>
            </w:pPr>
            <w:r>
              <w:rPr>
                <w:rStyle w:val="TableFootnoteReferenceChar"/>
                <w:sz w:val="18"/>
                <w:szCs w:val="18"/>
              </w:rPr>
              <w:t>c</w:t>
            </w:r>
            <w:r w:rsidRPr="00896F69">
              <w:rPr>
                <w:sz w:val="18"/>
                <w:szCs w:val="18"/>
              </w:rPr>
              <w:t>Codes used in this table for truck types:</w:t>
            </w:r>
            <w:r>
              <w:rPr>
                <w:sz w:val="18"/>
                <w:szCs w:val="18"/>
              </w:rPr>
              <w:t xml:space="preserve"> </w:t>
            </w:r>
            <w:r w:rsidRPr="00896F69">
              <w:rPr>
                <w:b/>
                <w:sz w:val="18"/>
                <w:szCs w:val="18"/>
              </w:rPr>
              <w:t>1</w:t>
            </w:r>
            <w:r w:rsidRPr="00896F69">
              <w:rPr>
                <w:sz w:val="18"/>
                <w:szCs w:val="18"/>
              </w:rPr>
              <w:t>=Sin</w:t>
            </w:r>
            <w:r>
              <w:rPr>
                <w:sz w:val="18"/>
                <w:szCs w:val="18"/>
              </w:rPr>
              <w:t>gle</w:t>
            </w:r>
            <w:r w:rsidR="007B1EA8">
              <w:rPr>
                <w:sz w:val="18"/>
                <w:szCs w:val="18"/>
              </w:rPr>
              <w:t xml:space="preserve"> unit</w:t>
            </w:r>
            <w:r>
              <w:rPr>
                <w:sz w:val="18"/>
                <w:szCs w:val="18"/>
              </w:rPr>
              <w:t xml:space="preserve"> Short Haul, Gasoline </w:t>
            </w:r>
            <w:r w:rsidRPr="00896F69">
              <w:rPr>
                <w:b/>
                <w:sz w:val="18"/>
                <w:szCs w:val="18"/>
              </w:rPr>
              <w:t>2</w:t>
            </w:r>
            <w:r w:rsidRPr="00896F69">
              <w:rPr>
                <w:sz w:val="18"/>
                <w:szCs w:val="18"/>
              </w:rPr>
              <w:t>=S</w:t>
            </w:r>
            <w:r>
              <w:rPr>
                <w:sz w:val="18"/>
                <w:szCs w:val="18"/>
              </w:rPr>
              <w:t>ingle</w:t>
            </w:r>
            <w:r w:rsidR="007B1EA8">
              <w:rPr>
                <w:sz w:val="18"/>
                <w:szCs w:val="18"/>
              </w:rPr>
              <w:t xml:space="preserve"> unit</w:t>
            </w:r>
            <w:r>
              <w:rPr>
                <w:sz w:val="18"/>
                <w:szCs w:val="18"/>
              </w:rPr>
              <w:t xml:space="preserve"> Short Haul, Diesel </w:t>
            </w:r>
            <w:r w:rsidRPr="00896F69">
              <w:rPr>
                <w:b/>
                <w:sz w:val="18"/>
                <w:szCs w:val="18"/>
              </w:rPr>
              <w:t>3</w:t>
            </w:r>
            <w:r w:rsidRPr="00896F69">
              <w:rPr>
                <w:sz w:val="18"/>
                <w:szCs w:val="18"/>
              </w:rPr>
              <w:t>=Single</w:t>
            </w:r>
            <w:r w:rsidR="007B1EA8">
              <w:rPr>
                <w:sz w:val="18"/>
                <w:szCs w:val="18"/>
              </w:rPr>
              <w:t xml:space="preserve"> unit</w:t>
            </w:r>
            <w:r w:rsidRPr="00896F69">
              <w:rPr>
                <w:sz w:val="18"/>
                <w:szCs w:val="18"/>
              </w:rPr>
              <w:t xml:space="preserve"> Long Haul</w:t>
            </w:r>
            <w:r>
              <w:rPr>
                <w:sz w:val="18"/>
                <w:szCs w:val="18"/>
              </w:rPr>
              <w:t xml:space="preserve"> </w:t>
            </w:r>
            <w:r w:rsidRPr="00896F69">
              <w:rPr>
                <w:b/>
                <w:sz w:val="18"/>
                <w:szCs w:val="18"/>
              </w:rPr>
              <w:t>4</w:t>
            </w:r>
            <w:r w:rsidRPr="00896F69">
              <w:rPr>
                <w:sz w:val="18"/>
                <w:szCs w:val="18"/>
              </w:rPr>
              <w:t>=Combination</w:t>
            </w:r>
            <w:r w:rsidR="007B1EA8">
              <w:rPr>
                <w:sz w:val="18"/>
                <w:szCs w:val="18"/>
              </w:rPr>
              <w:t xml:space="preserve"> unit</w:t>
            </w:r>
            <w:r w:rsidRPr="00896F69">
              <w:rPr>
                <w:sz w:val="18"/>
                <w:szCs w:val="18"/>
              </w:rPr>
              <w:t xml:space="preserve"> Short Haul </w:t>
            </w:r>
            <w:r w:rsidRPr="00896F69">
              <w:rPr>
                <w:b/>
                <w:sz w:val="18"/>
                <w:szCs w:val="18"/>
              </w:rPr>
              <w:t>5</w:t>
            </w:r>
            <w:r w:rsidRPr="00896F69">
              <w:rPr>
                <w:sz w:val="18"/>
                <w:szCs w:val="18"/>
              </w:rPr>
              <w:t>=Combination</w:t>
            </w:r>
            <w:r w:rsidR="007B1EA8">
              <w:rPr>
                <w:sz w:val="18"/>
                <w:szCs w:val="18"/>
              </w:rPr>
              <w:t xml:space="preserve"> unit</w:t>
            </w:r>
            <w:r w:rsidRPr="00896F69">
              <w:rPr>
                <w:sz w:val="18"/>
                <w:szCs w:val="18"/>
              </w:rPr>
              <w:t xml:space="preserve"> Long Haul</w:t>
            </w:r>
          </w:p>
        </w:tc>
      </w:tr>
    </w:tbl>
    <w:p w14:paraId="3421F72C" w14:textId="77777777" w:rsidR="005F08E5" w:rsidRDefault="005F08E5" w:rsidP="005F08E5">
      <w:pPr>
        <w:pStyle w:val="Heading3"/>
      </w:pPr>
      <w:bookmarkStart w:id="37" w:name="_Toc482973551"/>
      <w:r>
        <w:lastRenderedPageBreak/>
        <w:t>Idle Reduction</w:t>
      </w:r>
      <w:bookmarkEnd w:id="37"/>
    </w:p>
    <w:p w14:paraId="16142230" w14:textId="732E822F" w:rsidR="004739E4" w:rsidRDefault="005D13E3" w:rsidP="004739E4">
      <w:pPr>
        <w:pStyle w:val="BodyText"/>
      </w:pPr>
      <w:r w:rsidRPr="00157327">
        <w:t xml:space="preserve">Truckers report idling </w:t>
      </w:r>
      <w:r w:rsidR="004739E4">
        <w:t>between</w:t>
      </w:r>
      <w:r w:rsidRPr="00157327">
        <w:t xml:space="preserve"> </w:t>
      </w:r>
      <w:r>
        <w:t>one</w:t>
      </w:r>
      <w:r w:rsidRPr="00157327">
        <w:t xml:space="preserve"> </w:t>
      </w:r>
      <w:r w:rsidR="004739E4">
        <w:t>and</w:t>
      </w:r>
      <w:r w:rsidRPr="00157327">
        <w:t xml:space="preserve"> </w:t>
      </w:r>
      <w:r>
        <w:t>ten</w:t>
      </w:r>
      <w:r w:rsidRPr="00157327">
        <w:t xml:space="preserve"> hours per day. The A</w:t>
      </w:r>
      <w:r w:rsidR="004739E4">
        <w:t xml:space="preserve">merican Trucking Association </w:t>
      </w:r>
      <w:r w:rsidRPr="00157327">
        <w:t xml:space="preserve">estimates that </w:t>
      </w:r>
      <w:r>
        <w:t xml:space="preserve">trucks engaged in </w:t>
      </w:r>
      <w:r w:rsidR="006771E4">
        <w:t>long haul</w:t>
      </w:r>
      <w:r>
        <w:t xml:space="preserve"> option </w:t>
      </w:r>
      <w:r w:rsidRPr="00157327">
        <w:t xml:space="preserve">average about </w:t>
      </w:r>
      <w:r>
        <w:t>six</w:t>
      </w:r>
      <w:r w:rsidRPr="00157327">
        <w:t xml:space="preserve"> hours per day of idling time. Truckers often idle to provide heating and cooling for the cab</w:t>
      </w:r>
      <w:r>
        <w:t xml:space="preserve">, and sleeper trucks have a number of additional </w:t>
      </w:r>
      <w:r w:rsidR="00857D06">
        <w:t>power demands</w:t>
      </w:r>
      <w:r>
        <w:t xml:space="preserve">, or </w:t>
      </w:r>
      <w:r w:rsidRPr="004739E4">
        <w:t>hotel loads</w:t>
      </w:r>
      <w:r>
        <w:t>, related to amenities such as appliances and electronics</w:t>
      </w:r>
      <w:r w:rsidRPr="00157327">
        <w:t>.</w:t>
      </w:r>
      <w:r w:rsidR="00330080">
        <w:t xml:space="preserve"> </w:t>
      </w:r>
      <w:r w:rsidR="00FD20B8">
        <w:t>The</w:t>
      </w:r>
      <w:r w:rsidRPr="00157327">
        <w:t xml:space="preserve"> technologies</w:t>
      </w:r>
      <w:r w:rsidR="00FD20B8">
        <w:t xml:space="preserve"> included in the Tool</w:t>
      </w:r>
      <w:r w:rsidRPr="00157327">
        <w:t xml:space="preserve"> that can reduce lon</w:t>
      </w:r>
      <w:r w:rsidR="004739E4">
        <w:t xml:space="preserve">g duration idling are described in </w:t>
      </w:r>
      <w:r w:rsidR="00833B69">
        <w:fldChar w:fldCharType="begin"/>
      </w:r>
      <w:r w:rsidR="004739E4">
        <w:instrText xml:space="preserve"> REF _Ref458586894 \h </w:instrText>
      </w:r>
      <w:r w:rsidR="00833B69">
        <w:fldChar w:fldCharType="separate"/>
      </w:r>
      <w:r w:rsidR="00C42F38">
        <w:t xml:space="preserve">Table </w:t>
      </w:r>
      <w:r w:rsidR="00C42F38">
        <w:rPr>
          <w:noProof/>
        </w:rPr>
        <w:t>10</w:t>
      </w:r>
      <w:r w:rsidR="00833B69">
        <w:fldChar w:fldCharType="end"/>
      </w:r>
      <w:r w:rsidR="004739E4">
        <w:t>.</w:t>
      </w:r>
    </w:p>
    <w:p w14:paraId="1D703EB1" w14:textId="77777777" w:rsidR="004739E4" w:rsidRDefault="004739E4" w:rsidP="004739E4">
      <w:pPr>
        <w:pStyle w:val="TableCaption"/>
      </w:pPr>
      <w:bookmarkStart w:id="38" w:name="_Ref458586894"/>
      <w:bookmarkStart w:id="39" w:name="_Toc482973590"/>
      <w:r>
        <w:t xml:space="preserve">Table </w:t>
      </w:r>
      <w:r w:rsidR="00833B69">
        <w:fldChar w:fldCharType="begin"/>
      </w:r>
      <w:r>
        <w:instrText xml:space="preserve"> SEQ Table \* ARABIC </w:instrText>
      </w:r>
      <w:r w:rsidR="00833B69">
        <w:fldChar w:fldCharType="separate"/>
      </w:r>
      <w:r w:rsidR="00305706">
        <w:t>10</w:t>
      </w:r>
      <w:r w:rsidR="00833B69">
        <w:fldChar w:fldCharType="end"/>
      </w:r>
      <w:bookmarkEnd w:id="38"/>
      <w:r>
        <w:t>. Idle Reductions Used in the Tool</w:t>
      </w:r>
      <w:bookmarkEnd w:id="39"/>
    </w:p>
    <w:tbl>
      <w:tblPr>
        <w:tblStyle w:val="TemplateTable"/>
        <w:tblW w:w="9356" w:type="dxa"/>
        <w:tblCellMar>
          <w:top w:w="0" w:type="dxa"/>
          <w:bottom w:w="0" w:type="dxa"/>
        </w:tblCellMar>
        <w:tblLook w:val="04A0" w:firstRow="1" w:lastRow="0" w:firstColumn="1" w:lastColumn="0" w:noHBand="0" w:noVBand="1"/>
      </w:tblPr>
      <w:tblGrid>
        <w:gridCol w:w="7064"/>
        <w:gridCol w:w="820"/>
        <w:gridCol w:w="759"/>
        <w:gridCol w:w="704"/>
        <w:gridCol w:w="9"/>
      </w:tblGrid>
      <w:tr w:rsidR="004739E4" w:rsidRPr="00CC451D" w14:paraId="3CE016B3" w14:textId="77777777" w:rsidTr="004739E4">
        <w:trPr>
          <w:cnfStyle w:val="100000000000" w:firstRow="1" w:lastRow="0" w:firstColumn="0" w:lastColumn="0" w:oddVBand="0" w:evenVBand="0" w:oddHBand="0" w:evenHBand="0" w:firstRowFirstColumn="0" w:firstRowLastColumn="0" w:lastRowFirstColumn="0" w:lastRowLastColumn="0"/>
          <w:trHeight w:val="24"/>
        </w:trPr>
        <w:tc>
          <w:tcPr>
            <w:tcW w:w="7064" w:type="dxa"/>
            <w:tcBorders>
              <w:bottom w:val="single" w:sz="4" w:space="0" w:color="0070C0"/>
            </w:tcBorders>
            <w:noWrap/>
            <w:vAlign w:val="bottom"/>
            <w:hideMark/>
          </w:tcPr>
          <w:p w14:paraId="7621C911" w14:textId="77777777" w:rsidR="004739E4" w:rsidRPr="004739E4" w:rsidRDefault="004739E4" w:rsidP="004739E4">
            <w:pPr>
              <w:pStyle w:val="TableColumnHeading"/>
            </w:pPr>
            <w:r w:rsidRPr="004739E4">
              <w:t>Idle Reduction</w:t>
            </w:r>
          </w:p>
        </w:tc>
        <w:tc>
          <w:tcPr>
            <w:tcW w:w="820" w:type="dxa"/>
            <w:tcBorders>
              <w:bottom w:val="single" w:sz="4" w:space="0" w:color="0070C0"/>
            </w:tcBorders>
            <w:vAlign w:val="bottom"/>
          </w:tcPr>
          <w:p w14:paraId="092B76EF" w14:textId="77777777" w:rsidR="004739E4" w:rsidRPr="004739E4" w:rsidRDefault="004739E4" w:rsidP="004739E4">
            <w:pPr>
              <w:pStyle w:val="TableColumnHeading"/>
            </w:pPr>
            <w:r w:rsidRPr="004739E4">
              <w:t>Analysis Types</w:t>
            </w:r>
            <w:r w:rsidRPr="004739E4">
              <w:rPr>
                <w:rStyle w:val="TableFootnoteReferenceChar"/>
              </w:rPr>
              <w:t>a</w:t>
            </w:r>
          </w:p>
        </w:tc>
        <w:tc>
          <w:tcPr>
            <w:tcW w:w="759" w:type="dxa"/>
            <w:tcBorders>
              <w:bottom w:val="single" w:sz="4" w:space="0" w:color="0070C0"/>
            </w:tcBorders>
            <w:vAlign w:val="bottom"/>
          </w:tcPr>
          <w:p w14:paraId="637E55B6" w14:textId="77777777" w:rsidR="004739E4" w:rsidRPr="004739E4" w:rsidRDefault="004739E4" w:rsidP="004739E4">
            <w:pPr>
              <w:pStyle w:val="TableColumnHeading"/>
            </w:pPr>
            <w:r w:rsidRPr="004739E4">
              <w:t>Geo-graphic Scales</w:t>
            </w:r>
            <w:r w:rsidRPr="004739E4">
              <w:rPr>
                <w:rStyle w:val="TableFootnoteReferenceChar"/>
              </w:rPr>
              <w:t>b</w:t>
            </w:r>
          </w:p>
        </w:tc>
        <w:tc>
          <w:tcPr>
            <w:tcW w:w="713" w:type="dxa"/>
            <w:gridSpan w:val="2"/>
            <w:tcBorders>
              <w:bottom w:val="single" w:sz="4" w:space="0" w:color="0070C0"/>
            </w:tcBorders>
            <w:vAlign w:val="bottom"/>
          </w:tcPr>
          <w:p w14:paraId="00AB0B60" w14:textId="77777777" w:rsidR="004739E4" w:rsidRPr="004739E4" w:rsidRDefault="004739E4" w:rsidP="004739E4">
            <w:pPr>
              <w:pStyle w:val="TableColumnHeading"/>
            </w:pPr>
            <w:r w:rsidRPr="004739E4">
              <w:t>Truck Types</w:t>
            </w:r>
            <w:r w:rsidRPr="004739E4">
              <w:rPr>
                <w:rStyle w:val="TableFootnoteReferenceChar"/>
              </w:rPr>
              <w:t>c</w:t>
            </w:r>
          </w:p>
        </w:tc>
      </w:tr>
      <w:tr w:rsidR="004739E4" w:rsidRPr="00CC451D" w14:paraId="1FD8F092" w14:textId="77777777" w:rsidTr="004739E4">
        <w:trPr>
          <w:trHeight w:val="24"/>
        </w:trPr>
        <w:tc>
          <w:tcPr>
            <w:tcW w:w="7064" w:type="dxa"/>
            <w:tcBorders>
              <w:top w:val="single" w:sz="4" w:space="0" w:color="0070C0"/>
              <w:left w:val="single" w:sz="4" w:space="0" w:color="0070C0"/>
              <w:bottom w:val="single" w:sz="4" w:space="0" w:color="0070C0"/>
              <w:right w:val="single" w:sz="4" w:space="0" w:color="0070C0"/>
            </w:tcBorders>
            <w:noWrap/>
          </w:tcPr>
          <w:p w14:paraId="7BD3AD0A" w14:textId="77777777" w:rsidR="004739E4" w:rsidRPr="004739E4" w:rsidRDefault="004739E4" w:rsidP="004739E4">
            <w:pPr>
              <w:pStyle w:val="TableCellText"/>
              <w:rPr>
                <w:b/>
              </w:rPr>
            </w:pPr>
            <w:r w:rsidRPr="004739E4">
              <w:rPr>
                <w:b/>
              </w:rPr>
              <w:t xml:space="preserve">Fuel Operated Heaters </w:t>
            </w:r>
          </w:p>
          <w:p w14:paraId="02A2400A" w14:textId="77777777" w:rsidR="004739E4" w:rsidRPr="004739E4" w:rsidRDefault="004739E4" w:rsidP="004739E4">
            <w:pPr>
              <w:pStyle w:val="TableCellText"/>
              <w:ind w:left="210"/>
            </w:pPr>
            <w:r w:rsidRPr="004739E4">
              <w:t>Include cab/bunk heaters, which supply warm air directly from a small combustion flame to the heat exchanger, as opposed to the primary engine. Can also be designed to include cooling options, if necessary.</w:t>
            </w:r>
          </w:p>
        </w:tc>
        <w:tc>
          <w:tcPr>
            <w:tcW w:w="820" w:type="dxa"/>
            <w:tcBorders>
              <w:top w:val="single" w:sz="4" w:space="0" w:color="0070C0"/>
              <w:left w:val="single" w:sz="4" w:space="0" w:color="0070C0"/>
              <w:bottom w:val="single" w:sz="4" w:space="0" w:color="0070C0"/>
              <w:right w:val="single" w:sz="4" w:space="0" w:color="0070C0"/>
            </w:tcBorders>
          </w:tcPr>
          <w:p w14:paraId="257F6639" w14:textId="77777777" w:rsidR="004739E4" w:rsidRPr="004739E4" w:rsidRDefault="004739E4" w:rsidP="004739E4">
            <w:pPr>
              <w:pStyle w:val="TableCellText"/>
            </w:pPr>
            <w:r w:rsidRPr="004739E4">
              <w:t>All</w:t>
            </w:r>
          </w:p>
        </w:tc>
        <w:tc>
          <w:tcPr>
            <w:tcW w:w="759" w:type="dxa"/>
            <w:tcBorders>
              <w:top w:val="single" w:sz="4" w:space="0" w:color="0070C0"/>
              <w:left w:val="single" w:sz="4" w:space="0" w:color="0070C0"/>
              <w:bottom w:val="single" w:sz="4" w:space="0" w:color="0070C0"/>
              <w:right w:val="single" w:sz="4" w:space="0" w:color="0070C0"/>
            </w:tcBorders>
          </w:tcPr>
          <w:p w14:paraId="23816118" w14:textId="77777777" w:rsidR="004739E4" w:rsidRPr="004739E4" w:rsidRDefault="004739E4" w:rsidP="004739E4">
            <w:pPr>
              <w:pStyle w:val="TableCellText"/>
            </w:pPr>
            <w:r w:rsidRPr="004739E4">
              <w:t>S,M,C,D</w:t>
            </w:r>
          </w:p>
        </w:tc>
        <w:tc>
          <w:tcPr>
            <w:tcW w:w="713" w:type="dxa"/>
            <w:gridSpan w:val="2"/>
            <w:tcBorders>
              <w:top w:val="single" w:sz="4" w:space="0" w:color="0070C0"/>
              <w:left w:val="single" w:sz="4" w:space="0" w:color="0070C0"/>
              <w:bottom w:val="single" w:sz="4" w:space="0" w:color="0070C0"/>
              <w:right w:val="single" w:sz="4" w:space="0" w:color="0070C0"/>
            </w:tcBorders>
          </w:tcPr>
          <w:p w14:paraId="35768BAB" w14:textId="77777777" w:rsidR="004739E4" w:rsidRPr="004739E4" w:rsidRDefault="004739E4" w:rsidP="004739E4">
            <w:pPr>
              <w:pStyle w:val="TableCellText"/>
            </w:pPr>
            <w:r w:rsidRPr="004739E4">
              <w:t>5</w:t>
            </w:r>
          </w:p>
        </w:tc>
      </w:tr>
      <w:tr w:rsidR="004739E4" w:rsidRPr="00CC451D" w14:paraId="190526F9" w14:textId="77777777" w:rsidTr="004739E4">
        <w:trPr>
          <w:trHeight w:val="24"/>
        </w:trPr>
        <w:tc>
          <w:tcPr>
            <w:tcW w:w="7064" w:type="dxa"/>
            <w:tcBorders>
              <w:top w:val="single" w:sz="4" w:space="0" w:color="0070C0"/>
              <w:left w:val="single" w:sz="4" w:space="0" w:color="0070C0"/>
              <w:bottom w:val="single" w:sz="4" w:space="0" w:color="0070C0"/>
              <w:right w:val="single" w:sz="4" w:space="0" w:color="0070C0"/>
            </w:tcBorders>
            <w:noWrap/>
          </w:tcPr>
          <w:p w14:paraId="6091D586" w14:textId="77777777" w:rsidR="004739E4" w:rsidRPr="004739E4" w:rsidRDefault="004739E4" w:rsidP="004739E4">
            <w:pPr>
              <w:pStyle w:val="TableCellText"/>
              <w:rPr>
                <w:b/>
              </w:rPr>
            </w:pPr>
            <w:r w:rsidRPr="004739E4">
              <w:rPr>
                <w:b/>
              </w:rPr>
              <w:t>Auxiliary Power Units</w:t>
            </w:r>
          </w:p>
          <w:p w14:paraId="55B95044" w14:textId="77777777" w:rsidR="004739E4" w:rsidRPr="004739E4" w:rsidRDefault="004739E4" w:rsidP="004739E4">
            <w:pPr>
              <w:pStyle w:val="TableCellText"/>
              <w:ind w:left="210"/>
            </w:pPr>
            <w:r w:rsidRPr="004739E4">
              <w:t>Portable vehicle-mounted systems that provide power for climate control and electrical devices when the engine is shut off. Typically powered by either a small diesel combustion engine and generator or batteries (external or internal).</w:t>
            </w:r>
          </w:p>
        </w:tc>
        <w:tc>
          <w:tcPr>
            <w:tcW w:w="820" w:type="dxa"/>
            <w:tcBorders>
              <w:top w:val="single" w:sz="4" w:space="0" w:color="0070C0"/>
              <w:left w:val="single" w:sz="4" w:space="0" w:color="0070C0"/>
              <w:bottom w:val="single" w:sz="4" w:space="0" w:color="0070C0"/>
              <w:right w:val="single" w:sz="4" w:space="0" w:color="0070C0"/>
            </w:tcBorders>
          </w:tcPr>
          <w:p w14:paraId="414931B2" w14:textId="77777777" w:rsidR="004739E4" w:rsidRPr="004739E4" w:rsidRDefault="004739E4" w:rsidP="004739E4">
            <w:pPr>
              <w:pStyle w:val="TableCellText"/>
            </w:pPr>
            <w:r w:rsidRPr="004739E4">
              <w:t>All</w:t>
            </w:r>
          </w:p>
        </w:tc>
        <w:tc>
          <w:tcPr>
            <w:tcW w:w="759" w:type="dxa"/>
            <w:tcBorders>
              <w:top w:val="single" w:sz="4" w:space="0" w:color="0070C0"/>
              <w:left w:val="single" w:sz="4" w:space="0" w:color="0070C0"/>
              <w:bottom w:val="single" w:sz="4" w:space="0" w:color="0070C0"/>
              <w:right w:val="single" w:sz="4" w:space="0" w:color="0070C0"/>
            </w:tcBorders>
          </w:tcPr>
          <w:p w14:paraId="30045035" w14:textId="77777777" w:rsidR="004739E4" w:rsidRPr="004739E4" w:rsidRDefault="004739E4" w:rsidP="004739E4">
            <w:pPr>
              <w:pStyle w:val="TableCellText"/>
            </w:pPr>
            <w:r w:rsidRPr="004739E4">
              <w:t>S,M,C,D</w:t>
            </w:r>
          </w:p>
        </w:tc>
        <w:tc>
          <w:tcPr>
            <w:tcW w:w="713" w:type="dxa"/>
            <w:gridSpan w:val="2"/>
            <w:tcBorders>
              <w:top w:val="single" w:sz="4" w:space="0" w:color="0070C0"/>
              <w:left w:val="single" w:sz="4" w:space="0" w:color="0070C0"/>
              <w:bottom w:val="single" w:sz="4" w:space="0" w:color="0070C0"/>
              <w:right w:val="single" w:sz="4" w:space="0" w:color="0070C0"/>
            </w:tcBorders>
          </w:tcPr>
          <w:p w14:paraId="3085D33A" w14:textId="77777777" w:rsidR="004739E4" w:rsidRPr="004739E4" w:rsidRDefault="004739E4" w:rsidP="004739E4">
            <w:pPr>
              <w:pStyle w:val="TableCellText"/>
            </w:pPr>
            <w:r w:rsidRPr="004739E4">
              <w:t>5</w:t>
            </w:r>
          </w:p>
        </w:tc>
      </w:tr>
      <w:tr w:rsidR="004739E4" w:rsidRPr="00CC451D" w14:paraId="4165F1A7" w14:textId="77777777" w:rsidTr="004739E4">
        <w:trPr>
          <w:trHeight w:val="24"/>
        </w:trPr>
        <w:tc>
          <w:tcPr>
            <w:tcW w:w="7064" w:type="dxa"/>
            <w:tcBorders>
              <w:top w:val="single" w:sz="4" w:space="0" w:color="0070C0"/>
              <w:left w:val="single" w:sz="4" w:space="0" w:color="0070C0"/>
              <w:bottom w:val="single" w:sz="4" w:space="0" w:color="0070C0"/>
              <w:right w:val="single" w:sz="4" w:space="0" w:color="0070C0"/>
            </w:tcBorders>
            <w:noWrap/>
          </w:tcPr>
          <w:p w14:paraId="75B4DC32" w14:textId="77777777" w:rsidR="004739E4" w:rsidRPr="004739E4" w:rsidRDefault="004739E4" w:rsidP="004739E4">
            <w:pPr>
              <w:pStyle w:val="TableCellText"/>
              <w:rPr>
                <w:b/>
              </w:rPr>
            </w:pPr>
            <w:r w:rsidRPr="004739E4">
              <w:rPr>
                <w:b/>
              </w:rPr>
              <w:t xml:space="preserve">Auto start/stop </w:t>
            </w:r>
          </w:p>
          <w:p w14:paraId="36705DC8" w14:textId="77777777" w:rsidR="004739E4" w:rsidRPr="004739E4" w:rsidRDefault="004739E4" w:rsidP="004739E4">
            <w:pPr>
              <w:pStyle w:val="TableCellText"/>
              <w:ind w:left="210"/>
            </w:pPr>
            <w:r w:rsidRPr="004739E4">
              <w:t>Electric-powered systems that automatically shut down the main engine when idling by monitoring engine temperature</w:t>
            </w:r>
            <w:r w:rsidR="00785EAC">
              <w:t xml:space="preserve"> or battery charge level</w:t>
            </w:r>
            <w:r w:rsidRPr="004739E4">
              <w:t>. Restarts the engine when needed based on a set time period or temperature. Cab heating and cooling is provided when the engine is on, but not when it is off. Does not provide additional power for other loads.</w:t>
            </w:r>
          </w:p>
        </w:tc>
        <w:tc>
          <w:tcPr>
            <w:tcW w:w="820" w:type="dxa"/>
            <w:tcBorders>
              <w:top w:val="single" w:sz="4" w:space="0" w:color="0070C0"/>
              <w:left w:val="single" w:sz="4" w:space="0" w:color="0070C0"/>
              <w:bottom w:val="single" w:sz="4" w:space="0" w:color="0070C0"/>
              <w:right w:val="single" w:sz="4" w:space="0" w:color="0070C0"/>
            </w:tcBorders>
          </w:tcPr>
          <w:p w14:paraId="0FCA7FA0" w14:textId="77777777" w:rsidR="004739E4" w:rsidRPr="004739E4" w:rsidRDefault="004739E4" w:rsidP="004739E4">
            <w:pPr>
              <w:pStyle w:val="TableCellText"/>
            </w:pPr>
            <w:r w:rsidRPr="004739E4">
              <w:t>All</w:t>
            </w:r>
          </w:p>
        </w:tc>
        <w:tc>
          <w:tcPr>
            <w:tcW w:w="759" w:type="dxa"/>
            <w:tcBorders>
              <w:top w:val="single" w:sz="4" w:space="0" w:color="0070C0"/>
              <w:left w:val="single" w:sz="4" w:space="0" w:color="0070C0"/>
              <w:bottom w:val="single" w:sz="4" w:space="0" w:color="0070C0"/>
              <w:right w:val="single" w:sz="4" w:space="0" w:color="0070C0"/>
            </w:tcBorders>
          </w:tcPr>
          <w:p w14:paraId="668ED8EA" w14:textId="77777777" w:rsidR="004739E4" w:rsidRPr="004739E4" w:rsidRDefault="004739E4" w:rsidP="004739E4">
            <w:pPr>
              <w:pStyle w:val="TableCellText"/>
            </w:pPr>
            <w:r w:rsidRPr="004739E4">
              <w:t>S,M,C,D</w:t>
            </w:r>
          </w:p>
        </w:tc>
        <w:tc>
          <w:tcPr>
            <w:tcW w:w="713" w:type="dxa"/>
            <w:gridSpan w:val="2"/>
            <w:tcBorders>
              <w:top w:val="single" w:sz="4" w:space="0" w:color="0070C0"/>
              <w:left w:val="single" w:sz="4" w:space="0" w:color="0070C0"/>
              <w:bottom w:val="single" w:sz="4" w:space="0" w:color="0070C0"/>
              <w:right w:val="single" w:sz="4" w:space="0" w:color="0070C0"/>
            </w:tcBorders>
          </w:tcPr>
          <w:p w14:paraId="11248744" w14:textId="77777777" w:rsidR="004739E4" w:rsidRPr="004739E4" w:rsidRDefault="004739E4" w:rsidP="004739E4">
            <w:pPr>
              <w:pStyle w:val="TableCellText"/>
            </w:pPr>
            <w:r w:rsidRPr="004739E4">
              <w:t>5</w:t>
            </w:r>
          </w:p>
        </w:tc>
      </w:tr>
      <w:tr w:rsidR="004739E4" w14:paraId="00D7F463" w14:textId="77777777" w:rsidTr="004739E4">
        <w:tblPrEx>
          <w:tblLook w:val="0480" w:firstRow="0" w:lastRow="0" w:firstColumn="1" w:lastColumn="0" w:noHBand="0" w:noVBand="1"/>
        </w:tblPrEx>
        <w:trPr>
          <w:gridAfter w:val="1"/>
          <w:wAfter w:w="9" w:type="dxa"/>
          <w:trHeight w:val="58"/>
        </w:trPr>
        <w:tc>
          <w:tcPr>
            <w:tcW w:w="9347" w:type="dxa"/>
            <w:gridSpan w:val="4"/>
            <w:tcBorders>
              <w:left w:val="nil"/>
              <w:bottom w:val="nil"/>
              <w:right w:val="nil"/>
            </w:tcBorders>
            <w:noWrap/>
            <w:tcMar>
              <w:top w:w="0" w:type="dxa"/>
              <w:left w:w="58" w:type="dxa"/>
              <w:bottom w:w="0" w:type="dxa"/>
            </w:tcMar>
          </w:tcPr>
          <w:p w14:paraId="7EF4651D" w14:textId="2D4354C4" w:rsidR="004739E4" w:rsidRPr="004739E4" w:rsidRDefault="004739E4" w:rsidP="004739E4">
            <w:pPr>
              <w:pStyle w:val="TableCellText"/>
            </w:pPr>
            <w:r w:rsidRPr="004739E4">
              <w:rPr>
                <w:rStyle w:val="TableFootnoteReferenceChar"/>
              </w:rPr>
              <w:t>a</w:t>
            </w:r>
            <w:r w:rsidRPr="00D517E7">
              <w:rPr>
                <w:rStyle w:val="TableFootnoteChar"/>
                <w:sz w:val="18"/>
              </w:rPr>
              <w:t xml:space="preserve">Codes used in this table for analysis types: </w:t>
            </w:r>
            <w:r w:rsidRPr="00D517E7">
              <w:rPr>
                <w:b/>
                <w:sz w:val="18"/>
              </w:rPr>
              <w:t>Dep</w:t>
            </w:r>
            <w:r w:rsidRPr="00D517E7">
              <w:rPr>
                <w:sz w:val="18"/>
              </w:rPr>
              <w:t xml:space="preserve">=Deployment </w:t>
            </w:r>
            <w:r w:rsidR="00F402BA" w:rsidRPr="00D517E7">
              <w:rPr>
                <w:b/>
                <w:sz w:val="18"/>
              </w:rPr>
              <w:t>Fund</w:t>
            </w:r>
            <w:r w:rsidR="00F402BA" w:rsidRPr="00D517E7">
              <w:rPr>
                <w:sz w:val="18"/>
              </w:rPr>
              <w:t>=Funding Impact</w:t>
            </w:r>
            <w:r w:rsidRPr="00D517E7">
              <w:rPr>
                <w:sz w:val="18"/>
              </w:rPr>
              <w:t xml:space="preserve"> </w:t>
            </w:r>
            <w:r w:rsidRPr="00D517E7">
              <w:rPr>
                <w:b/>
                <w:sz w:val="18"/>
              </w:rPr>
              <w:t>Inc</w:t>
            </w:r>
            <w:r w:rsidRPr="00D517E7">
              <w:rPr>
                <w:sz w:val="18"/>
              </w:rPr>
              <w:t>=Incentive</w:t>
            </w:r>
          </w:p>
        </w:tc>
      </w:tr>
      <w:tr w:rsidR="004739E4" w14:paraId="2F49982C" w14:textId="77777777" w:rsidTr="004739E4">
        <w:tblPrEx>
          <w:tblLook w:val="0480" w:firstRow="0" w:lastRow="0" w:firstColumn="1" w:lastColumn="0" w:noHBand="0" w:noVBand="1"/>
        </w:tblPrEx>
        <w:trPr>
          <w:gridAfter w:val="1"/>
          <w:wAfter w:w="9" w:type="dxa"/>
          <w:trHeight w:val="58"/>
        </w:trPr>
        <w:tc>
          <w:tcPr>
            <w:tcW w:w="9347" w:type="dxa"/>
            <w:gridSpan w:val="4"/>
            <w:tcBorders>
              <w:top w:val="nil"/>
              <w:left w:val="nil"/>
              <w:bottom w:val="nil"/>
              <w:right w:val="nil"/>
            </w:tcBorders>
            <w:noWrap/>
            <w:tcMar>
              <w:top w:w="0" w:type="dxa"/>
              <w:bottom w:w="0" w:type="dxa"/>
            </w:tcMar>
          </w:tcPr>
          <w:p w14:paraId="77C72E56" w14:textId="77777777" w:rsidR="004739E4" w:rsidRPr="004739E4" w:rsidRDefault="004739E4" w:rsidP="004739E4">
            <w:pPr>
              <w:pStyle w:val="TableCellText"/>
            </w:pPr>
            <w:r w:rsidRPr="004739E4">
              <w:rPr>
                <w:rStyle w:val="TableFootnoteReferenceChar"/>
              </w:rPr>
              <w:t>b</w:t>
            </w:r>
            <w:r w:rsidRPr="00D517E7">
              <w:rPr>
                <w:sz w:val="18"/>
              </w:rPr>
              <w:t xml:space="preserve">Codes used in this table for geographic scales: </w:t>
            </w:r>
            <w:r w:rsidRPr="00D517E7">
              <w:rPr>
                <w:b/>
                <w:sz w:val="18"/>
              </w:rPr>
              <w:t>S</w:t>
            </w:r>
            <w:r w:rsidRPr="00D517E7">
              <w:rPr>
                <w:sz w:val="18"/>
              </w:rPr>
              <w:t xml:space="preserve">=State </w:t>
            </w:r>
            <w:r w:rsidRPr="00D517E7">
              <w:rPr>
                <w:b/>
                <w:sz w:val="18"/>
              </w:rPr>
              <w:t>M</w:t>
            </w:r>
            <w:r w:rsidRPr="00D517E7">
              <w:rPr>
                <w:sz w:val="18"/>
              </w:rPr>
              <w:t xml:space="preserve">=Metropolitan </w:t>
            </w:r>
            <w:r w:rsidRPr="00D517E7">
              <w:rPr>
                <w:b/>
                <w:sz w:val="18"/>
              </w:rPr>
              <w:t>C</w:t>
            </w:r>
            <w:r w:rsidRPr="00D517E7">
              <w:rPr>
                <w:sz w:val="18"/>
              </w:rPr>
              <w:t xml:space="preserve">=County/Municipal </w:t>
            </w:r>
            <w:r w:rsidRPr="00D517E7">
              <w:rPr>
                <w:b/>
                <w:sz w:val="18"/>
              </w:rPr>
              <w:t>D</w:t>
            </w:r>
            <w:r w:rsidRPr="00D517E7">
              <w:rPr>
                <w:sz w:val="18"/>
              </w:rPr>
              <w:t xml:space="preserve">=Distribution Center </w:t>
            </w:r>
            <w:r w:rsidRPr="00D517E7">
              <w:rPr>
                <w:b/>
                <w:sz w:val="18"/>
              </w:rPr>
              <w:t>P</w:t>
            </w:r>
            <w:r w:rsidRPr="00D517E7">
              <w:rPr>
                <w:sz w:val="18"/>
              </w:rPr>
              <w:t>=Port</w:t>
            </w:r>
          </w:p>
        </w:tc>
      </w:tr>
      <w:tr w:rsidR="004739E4" w14:paraId="3202D553" w14:textId="77777777" w:rsidTr="004739E4">
        <w:tblPrEx>
          <w:tblLook w:val="0480" w:firstRow="0" w:lastRow="0" w:firstColumn="1" w:lastColumn="0" w:noHBand="0" w:noVBand="1"/>
        </w:tblPrEx>
        <w:trPr>
          <w:gridAfter w:val="1"/>
          <w:wAfter w:w="9" w:type="dxa"/>
          <w:trHeight w:val="58"/>
        </w:trPr>
        <w:tc>
          <w:tcPr>
            <w:tcW w:w="9347" w:type="dxa"/>
            <w:gridSpan w:val="4"/>
            <w:tcBorders>
              <w:top w:val="nil"/>
              <w:left w:val="nil"/>
              <w:bottom w:val="nil"/>
              <w:right w:val="nil"/>
            </w:tcBorders>
            <w:noWrap/>
            <w:tcMar>
              <w:top w:w="0" w:type="dxa"/>
              <w:bottom w:w="0" w:type="dxa"/>
            </w:tcMar>
          </w:tcPr>
          <w:p w14:paraId="355FA9D3" w14:textId="3C3F2E19" w:rsidR="004739E4" w:rsidRPr="004739E4" w:rsidRDefault="004739E4" w:rsidP="004739E4">
            <w:pPr>
              <w:pStyle w:val="TableCellText"/>
              <w:ind w:left="206" w:hanging="206"/>
            </w:pPr>
            <w:r w:rsidRPr="004739E4">
              <w:rPr>
                <w:rStyle w:val="TableFootnoteReferenceChar"/>
              </w:rPr>
              <w:t>c</w:t>
            </w:r>
            <w:r w:rsidRPr="00D517E7">
              <w:rPr>
                <w:sz w:val="18"/>
              </w:rPr>
              <w:t xml:space="preserve">Codes used in this table for truck types: </w:t>
            </w:r>
            <w:r w:rsidRPr="00D517E7">
              <w:rPr>
                <w:b/>
                <w:sz w:val="18"/>
              </w:rPr>
              <w:t>1</w:t>
            </w:r>
            <w:r w:rsidRPr="00D517E7">
              <w:rPr>
                <w:sz w:val="18"/>
              </w:rPr>
              <w:t>=Single</w:t>
            </w:r>
            <w:r w:rsidR="007B1EA8">
              <w:rPr>
                <w:sz w:val="18"/>
              </w:rPr>
              <w:t xml:space="preserve"> unit</w:t>
            </w:r>
            <w:r w:rsidRPr="00D517E7">
              <w:rPr>
                <w:sz w:val="18"/>
              </w:rPr>
              <w:t xml:space="preserve"> Short Haul, Gasoline </w:t>
            </w:r>
            <w:r w:rsidRPr="00D517E7">
              <w:rPr>
                <w:b/>
                <w:sz w:val="18"/>
              </w:rPr>
              <w:t>2</w:t>
            </w:r>
            <w:r w:rsidRPr="00D517E7">
              <w:rPr>
                <w:sz w:val="18"/>
              </w:rPr>
              <w:t>=Single</w:t>
            </w:r>
            <w:r w:rsidR="007B1EA8">
              <w:rPr>
                <w:sz w:val="18"/>
              </w:rPr>
              <w:t xml:space="preserve"> unit</w:t>
            </w:r>
            <w:r w:rsidRPr="00D517E7">
              <w:rPr>
                <w:sz w:val="18"/>
              </w:rPr>
              <w:t xml:space="preserve"> Short Haul, Diesel </w:t>
            </w:r>
            <w:r w:rsidRPr="00D517E7">
              <w:rPr>
                <w:b/>
                <w:sz w:val="18"/>
              </w:rPr>
              <w:t>3</w:t>
            </w:r>
            <w:r w:rsidRPr="00D517E7">
              <w:rPr>
                <w:sz w:val="18"/>
              </w:rPr>
              <w:t>=Single</w:t>
            </w:r>
            <w:r w:rsidR="007B1EA8">
              <w:rPr>
                <w:sz w:val="18"/>
              </w:rPr>
              <w:t xml:space="preserve"> unit</w:t>
            </w:r>
            <w:r w:rsidRPr="00D517E7">
              <w:rPr>
                <w:sz w:val="18"/>
              </w:rPr>
              <w:t xml:space="preserve"> Long Haul </w:t>
            </w:r>
            <w:r w:rsidRPr="00D517E7">
              <w:rPr>
                <w:b/>
                <w:sz w:val="18"/>
              </w:rPr>
              <w:t>4</w:t>
            </w:r>
            <w:r w:rsidRPr="00D517E7">
              <w:rPr>
                <w:sz w:val="18"/>
              </w:rPr>
              <w:t>=Combination</w:t>
            </w:r>
            <w:r w:rsidR="007B1EA8">
              <w:rPr>
                <w:sz w:val="18"/>
              </w:rPr>
              <w:t xml:space="preserve"> unit</w:t>
            </w:r>
            <w:r w:rsidRPr="00D517E7">
              <w:rPr>
                <w:sz w:val="18"/>
              </w:rPr>
              <w:t xml:space="preserve"> Short Haul </w:t>
            </w:r>
            <w:r w:rsidRPr="00D517E7">
              <w:rPr>
                <w:b/>
                <w:sz w:val="18"/>
              </w:rPr>
              <w:t>5</w:t>
            </w:r>
            <w:r w:rsidRPr="00D517E7">
              <w:rPr>
                <w:sz w:val="18"/>
              </w:rPr>
              <w:t>=Combination</w:t>
            </w:r>
            <w:r w:rsidR="007B1EA8">
              <w:rPr>
                <w:sz w:val="18"/>
              </w:rPr>
              <w:t xml:space="preserve"> unit</w:t>
            </w:r>
            <w:r w:rsidRPr="00D517E7">
              <w:rPr>
                <w:sz w:val="18"/>
              </w:rPr>
              <w:t xml:space="preserve"> Long Haul</w:t>
            </w:r>
          </w:p>
        </w:tc>
      </w:tr>
    </w:tbl>
    <w:p w14:paraId="31BEAA8B" w14:textId="77777777" w:rsidR="000445D4" w:rsidRDefault="000445D4" w:rsidP="000445D4">
      <w:pPr>
        <w:pStyle w:val="Heading3"/>
      </w:pPr>
      <w:bookmarkStart w:id="40" w:name="_Toc482973552"/>
      <w:r>
        <w:t>Accelerated Retirement</w:t>
      </w:r>
      <w:bookmarkEnd w:id="40"/>
    </w:p>
    <w:p w14:paraId="7AA164B8" w14:textId="63C127FA" w:rsidR="005D13E3" w:rsidRDefault="005D13E3" w:rsidP="000914F1">
      <w:pPr>
        <w:pStyle w:val="BodyText"/>
      </w:pPr>
      <w:r w:rsidRPr="00582683">
        <w:t>Replacing older diesel trucks with newer trucks can significantly reduce PM</w:t>
      </w:r>
      <w:r w:rsidR="00785EAC">
        <w:t xml:space="preserve">, </w:t>
      </w:r>
      <w:r w:rsidRPr="00582683">
        <w:t>NO</w:t>
      </w:r>
      <w:r w:rsidRPr="000914F1">
        <w:t>x</w:t>
      </w:r>
      <w:r w:rsidR="00785EAC">
        <w:t xml:space="preserve"> and CO</w:t>
      </w:r>
      <w:r w:rsidR="00785EAC" w:rsidRPr="007B50C6">
        <w:rPr>
          <w:vertAlign w:val="subscript"/>
        </w:rPr>
        <w:t>2</w:t>
      </w:r>
      <w:r w:rsidRPr="00582683">
        <w:t xml:space="preserve"> emissions</w:t>
      </w:r>
      <w:r>
        <w:t>, because newer trucks are subject to emissions regulations</w:t>
      </w:r>
      <w:r w:rsidR="004739E4">
        <w:t xml:space="preserve"> that are more stringent</w:t>
      </w:r>
      <w:r w:rsidRPr="00582683">
        <w:t xml:space="preserve">. </w:t>
      </w:r>
      <w:r>
        <w:t xml:space="preserve">Freight </w:t>
      </w:r>
      <w:r w:rsidRPr="00582683">
        <w:t>trucks typically have useful lifespans longer than a decade</w:t>
      </w:r>
      <w:r>
        <w:t>,</w:t>
      </w:r>
      <w:r w:rsidRPr="00582683">
        <w:t xml:space="preserve"> and </w:t>
      </w:r>
      <w:r>
        <w:t>may</w:t>
      </w:r>
      <w:r w:rsidRPr="00582683">
        <w:t xml:space="preserve"> remain in a fleet as long as the operating and maintenance costs do not exceed the </w:t>
      </w:r>
      <w:r w:rsidR="00785EAC">
        <w:t>payments on</w:t>
      </w:r>
      <w:r w:rsidRPr="00582683">
        <w:t xml:space="preserve"> a newer vehicle or as long as the vehicle meets regulations</w:t>
      </w:r>
      <w:r>
        <w:t>.</w:t>
      </w:r>
    </w:p>
    <w:p w14:paraId="1CA1D8F6" w14:textId="58E1674F" w:rsidR="004739E4" w:rsidRDefault="005D13E3" w:rsidP="005D13E3">
      <w:pPr>
        <w:pStyle w:val="BodyText"/>
      </w:pPr>
      <w:r>
        <w:t>Currently, accelerated retirement</w:t>
      </w:r>
      <w:r w:rsidR="00A56DBD">
        <w:t xml:space="preserve"> programs</w:t>
      </w:r>
      <w:r>
        <w:t xml:space="preserve"> focus on replacing</w:t>
      </w:r>
      <w:r w:rsidR="000914F1" w:rsidRPr="000914F1">
        <w:t xml:space="preserve"> </w:t>
      </w:r>
      <w:r w:rsidR="004739E4">
        <w:t xml:space="preserve">trucks older than model year </w:t>
      </w:r>
      <w:r w:rsidR="000914F1" w:rsidRPr="000914F1">
        <w:t>2007 with</w:t>
      </w:r>
      <w:r w:rsidR="004739E4">
        <w:t xml:space="preserve"> </w:t>
      </w:r>
      <w:r w:rsidR="000914F1" w:rsidRPr="000914F1">
        <w:t xml:space="preserve">or </w:t>
      </w:r>
      <w:r>
        <w:t xml:space="preserve">replacing </w:t>
      </w:r>
      <w:r w:rsidR="000914F1" w:rsidRPr="000914F1">
        <w:t xml:space="preserve">pre-2010 trucks with </w:t>
      </w:r>
      <w:r>
        <w:t>new</w:t>
      </w:r>
      <w:r w:rsidR="00A56DBD">
        <w:t xml:space="preserve"> trucks</w:t>
      </w:r>
      <w:r w:rsidR="000914F1" w:rsidRPr="000914F1">
        <w:t>.</w:t>
      </w:r>
      <w:r w:rsidR="00330080">
        <w:t xml:space="preserve"> </w:t>
      </w:r>
      <w:r>
        <w:t xml:space="preserve">By </w:t>
      </w:r>
      <w:r w:rsidR="004739E4">
        <w:t xml:space="preserve">analysis years </w:t>
      </w:r>
      <w:r w:rsidRPr="000914F1">
        <w:t xml:space="preserve">2020 and 2025, </w:t>
      </w:r>
      <w:r>
        <w:t>nearly all pre-2007 trucks will be out of service, so accelerated retirement for those years should focus on replac</w:t>
      </w:r>
      <w:r w:rsidR="004739E4">
        <w:t>ing</w:t>
      </w:r>
      <w:r>
        <w:t xml:space="preserve"> pre-2010 trucks</w:t>
      </w:r>
      <w:r w:rsidRPr="000914F1">
        <w:t xml:space="preserve">. </w:t>
      </w:r>
      <w:r>
        <w:t xml:space="preserve">By </w:t>
      </w:r>
      <w:r w:rsidR="004739E4">
        <w:t xml:space="preserve">analysis years </w:t>
      </w:r>
      <w:r w:rsidRPr="000914F1">
        <w:t xml:space="preserve">2030, the </w:t>
      </w:r>
      <w:r>
        <w:t xml:space="preserve">Federal </w:t>
      </w:r>
      <w:r w:rsidRPr="000914F1">
        <w:t>Phase I GHG reg</w:t>
      </w:r>
      <w:r>
        <w:t>ulations for</w:t>
      </w:r>
      <w:r w:rsidRPr="000914F1">
        <w:t xml:space="preserve"> trucks </w:t>
      </w:r>
      <w:r>
        <w:t>will</w:t>
      </w:r>
      <w:r w:rsidR="004739E4">
        <w:t xml:space="preserve"> be</w:t>
      </w:r>
      <w:r>
        <w:t xml:space="preserve"> fully phased in, and </w:t>
      </w:r>
      <w:r w:rsidRPr="000914F1">
        <w:t xml:space="preserve">the replacement </w:t>
      </w:r>
      <w:r>
        <w:t>of</w:t>
      </w:r>
      <w:r w:rsidRPr="000914F1">
        <w:t xml:space="preserve"> </w:t>
      </w:r>
      <w:r w:rsidR="00A56DBD">
        <w:t>pre-</w:t>
      </w:r>
      <w:r w:rsidRPr="000914F1">
        <w:t>2018</w:t>
      </w:r>
      <w:r>
        <w:t xml:space="preserve"> could be considered</w:t>
      </w:r>
      <w:r w:rsidRPr="000914F1">
        <w:t xml:space="preserve">. </w:t>
      </w:r>
      <w:r>
        <w:t xml:space="preserve">By </w:t>
      </w:r>
      <w:r w:rsidR="004739E4">
        <w:t xml:space="preserve">analysis years </w:t>
      </w:r>
      <w:r w:rsidRPr="000914F1">
        <w:t xml:space="preserve">2035 and 2040, the </w:t>
      </w:r>
      <w:r>
        <w:t xml:space="preserve">Federal </w:t>
      </w:r>
      <w:r w:rsidRPr="000914F1">
        <w:t>Phase II GHG reg</w:t>
      </w:r>
      <w:r>
        <w:t xml:space="preserve">ulations will </w:t>
      </w:r>
      <w:r w:rsidR="004739E4">
        <w:t>b</w:t>
      </w:r>
      <w:r>
        <w:t>e fully phased in, and the replacement of</w:t>
      </w:r>
      <w:r w:rsidRPr="000914F1">
        <w:t xml:space="preserve"> </w:t>
      </w:r>
      <w:r w:rsidR="00A56DBD">
        <w:t>pre-</w:t>
      </w:r>
      <w:r w:rsidRPr="000914F1">
        <w:t>2027</w:t>
      </w:r>
      <w:r>
        <w:t xml:space="preserve"> could be considered</w:t>
      </w:r>
      <w:r w:rsidRPr="000914F1">
        <w:t>.</w:t>
      </w:r>
      <w:r w:rsidR="00330080">
        <w:t xml:space="preserve"> </w:t>
      </w:r>
      <w:r>
        <w:t xml:space="preserve">This </w:t>
      </w:r>
      <w:r>
        <w:lastRenderedPageBreak/>
        <w:t>option assumes the replaced trucks will be scrapped</w:t>
      </w:r>
      <w:r w:rsidR="00A56DBD">
        <w:t xml:space="preserve"> and the replacement trucks are new</w:t>
      </w:r>
      <w:r>
        <w:t>.</w:t>
      </w:r>
      <w:r w:rsidR="004739E4">
        <w:t xml:space="preserve"> Though these are the recommended replacement points, the user may use any breakpoint in the Tool within 30 years prior to the analysis year.</w:t>
      </w:r>
    </w:p>
    <w:p w14:paraId="080D216C" w14:textId="77777777" w:rsidR="004739E4" w:rsidRDefault="004739E4">
      <w:pPr>
        <w:spacing w:after="200" w:line="276" w:lineRule="auto"/>
        <w:rPr>
          <w:rFonts w:cs="Arial"/>
        </w:rPr>
        <w:sectPr w:rsidR="004739E4" w:rsidSect="003119C3">
          <w:pgSz w:w="12240" w:h="15840"/>
          <w:pgMar w:top="1440" w:right="1440" w:bottom="1440" w:left="1440" w:header="576" w:footer="576" w:gutter="0"/>
          <w:pgNumType w:chapStyle="6"/>
          <w:cols w:space="720"/>
          <w:titlePg/>
          <w:docGrid w:linePitch="360"/>
        </w:sectPr>
      </w:pPr>
    </w:p>
    <w:p w14:paraId="7AC7EDB8" w14:textId="77777777" w:rsidR="004739E4" w:rsidRDefault="004739E4" w:rsidP="004739E4">
      <w:pPr>
        <w:pStyle w:val="Heading1"/>
      </w:pPr>
      <w:bookmarkStart w:id="41" w:name="_Ref459365044"/>
      <w:bookmarkStart w:id="42" w:name="_Toc482973553"/>
      <w:r>
        <w:lastRenderedPageBreak/>
        <w:t>Default Inputs in the Tool</w:t>
      </w:r>
      <w:bookmarkEnd w:id="41"/>
      <w:bookmarkEnd w:id="42"/>
    </w:p>
    <w:p w14:paraId="62F7A29A" w14:textId="0F4FC50A" w:rsidR="006F5BAA" w:rsidRDefault="006F5BAA" w:rsidP="006F5BAA">
      <w:pPr>
        <w:pStyle w:val="BodyText"/>
      </w:pPr>
      <w:r>
        <w:t xml:space="preserve">The Tool is preloaded with default data on the information shown </w:t>
      </w:r>
      <w:r w:rsidR="00C43D0C">
        <w:t>Table 11</w:t>
      </w:r>
      <w:r>
        <w:t xml:space="preserve">. As discussed in Sections </w:t>
      </w:r>
      <w:r w:rsidR="00C43D0C">
        <w:t>4.3 through 4.5</w:t>
      </w:r>
      <w:r>
        <w:t>, users may override some default values with custom data, for annual mileage accumulation, annual idle hours, fuel purchase prices, and power-plant CO</w:t>
      </w:r>
      <w:r w:rsidRPr="00931979">
        <w:rPr>
          <w:vertAlign w:val="subscript"/>
        </w:rPr>
        <w:t>2</w:t>
      </w:r>
      <w:r>
        <w:t xml:space="preserve"> emission rates.</w:t>
      </w:r>
      <w:r w:rsidR="007B50C6">
        <w:t xml:space="preserve"> The derivation of these defaults is discussed in Section 5.</w:t>
      </w:r>
    </w:p>
    <w:p w14:paraId="5125EA67" w14:textId="76342F62" w:rsidR="006F5BAA" w:rsidRDefault="006F5BAA" w:rsidP="006F5BAA">
      <w:pPr>
        <w:pStyle w:val="TableCaption"/>
      </w:pPr>
      <w:bookmarkStart w:id="43" w:name="_Ref459985415"/>
      <w:bookmarkStart w:id="44" w:name="_Toc482973591"/>
      <w:r>
        <w:t xml:space="preserve">Table </w:t>
      </w:r>
      <w:r w:rsidR="00833B69">
        <w:fldChar w:fldCharType="begin"/>
      </w:r>
      <w:r>
        <w:instrText xml:space="preserve"> SEQ Table \* ARABIC </w:instrText>
      </w:r>
      <w:r w:rsidR="00833B69">
        <w:fldChar w:fldCharType="separate"/>
      </w:r>
      <w:r w:rsidR="00305706">
        <w:t>11</w:t>
      </w:r>
      <w:r w:rsidR="00833B69">
        <w:fldChar w:fldCharType="end"/>
      </w:r>
      <w:bookmarkEnd w:id="43"/>
      <w:r>
        <w:t>. Types of Default Data Provided in the Tool</w:t>
      </w:r>
      <w:bookmarkEnd w:id="44"/>
    </w:p>
    <w:tbl>
      <w:tblPr>
        <w:tblStyle w:val="TemplateTable"/>
        <w:tblW w:w="9328" w:type="dxa"/>
        <w:tblCellMar>
          <w:top w:w="0" w:type="dxa"/>
          <w:bottom w:w="0" w:type="dxa"/>
        </w:tblCellMar>
        <w:tblLook w:val="0480" w:firstRow="0" w:lastRow="0" w:firstColumn="1" w:lastColumn="0" w:noHBand="0" w:noVBand="1"/>
      </w:tblPr>
      <w:tblGrid>
        <w:gridCol w:w="9328"/>
      </w:tblGrid>
      <w:tr w:rsidR="006F5BAA" w:rsidRPr="00CC451D" w14:paraId="7007E82D" w14:textId="77777777" w:rsidTr="006F5BAA">
        <w:trPr>
          <w:trHeight w:val="24"/>
        </w:trPr>
        <w:tc>
          <w:tcPr>
            <w:tcW w:w="9328" w:type="dxa"/>
            <w:tcBorders>
              <w:top w:val="single" w:sz="4" w:space="0" w:color="0070C0"/>
              <w:left w:val="single" w:sz="4" w:space="0" w:color="0070C0"/>
              <w:bottom w:val="nil"/>
              <w:right w:val="single" w:sz="4" w:space="0" w:color="0070C0"/>
            </w:tcBorders>
            <w:noWrap/>
            <w:tcMar>
              <w:top w:w="0" w:type="dxa"/>
              <w:bottom w:w="0" w:type="dxa"/>
            </w:tcMar>
            <w:vAlign w:val="center"/>
          </w:tcPr>
          <w:p w14:paraId="369E3FF2" w14:textId="77777777" w:rsidR="006F5BAA" w:rsidRPr="006F5BAA" w:rsidRDefault="006F5BAA" w:rsidP="00613C1C">
            <w:pPr>
              <w:pStyle w:val="TableCellText"/>
              <w:rPr>
                <w:b/>
              </w:rPr>
            </w:pPr>
            <w:r w:rsidRPr="006F5BAA">
              <w:rPr>
                <w:b/>
              </w:rPr>
              <w:t xml:space="preserve">Basic Vehicle Data </w:t>
            </w:r>
            <w:r w:rsidRPr="006F5BAA">
              <w:t>(By Analysis Year, Truck Type, Baseline Fuel Type, and Geographic Scale)</w:t>
            </w:r>
            <w:r w:rsidRPr="006F5BAA">
              <w:rPr>
                <w:b/>
              </w:rPr>
              <w:t>:</w:t>
            </w:r>
          </w:p>
        </w:tc>
      </w:tr>
      <w:tr w:rsidR="006F5BAA" w:rsidRPr="00CC451D" w14:paraId="3F72F56C" w14:textId="77777777" w:rsidTr="006F5BAA">
        <w:trPr>
          <w:trHeight w:val="24"/>
        </w:trPr>
        <w:tc>
          <w:tcPr>
            <w:tcW w:w="9328" w:type="dxa"/>
            <w:tcBorders>
              <w:top w:val="nil"/>
              <w:left w:val="single" w:sz="4" w:space="0" w:color="0070C0"/>
              <w:bottom w:val="nil"/>
              <w:right w:val="single" w:sz="4" w:space="0" w:color="0070C0"/>
            </w:tcBorders>
            <w:noWrap/>
            <w:tcMar>
              <w:top w:w="0" w:type="dxa"/>
              <w:left w:w="58" w:type="dxa"/>
              <w:bottom w:w="0" w:type="dxa"/>
            </w:tcMar>
            <w:vAlign w:val="center"/>
          </w:tcPr>
          <w:p w14:paraId="7A62E833" w14:textId="77777777" w:rsidR="006F5BAA" w:rsidRPr="006F5BAA" w:rsidRDefault="006F5BAA" w:rsidP="006F5BAA">
            <w:pPr>
              <w:pStyle w:val="TableCellText"/>
              <w:numPr>
                <w:ilvl w:val="0"/>
                <w:numId w:val="19"/>
              </w:numPr>
            </w:pPr>
            <w:r w:rsidRPr="006F5BAA">
              <w:t>Annual mileage accumulation</w:t>
            </w:r>
          </w:p>
        </w:tc>
      </w:tr>
      <w:tr w:rsidR="006F5BAA" w:rsidRPr="00CC451D" w14:paraId="3E4655E3" w14:textId="77777777" w:rsidTr="006F5BAA">
        <w:trPr>
          <w:trHeight w:val="24"/>
        </w:trPr>
        <w:tc>
          <w:tcPr>
            <w:tcW w:w="9328" w:type="dxa"/>
            <w:tcBorders>
              <w:top w:val="nil"/>
              <w:left w:val="single" w:sz="4" w:space="0" w:color="0070C0"/>
              <w:bottom w:val="nil"/>
              <w:right w:val="single" w:sz="4" w:space="0" w:color="0070C0"/>
            </w:tcBorders>
            <w:noWrap/>
            <w:tcMar>
              <w:top w:w="0" w:type="dxa"/>
              <w:left w:w="58" w:type="dxa"/>
              <w:bottom w:w="0" w:type="dxa"/>
            </w:tcMar>
            <w:vAlign w:val="center"/>
          </w:tcPr>
          <w:p w14:paraId="383E04AE" w14:textId="5ED837D7" w:rsidR="006F5BAA" w:rsidRPr="006F5BAA" w:rsidRDefault="006F5BAA" w:rsidP="006F5BAA">
            <w:pPr>
              <w:pStyle w:val="TableCellText"/>
              <w:numPr>
                <w:ilvl w:val="0"/>
                <w:numId w:val="19"/>
              </w:numPr>
            </w:pPr>
            <w:r w:rsidRPr="006F5BAA">
              <w:t>Annual idle hours (combination</w:t>
            </w:r>
            <w:r w:rsidR="007B1EA8">
              <w:t xml:space="preserve"> unit</w:t>
            </w:r>
            <w:r w:rsidRPr="006F5BAA">
              <w:t xml:space="preserve"> long hauls only)</w:t>
            </w:r>
          </w:p>
        </w:tc>
      </w:tr>
      <w:tr w:rsidR="006F5BAA" w:rsidRPr="00CC451D" w14:paraId="2B74B760" w14:textId="77777777" w:rsidTr="006F5BAA">
        <w:trPr>
          <w:trHeight w:val="24"/>
        </w:trPr>
        <w:tc>
          <w:tcPr>
            <w:tcW w:w="9328" w:type="dxa"/>
            <w:tcBorders>
              <w:top w:val="nil"/>
              <w:left w:val="single" w:sz="4" w:space="0" w:color="0070C0"/>
              <w:bottom w:val="single" w:sz="4" w:space="0" w:color="0070C0"/>
              <w:right w:val="single" w:sz="4" w:space="0" w:color="0070C0"/>
            </w:tcBorders>
            <w:noWrap/>
            <w:tcMar>
              <w:top w:w="0" w:type="dxa"/>
              <w:left w:w="58" w:type="dxa"/>
              <w:bottom w:w="0" w:type="dxa"/>
            </w:tcMar>
            <w:vAlign w:val="center"/>
          </w:tcPr>
          <w:p w14:paraId="2B59B4AA" w14:textId="77777777" w:rsidR="006F5BAA" w:rsidRPr="006F5BAA" w:rsidRDefault="006F5BAA" w:rsidP="006F5BAA">
            <w:pPr>
              <w:pStyle w:val="TableCellText"/>
              <w:numPr>
                <w:ilvl w:val="0"/>
                <w:numId w:val="19"/>
              </w:numPr>
            </w:pPr>
            <w:r w:rsidRPr="006F5BAA">
              <w:t>Vehicle population</w:t>
            </w:r>
          </w:p>
        </w:tc>
      </w:tr>
      <w:tr w:rsidR="006F5BAA" w:rsidRPr="00CC451D" w14:paraId="4D586B55" w14:textId="77777777" w:rsidTr="006F5BAA">
        <w:trPr>
          <w:trHeight w:val="24"/>
        </w:trPr>
        <w:tc>
          <w:tcPr>
            <w:tcW w:w="9328" w:type="dxa"/>
            <w:tcBorders>
              <w:top w:val="single" w:sz="4" w:space="0" w:color="0070C0"/>
              <w:left w:val="single" w:sz="4" w:space="0" w:color="0070C0"/>
              <w:bottom w:val="nil"/>
              <w:right w:val="single" w:sz="4" w:space="0" w:color="0070C0"/>
            </w:tcBorders>
            <w:noWrap/>
            <w:tcMar>
              <w:top w:w="0" w:type="dxa"/>
              <w:bottom w:w="0" w:type="dxa"/>
            </w:tcMar>
            <w:vAlign w:val="center"/>
          </w:tcPr>
          <w:p w14:paraId="37AB9AA5" w14:textId="22393CC3" w:rsidR="006F5BAA" w:rsidRPr="006F5BAA" w:rsidRDefault="006F5BAA" w:rsidP="005932E1">
            <w:pPr>
              <w:pStyle w:val="TableCellText"/>
              <w:rPr>
                <w:b/>
              </w:rPr>
            </w:pPr>
            <w:r w:rsidRPr="006F5BAA">
              <w:rPr>
                <w:b/>
              </w:rPr>
              <w:t xml:space="preserve">Vehicle Factors </w:t>
            </w:r>
            <w:r w:rsidRPr="006F5BAA">
              <w:t>(By Analysis Year, Truck Type, Baseline Fuel Type, Geographic Scale, and Model Year; see also Section</w:t>
            </w:r>
            <w:r w:rsidR="005932E1">
              <w:t xml:space="preserve"> 5.1)</w:t>
            </w:r>
            <w:r w:rsidRPr="006F5BAA">
              <w:rPr>
                <w:b/>
              </w:rPr>
              <w:t>:</w:t>
            </w:r>
          </w:p>
        </w:tc>
      </w:tr>
      <w:tr w:rsidR="006F5BAA" w:rsidRPr="00CC451D" w14:paraId="143A3B81" w14:textId="77777777" w:rsidTr="006F5BAA">
        <w:trPr>
          <w:trHeight w:val="24"/>
        </w:trPr>
        <w:tc>
          <w:tcPr>
            <w:tcW w:w="9328" w:type="dxa"/>
            <w:tcBorders>
              <w:top w:val="nil"/>
              <w:left w:val="single" w:sz="4" w:space="0" w:color="0070C0"/>
              <w:bottom w:val="nil"/>
              <w:right w:val="single" w:sz="4" w:space="0" w:color="0070C0"/>
            </w:tcBorders>
            <w:noWrap/>
            <w:tcMar>
              <w:top w:w="0" w:type="dxa"/>
              <w:left w:w="58" w:type="dxa"/>
              <w:bottom w:w="0" w:type="dxa"/>
            </w:tcMar>
            <w:vAlign w:val="center"/>
          </w:tcPr>
          <w:p w14:paraId="541A68FB" w14:textId="77777777" w:rsidR="006F5BAA" w:rsidRPr="006F5BAA" w:rsidRDefault="006F5BAA" w:rsidP="006F5BAA">
            <w:pPr>
              <w:pStyle w:val="TableCellText"/>
              <w:numPr>
                <w:ilvl w:val="0"/>
                <w:numId w:val="20"/>
              </w:numPr>
            </w:pPr>
            <w:r w:rsidRPr="006F5BAA">
              <w:t>Running emission factors (g/mi; NO</w:t>
            </w:r>
            <w:r w:rsidRPr="006F5BAA">
              <w:rPr>
                <w:vertAlign w:val="subscript"/>
              </w:rPr>
              <w:t>x</w:t>
            </w:r>
            <w:r w:rsidRPr="006F5BAA">
              <w:t>, PM</w:t>
            </w:r>
            <w:r w:rsidRPr="006F5BAA">
              <w:rPr>
                <w:vertAlign w:val="subscript"/>
              </w:rPr>
              <w:t>2.5</w:t>
            </w:r>
            <w:r w:rsidRPr="006F5BAA">
              <w:t>, CO</w:t>
            </w:r>
            <w:r w:rsidRPr="006F5BAA">
              <w:rPr>
                <w:vertAlign w:val="subscript"/>
              </w:rPr>
              <w:t>2</w:t>
            </w:r>
            <w:r w:rsidRPr="006F5BAA">
              <w:t>)</w:t>
            </w:r>
          </w:p>
        </w:tc>
      </w:tr>
      <w:tr w:rsidR="006F5BAA" w:rsidRPr="00CC451D" w14:paraId="1CA405BA" w14:textId="77777777" w:rsidTr="006F5BAA">
        <w:trPr>
          <w:trHeight w:val="24"/>
        </w:trPr>
        <w:tc>
          <w:tcPr>
            <w:tcW w:w="9328" w:type="dxa"/>
            <w:tcBorders>
              <w:top w:val="nil"/>
              <w:left w:val="single" w:sz="4" w:space="0" w:color="0070C0"/>
              <w:bottom w:val="nil"/>
              <w:right w:val="single" w:sz="4" w:space="0" w:color="0070C0"/>
            </w:tcBorders>
            <w:noWrap/>
            <w:tcMar>
              <w:top w:w="0" w:type="dxa"/>
              <w:left w:w="58" w:type="dxa"/>
              <w:bottom w:w="0" w:type="dxa"/>
            </w:tcMar>
            <w:vAlign w:val="center"/>
          </w:tcPr>
          <w:p w14:paraId="190980EF" w14:textId="27E32D3E" w:rsidR="006F5BAA" w:rsidRPr="006F5BAA" w:rsidRDefault="006F5BAA" w:rsidP="006F5BAA">
            <w:pPr>
              <w:pStyle w:val="TableCellText"/>
              <w:numPr>
                <w:ilvl w:val="0"/>
                <w:numId w:val="20"/>
              </w:numPr>
            </w:pPr>
            <w:r>
              <w:t>Extended i</w:t>
            </w:r>
            <w:r w:rsidRPr="006F5BAA">
              <w:t>dle emission factors (gal/hr; NO</w:t>
            </w:r>
            <w:r w:rsidRPr="006F5BAA">
              <w:rPr>
                <w:vertAlign w:val="subscript"/>
              </w:rPr>
              <w:t>x</w:t>
            </w:r>
            <w:r w:rsidRPr="006F5BAA">
              <w:t>, PM</w:t>
            </w:r>
            <w:r w:rsidRPr="006F5BAA">
              <w:rPr>
                <w:vertAlign w:val="subscript"/>
              </w:rPr>
              <w:t>2.5</w:t>
            </w:r>
            <w:r w:rsidRPr="006F5BAA">
              <w:t>, CO</w:t>
            </w:r>
            <w:r w:rsidRPr="006F5BAA">
              <w:rPr>
                <w:vertAlign w:val="subscript"/>
              </w:rPr>
              <w:t>2</w:t>
            </w:r>
            <w:r w:rsidRPr="006F5BAA">
              <w:t>; combination</w:t>
            </w:r>
            <w:r w:rsidR="007B1EA8">
              <w:t xml:space="preserve"> unit</w:t>
            </w:r>
            <w:r w:rsidRPr="006F5BAA">
              <w:t xml:space="preserve"> long hauls only)</w:t>
            </w:r>
          </w:p>
        </w:tc>
      </w:tr>
      <w:tr w:rsidR="006F5BAA" w:rsidRPr="00CC451D" w14:paraId="4F75A241" w14:textId="77777777" w:rsidTr="006F5BAA">
        <w:trPr>
          <w:trHeight w:val="24"/>
        </w:trPr>
        <w:tc>
          <w:tcPr>
            <w:tcW w:w="9328" w:type="dxa"/>
            <w:tcBorders>
              <w:top w:val="nil"/>
              <w:left w:val="single" w:sz="4" w:space="0" w:color="0070C0"/>
              <w:bottom w:val="nil"/>
              <w:right w:val="single" w:sz="4" w:space="0" w:color="0070C0"/>
            </w:tcBorders>
            <w:noWrap/>
            <w:tcMar>
              <w:top w:w="0" w:type="dxa"/>
              <w:left w:w="58" w:type="dxa"/>
              <w:bottom w:w="0" w:type="dxa"/>
            </w:tcMar>
            <w:vAlign w:val="center"/>
          </w:tcPr>
          <w:p w14:paraId="5B7C6D30" w14:textId="77777777" w:rsidR="006F5BAA" w:rsidRPr="006F5BAA" w:rsidRDefault="006F5BAA" w:rsidP="006F5BAA">
            <w:pPr>
              <w:pStyle w:val="TableCellText"/>
              <w:numPr>
                <w:ilvl w:val="0"/>
                <w:numId w:val="20"/>
              </w:numPr>
            </w:pPr>
            <w:r w:rsidRPr="006F5BAA">
              <w:t>Bake- and tire-wear emission factors (g/mi; PM</w:t>
            </w:r>
            <w:r w:rsidRPr="006F5BAA">
              <w:rPr>
                <w:vertAlign w:val="subscript"/>
              </w:rPr>
              <w:t>2.5</w:t>
            </w:r>
            <w:r w:rsidRPr="006F5BAA">
              <w:t>)</w:t>
            </w:r>
          </w:p>
        </w:tc>
      </w:tr>
      <w:tr w:rsidR="006F5BAA" w:rsidRPr="00CC451D" w14:paraId="6606C892" w14:textId="77777777" w:rsidTr="006F5BAA">
        <w:trPr>
          <w:trHeight w:val="24"/>
        </w:trPr>
        <w:tc>
          <w:tcPr>
            <w:tcW w:w="9328" w:type="dxa"/>
            <w:tcBorders>
              <w:top w:val="nil"/>
              <w:left w:val="single" w:sz="4" w:space="0" w:color="0070C0"/>
              <w:bottom w:val="nil"/>
              <w:right w:val="single" w:sz="4" w:space="0" w:color="0070C0"/>
            </w:tcBorders>
            <w:noWrap/>
            <w:tcMar>
              <w:top w:w="0" w:type="dxa"/>
              <w:left w:w="58" w:type="dxa"/>
              <w:bottom w:w="0" w:type="dxa"/>
            </w:tcMar>
            <w:vAlign w:val="center"/>
          </w:tcPr>
          <w:p w14:paraId="6EDE6CF4" w14:textId="77777777" w:rsidR="006F5BAA" w:rsidRPr="006F5BAA" w:rsidRDefault="006F5BAA" w:rsidP="006F5BAA">
            <w:pPr>
              <w:pStyle w:val="TableCellText"/>
              <w:numPr>
                <w:ilvl w:val="0"/>
                <w:numId w:val="20"/>
              </w:numPr>
            </w:pPr>
            <w:r w:rsidRPr="006F5BAA">
              <w:t>Fuel economy (mi/gal)</w:t>
            </w:r>
          </w:p>
        </w:tc>
      </w:tr>
      <w:tr w:rsidR="006F5BAA" w:rsidRPr="00CC451D" w14:paraId="75E70670" w14:textId="77777777" w:rsidTr="006F5BAA">
        <w:trPr>
          <w:trHeight w:val="24"/>
        </w:trPr>
        <w:tc>
          <w:tcPr>
            <w:tcW w:w="9328" w:type="dxa"/>
            <w:tcBorders>
              <w:top w:val="nil"/>
              <w:left w:val="single" w:sz="4" w:space="0" w:color="0070C0"/>
              <w:bottom w:val="single" w:sz="4" w:space="0" w:color="0070C0"/>
              <w:right w:val="single" w:sz="4" w:space="0" w:color="0070C0"/>
            </w:tcBorders>
            <w:noWrap/>
            <w:tcMar>
              <w:top w:w="0" w:type="dxa"/>
              <w:left w:w="58" w:type="dxa"/>
              <w:bottom w:w="0" w:type="dxa"/>
            </w:tcMar>
            <w:vAlign w:val="center"/>
          </w:tcPr>
          <w:p w14:paraId="2D4973AA" w14:textId="77777777" w:rsidR="006F5BAA" w:rsidRPr="006F5BAA" w:rsidRDefault="006F5BAA" w:rsidP="006F5BAA">
            <w:pPr>
              <w:pStyle w:val="TableCellText"/>
              <w:numPr>
                <w:ilvl w:val="0"/>
                <w:numId w:val="20"/>
              </w:numPr>
            </w:pPr>
            <w:r w:rsidRPr="006F5BAA">
              <w:t>Travel fraction (for the specified combination of analysis year, truck type, baseline fuel type, and geographic scale: the fraction of total VMT accounted for by each model year)</w:t>
            </w:r>
          </w:p>
        </w:tc>
      </w:tr>
      <w:tr w:rsidR="006F5BAA" w:rsidRPr="00CC451D" w14:paraId="7C151F7C" w14:textId="77777777" w:rsidTr="006F5BAA">
        <w:trPr>
          <w:trHeight w:val="24"/>
        </w:trPr>
        <w:tc>
          <w:tcPr>
            <w:tcW w:w="9328" w:type="dxa"/>
            <w:tcBorders>
              <w:top w:val="single" w:sz="4" w:space="0" w:color="0070C0"/>
              <w:left w:val="single" w:sz="4" w:space="0" w:color="0070C0"/>
              <w:bottom w:val="nil"/>
              <w:right w:val="single" w:sz="4" w:space="0" w:color="0070C0"/>
            </w:tcBorders>
            <w:noWrap/>
            <w:tcMar>
              <w:top w:w="0" w:type="dxa"/>
              <w:bottom w:w="0" w:type="dxa"/>
            </w:tcMar>
            <w:vAlign w:val="center"/>
          </w:tcPr>
          <w:p w14:paraId="3AEEF40B" w14:textId="51813F07" w:rsidR="006F5BAA" w:rsidRPr="006F5BAA" w:rsidRDefault="006F5BAA" w:rsidP="00C43D0C">
            <w:pPr>
              <w:pStyle w:val="TableCellText"/>
              <w:rPr>
                <w:b/>
              </w:rPr>
            </w:pPr>
            <w:r w:rsidRPr="006F5BAA">
              <w:rPr>
                <w:b/>
              </w:rPr>
              <w:t xml:space="preserve">Fuels </w:t>
            </w:r>
            <w:r w:rsidRPr="006F5BAA">
              <w:t xml:space="preserve">(see also Section </w:t>
            </w:r>
            <w:r w:rsidR="00C43D0C">
              <w:t>5.3</w:t>
            </w:r>
            <w:r w:rsidRPr="006F5BAA">
              <w:t>)</w:t>
            </w:r>
            <w:r w:rsidRPr="006F5BAA">
              <w:rPr>
                <w:b/>
              </w:rPr>
              <w:t>:</w:t>
            </w:r>
          </w:p>
        </w:tc>
      </w:tr>
      <w:tr w:rsidR="006F5BAA" w:rsidRPr="00CC451D" w14:paraId="4C98B03D" w14:textId="77777777" w:rsidTr="006F5BAA">
        <w:trPr>
          <w:trHeight w:val="24"/>
        </w:trPr>
        <w:tc>
          <w:tcPr>
            <w:tcW w:w="9328" w:type="dxa"/>
            <w:tcBorders>
              <w:top w:val="nil"/>
              <w:left w:val="single" w:sz="4" w:space="0" w:color="0070C0"/>
              <w:bottom w:val="nil"/>
              <w:right w:val="single" w:sz="4" w:space="0" w:color="0070C0"/>
            </w:tcBorders>
            <w:noWrap/>
            <w:tcMar>
              <w:top w:w="0" w:type="dxa"/>
              <w:bottom w:w="0" w:type="dxa"/>
            </w:tcMar>
            <w:vAlign w:val="center"/>
          </w:tcPr>
          <w:p w14:paraId="5165E1EA" w14:textId="77777777" w:rsidR="006F5BAA" w:rsidRPr="006F5BAA" w:rsidRDefault="006F5BAA" w:rsidP="006F5BAA">
            <w:pPr>
              <w:pStyle w:val="TableCellText"/>
              <w:numPr>
                <w:ilvl w:val="0"/>
                <w:numId w:val="23"/>
              </w:numPr>
            </w:pPr>
            <w:r w:rsidRPr="006F5BAA">
              <w:t>Purchase price per gallon:</w:t>
            </w:r>
          </w:p>
        </w:tc>
      </w:tr>
      <w:tr w:rsidR="006F5BAA" w:rsidRPr="00CC451D" w14:paraId="6450DF01" w14:textId="77777777" w:rsidTr="006F5BAA">
        <w:trPr>
          <w:trHeight w:val="24"/>
        </w:trPr>
        <w:tc>
          <w:tcPr>
            <w:tcW w:w="9328" w:type="dxa"/>
            <w:tcBorders>
              <w:top w:val="nil"/>
              <w:left w:val="single" w:sz="4" w:space="0" w:color="0070C0"/>
              <w:bottom w:val="nil"/>
              <w:right w:val="single" w:sz="4" w:space="0" w:color="0070C0"/>
            </w:tcBorders>
            <w:noWrap/>
            <w:tcMar>
              <w:top w:w="0" w:type="dxa"/>
              <w:bottom w:w="0" w:type="dxa"/>
            </w:tcMar>
            <w:vAlign w:val="center"/>
          </w:tcPr>
          <w:p w14:paraId="18ADF306" w14:textId="77777777" w:rsidR="006F5BAA" w:rsidRPr="006F5BAA" w:rsidRDefault="006F5BAA" w:rsidP="006F5BAA">
            <w:pPr>
              <w:pStyle w:val="TableCellText"/>
              <w:numPr>
                <w:ilvl w:val="0"/>
                <w:numId w:val="24"/>
              </w:numPr>
              <w:ind w:left="1096"/>
            </w:pPr>
            <w:r w:rsidRPr="006F5BAA">
              <w:t>Diesel (petroleum and others)</w:t>
            </w:r>
          </w:p>
        </w:tc>
      </w:tr>
      <w:tr w:rsidR="006F5BAA" w:rsidRPr="00CC451D" w14:paraId="3A7BDF30" w14:textId="77777777" w:rsidTr="006F5BAA">
        <w:trPr>
          <w:trHeight w:val="24"/>
        </w:trPr>
        <w:tc>
          <w:tcPr>
            <w:tcW w:w="9328" w:type="dxa"/>
            <w:tcBorders>
              <w:top w:val="nil"/>
              <w:left w:val="single" w:sz="4" w:space="0" w:color="0070C0"/>
              <w:bottom w:val="nil"/>
              <w:right w:val="single" w:sz="4" w:space="0" w:color="0070C0"/>
            </w:tcBorders>
            <w:noWrap/>
            <w:tcMar>
              <w:top w:w="0" w:type="dxa"/>
              <w:bottom w:w="0" w:type="dxa"/>
            </w:tcMar>
            <w:vAlign w:val="center"/>
          </w:tcPr>
          <w:p w14:paraId="0D88218D" w14:textId="77777777" w:rsidR="006F5BAA" w:rsidRPr="006F5BAA" w:rsidRDefault="006F5BAA" w:rsidP="006F5BAA">
            <w:pPr>
              <w:pStyle w:val="TableCellText"/>
              <w:numPr>
                <w:ilvl w:val="0"/>
                <w:numId w:val="24"/>
              </w:numPr>
              <w:ind w:left="1096"/>
            </w:pPr>
            <w:r w:rsidRPr="006F5BAA">
              <w:t>Gasoline</w:t>
            </w:r>
          </w:p>
        </w:tc>
      </w:tr>
      <w:tr w:rsidR="006F5BAA" w:rsidRPr="00CC451D" w14:paraId="27ECCDBD" w14:textId="77777777" w:rsidTr="006F5BAA">
        <w:trPr>
          <w:trHeight w:val="24"/>
        </w:trPr>
        <w:tc>
          <w:tcPr>
            <w:tcW w:w="9328" w:type="dxa"/>
            <w:tcBorders>
              <w:top w:val="nil"/>
              <w:left w:val="single" w:sz="4" w:space="0" w:color="0070C0"/>
              <w:bottom w:val="nil"/>
              <w:right w:val="single" w:sz="4" w:space="0" w:color="0070C0"/>
            </w:tcBorders>
            <w:noWrap/>
            <w:tcMar>
              <w:top w:w="0" w:type="dxa"/>
              <w:bottom w:w="0" w:type="dxa"/>
            </w:tcMar>
            <w:vAlign w:val="center"/>
          </w:tcPr>
          <w:p w14:paraId="3D2DFA6C" w14:textId="77777777" w:rsidR="006F5BAA" w:rsidRPr="006F5BAA" w:rsidRDefault="006F5BAA" w:rsidP="006F5BAA">
            <w:pPr>
              <w:pStyle w:val="TableCellText"/>
              <w:numPr>
                <w:ilvl w:val="0"/>
                <w:numId w:val="24"/>
              </w:numPr>
              <w:ind w:left="1096"/>
            </w:pPr>
            <w:r w:rsidRPr="006F5BAA">
              <w:t>Propane</w:t>
            </w:r>
          </w:p>
        </w:tc>
      </w:tr>
      <w:tr w:rsidR="006F5BAA" w:rsidRPr="00CC451D" w14:paraId="31C0F541" w14:textId="77777777" w:rsidTr="006F5BAA">
        <w:trPr>
          <w:trHeight w:val="24"/>
        </w:trPr>
        <w:tc>
          <w:tcPr>
            <w:tcW w:w="9328" w:type="dxa"/>
            <w:tcBorders>
              <w:top w:val="nil"/>
              <w:left w:val="single" w:sz="4" w:space="0" w:color="0070C0"/>
              <w:bottom w:val="nil"/>
              <w:right w:val="single" w:sz="4" w:space="0" w:color="0070C0"/>
            </w:tcBorders>
            <w:noWrap/>
            <w:tcMar>
              <w:top w:w="0" w:type="dxa"/>
              <w:bottom w:w="0" w:type="dxa"/>
            </w:tcMar>
            <w:vAlign w:val="center"/>
          </w:tcPr>
          <w:p w14:paraId="429D9098" w14:textId="77777777" w:rsidR="006F5BAA" w:rsidRPr="006F5BAA" w:rsidRDefault="006F5BAA" w:rsidP="006F5BAA">
            <w:pPr>
              <w:pStyle w:val="TableCellText"/>
              <w:numPr>
                <w:ilvl w:val="0"/>
                <w:numId w:val="23"/>
              </w:numPr>
            </w:pPr>
            <w:r w:rsidRPr="006F5BAA">
              <w:t>Purchase price per gasoline and diesel gallon equivalents:</w:t>
            </w:r>
          </w:p>
        </w:tc>
      </w:tr>
      <w:tr w:rsidR="006F5BAA" w:rsidRPr="00CC451D" w14:paraId="1CE20E88" w14:textId="77777777" w:rsidTr="006F5BAA">
        <w:trPr>
          <w:trHeight w:val="24"/>
        </w:trPr>
        <w:tc>
          <w:tcPr>
            <w:tcW w:w="9328" w:type="dxa"/>
            <w:tcBorders>
              <w:top w:val="nil"/>
              <w:left w:val="single" w:sz="4" w:space="0" w:color="0070C0"/>
              <w:bottom w:val="nil"/>
              <w:right w:val="single" w:sz="4" w:space="0" w:color="0070C0"/>
            </w:tcBorders>
            <w:noWrap/>
            <w:tcMar>
              <w:top w:w="0" w:type="dxa"/>
              <w:bottom w:w="0" w:type="dxa"/>
            </w:tcMar>
            <w:vAlign w:val="center"/>
          </w:tcPr>
          <w:p w14:paraId="528D96E1" w14:textId="77777777" w:rsidR="006F5BAA" w:rsidRPr="006F5BAA" w:rsidRDefault="006F5BAA" w:rsidP="006F5BAA">
            <w:pPr>
              <w:pStyle w:val="TableCellText"/>
              <w:numPr>
                <w:ilvl w:val="0"/>
                <w:numId w:val="25"/>
              </w:numPr>
              <w:ind w:left="1096"/>
            </w:pPr>
            <w:r w:rsidRPr="006F5BAA">
              <w:t>Natural gas (petroleum and renewable)</w:t>
            </w:r>
          </w:p>
        </w:tc>
      </w:tr>
      <w:tr w:rsidR="006F5BAA" w:rsidRPr="00CC451D" w14:paraId="6465419B" w14:textId="77777777" w:rsidTr="006F5BAA">
        <w:trPr>
          <w:trHeight w:val="24"/>
        </w:trPr>
        <w:tc>
          <w:tcPr>
            <w:tcW w:w="9328" w:type="dxa"/>
            <w:tcBorders>
              <w:top w:val="nil"/>
              <w:left w:val="single" w:sz="4" w:space="0" w:color="0070C0"/>
              <w:bottom w:val="nil"/>
              <w:right w:val="single" w:sz="4" w:space="0" w:color="0070C0"/>
            </w:tcBorders>
            <w:noWrap/>
            <w:tcMar>
              <w:top w:w="0" w:type="dxa"/>
              <w:bottom w:w="0" w:type="dxa"/>
            </w:tcMar>
            <w:vAlign w:val="center"/>
          </w:tcPr>
          <w:p w14:paraId="27543440" w14:textId="77777777" w:rsidR="006F5BAA" w:rsidRPr="006F5BAA" w:rsidRDefault="006F5BAA" w:rsidP="006F5BAA">
            <w:pPr>
              <w:pStyle w:val="TableCellText"/>
              <w:numPr>
                <w:ilvl w:val="0"/>
                <w:numId w:val="25"/>
              </w:numPr>
              <w:ind w:left="1096"/>
            </w:pPr>
            <w:r w:rsidRPr="006F5BAA">
              <w:t>Propane</w:t>
            </w:r>
          </w:p>
        </w:tc>
      </w:tr>
      <w:tr w:rsidR="006F5BAA" w:rsidRPr="00CC451D" w14:paraId="68DBCB5C" w14:textId="77777777" w:rsidTr="006F5BAA">
        <w:trPr>
          <w:trHeight w:val="24"/>
        </w:trPr>
        <w:tc>
          <w:tcPr>
            <w:tcW w:w="9328" w:type="dxa"/>
            <w:tcBorders>
              <w:top w:val="nil"/>
              <w:left w:val="single" w:sz="4" w:space="0" w:color="0070C0"/>
              <w:bottom w:val="nil"/>
              <w:right w:val="single" w:sz="4" w:space="0" w:color="0070C0"/>
            </w:tcBorders>
            <w:noWrap/>
            <w:tcMar>
              <w:top w:w="0" w:type="dxa"/>
              <w:bottom w:w="0" w:type="dxa"/>
            </w:tcMar>
            <w:vAlign w:val="center"/>
          </w:tcPr>
          <w:p w14:paraId="1B92C6A8" w14:textId="77777777" w:rsidR="006F5BAA" w:rsidRPr="006F5BAA" w:rsidRDefault="006F5BAA" w:rsidP="006F5BAA">
            <w:pPr>
              <w:pStyle w:val="TableCellText"/>
              <w:numPr>
                <w:ilvl w:val="0"/>
                <w:numId w:val="25"/>
              </w:numPr>
              <w:ind w:left="1096"/>
            </w:pPr>
            <w:r w:rsidRPr="006F5BAA">
              <w:t>Biodiesel and renewable diesel</w:t>
            </w:r>
          </w:p>
        </w:tc>
      </w:tr>
      <w:tr w:rsidR="006F5BAA" w:rsidRPr="00CC451D" w14:paraId="77504B89" w14:textId="77777777" w:rsidTr="006F5BAA">
        <w:trPr>
          <w:trHeight w:val="24"/>
        </w:trPr>
        <w:tc>
          <w:tcPr>
            <w:tcW w:w="9328" w:type="dxa"/>
            <w:tcBorders>
              <w:top w:val="nil"/>
              <w:left w:val="single" w:sz="4" w:space="0" w:color="0070C0"/>
              <w:bottom w:val="nil"/>
              <w:right w:val="single" w:sz="4" w:space="0" w:color="0070C0"/>
            </w:tcBorders>
            <w:noWrap/>
            <w:tcMar>
              <w:top w:w="0" w:type="dxa"/>
              <w:bottom w:w="0" w:type="dxa"/>
            </w:tcMar>
            <w:vAlign w:val="center"/>
          </w:tcPr>
          <w:p w14:paraId="53156854" w14:textId="77777777" w:rsidR="006F5BAA" w:rsidRPr="006F5BAA" w:rsidRDefault="006F5BAA" w:rsidP="006F5BAA">
            <w:pPr>
              <w:pStyle w:val="TableCellText"/>
              <w:numPr>
                <w:ilvl w:val="0"/>
                <w:numId w:val="25"/>
              </w:numPr>
              <w:ind w:left="1096"/>
            </w:pPr>
            <w:r w:rsidRPr="006F5BAA">
              <w:t>Electric</w:t>
            </w:r>
          </w:p>
        </w:tc>
      </w:tr>
      <w:tr w:rsidR="006F5BAA" w:rsidRPr="00CC451D" w14:paraId="56BADF7B" w14:textId="77777777" w:rsidTr="006F5BAA">
        <w:trPr>
          <w:trHeight w:val="24"/>
        </w:trPr>
        <w:tc>
          <w:tcPr>
            <w:tcW w:w="9328" w:type="dxa"/>
            <w:tcBorders>
              <w:top w:val="nil"/>
              <w:left w:val="single" w:sz="4" w:space="0" w:color="0070C0"/>
              <w:bottom w:val="nil"/>
              <w:right w:val="single" w:sz="4" w:space="0" w:color="0070C0"/>
            </w:tcBorders>
            <w:noWrap/>
            <w:tcMar>
              <w:top w:w="0" w:type="dxa"/>
              <w:bottom w:w="0" w:type="dxa"/>
            </w:tcMar>
            <w:vAlign w:val="center"/>
          </w:tcPr>
          <w:p w14:paraId="5E6EAB9F" w14:textId="77777777" w:rsidR="006F5BAA" w:rsidRPr="006F5BAA" w:rsidRDefault="006F5BAA" w:rsidP="006F5BAA">
            <w:pPr>
              <w:pStyle w:val="TableCellText"/>
              <w:numPr>
                <w:ilvl w:val="0"/>
                <w:numId w:val="23"/>
              </w:numPr>
            </w:pPr>
            <w:r w:rsidRPr="006F5BAA">
              <w:t>Purchase price per kilowatt hours for electricity</w:t>
            </w:r>
          </w:p>
        </w:tc>
      </w:tr>
      <w:tr w:rsidR="006F5BAA" w:rsidRPr="00CC451D" w14:paraId="0DC3203D" w14:textId="77777777" w:rsidTr="006F5BAA">
        <w:trPr>
          <w:trHeight w:val="24"/>
        </w:trPr>
        <w:tc>
          <w:tcPr>
            <w:tcW w:w="9328" w:type="dxa"/>
            <w:tcBorders>
              <w:top w:val="nil"/>
              <w:left w:val="single" w:sz="4" w:space="0" w:color="0070C0"/>
              <w:bottom w:val="single" w:sz="4" w:space="0" w:color="0070C0"/>
              <w:right w:val="single" w:sz="4" w:space="0" w:color="0070C0"/>
            </w:tcBorders>
            <w:noWrap/>
            <w:tcMar>
              <w:top w:w="0" w:type="dxa"/>
              <w:bottom w:w="0" w:type="dxa"/>
            </w:tcMar>
            <w:vAlign w:val="center"/>
          </w:tcPr>
          <w:p w14:paraId="5A1C6107" w14:textId="77777777" w:rsidR="006F5BAA" w:rsidRPr="006F5BAA" w:rsidRDefault="006F5BAA" w:rsidP="006F5BAA">
            <w:pPr>
              <w:pStyle w:val="TableCellText"/>
              <w:numPr>
                <w:ilvl w:val="0"/>
                <w:numId w:val="23"/>
              </w:numPr>
            </w:pPr>
            <w:r w:rsidRPr="006F5BAA">
              <w:t>Emissions generated by power plant to charge electric vehicle (g CO</w:t>
            </w:r>
            <w:r w:rsidRPr="006F5BAA">
              <w:rPr>
                <w:vertAlign w:val="subscript"/>
              </w:rPr>
              <w:t>2</w:t>
            </w:r>
            <w:r w:rsidRPr="006F5BAA">
              <w:t xml:space="preserve"> / kWh)</w:t>
            </w:r>
          </w:p>
        </w:tc>
      </w:tr>
      <w:tr w:rsidR="006F5BAA" w:rsidRPr="00CC451D" w14:paraId="6DBB4F69" w14:textId="77777777" w:rsidTr="006F5BAA">
        <w:trPr>
          <w:trHeight w:val="24"/>
        </w:trPr>
        <w:tc>
          <w:tcPr>
            <w:tcW w:w="9328" w:type="dxa"/>
            <w:tcBorders>
              <w:top w:val="single" w:sz="4" w:space="0" w:color="0070C0"/>
              <w:left w:val="single" w:sz="4" w:space="0" w:color="0070C0"/>
              <w:bottom w:val="nil"/>
              <w:right w:val="single" w:sz="4" w:space="0" w:color="0070C0"/>
            </w:tcBorders>
            <w:noWrap/>
            <w:tcMar>
              <w:top w:w="0" w:type="dxa"/>
              <w:bottom w:w="0" w:type="dxa"/>
            </w:tcMar>
            <w:vAlign w:val="center"/>
          </w:tcPr>
          <w:p w14:paraId="11B87DB5" w14:textId="38AE8896" w:rsidR="006F5BAA" w:rsidRPr="006F5BAA" w:rsidRDefault="006F5BAA" w:rsidP="00C43D0C">
            <w:pPr>
              <w:pStyle w:val="TableCellText"/>
              <w:rPr>
                <w:b/>
              </w:rPr>
            </w:pPr>
            <w:r w:rsidRPr="006F5BAA">
              <w:rPr>
                <w:b/>
              </w:rPr>
              <w:t xml:space="preserve">Modification Factors </w:t>
            </w:r>
            <w:r w:rsidRPr="006F5BAA">
              <w:t xml:space="preserve">(By Modification Type, Truck Type, and Baseline Fuel Type; see also </w:t>
            </w:r>
            <w:r w:rsidR="00C43D0C">
              <w:t>Sections 5.2</w:t>
            </w:r>
            <w:r w:rsidR="00C86FBF">
              <w:t xml:space="preserve"> and 5.3</w:t>
            </w:r>
            <w:r w:rsidRPr="006F5BAA">
              <w:t>)</w:t>
            </w:r>
            <w:r w:rsidRPr="006F5BAA">
              <w:rPr>
                <w:b/>
              </w:rPr>
              <w:t>:</w:t>
            </w:r>
          </w:p>
        </w:tc>
      </w:tr>
      <w:tr w:rsidR="006F5BAA" w:rsidRPr="00CC451D" w14:paraId="16BD4A5C" w14:textId="77777777" w:rsidTr="006F5BAA">
        <w:trPr>
          <w:trHeight w:val="24"/>
        </w:trPr>
        <w:tc>
          <w:tcPr>
            <w:tcW w:w="9328" w:type="dxa"/>
            <w:tcBorders>
              <w:top w:val="nil"/>
              <w:left w:val="single" w:sz="4" w:space="0" w:color="0070C0"/>
              <w:bottom w:val="nil"/>
              <w:right w:val="single" w:sz="4" w:space="0" w:color="0070C0"/>
            </w:tcBorders>
            <w:noWrap/>
            <w:tcMar>
              <w:top w:w="0" w:type="dxa"/>
              <w:left w:w="58" w:type="dxa"/>
              <w:bottom w:w="0" w:type="dxa"/>
              <w:right w:w="58" w:type="dxa"/>
            </w:tcMar>
            <w:vAlign w:val="center"/>
          </w:tcPr>
          <w:p w14:paraId="45E253FF" w14:textId="77777777" w:rsidR="006F5BAA" w:rsidRPr="006F5BAA" w:rsidRDefault="006F5BAA" w:rsidP="006F5BAA">
            <w:pPr>
              <w:pStyle w:val="TableCellText"/>
              <w:numPr>
                <w:ilvl w:val="0"/>
                <w:numId w:val="21"/>
              </w:numPr>
            </w:pPr>
            <w:r w:rsidRPr="006F5BAA">
              <w:t>Changes in running emissions (NO</w:t>
            </w:r>
            <w:r w:rsidRPr="006F5BAA">
              <w:rPr>
                <w:vertAlign w:val="subscript"/>
              </w:rPr>
              <w:t>x</w:t>
            </w:r>
            <w:r w:rsidRPr="006F5BAA">
              <w:t>, PM</w:t>
            </w:r>
            <w:r w:rsidRPr="006F5BAA">
              <w:rPr>
                <w:vertAlign w:val="subscript"/>
              </w:rPr>
              <w:t>2.5</w:t>
            </w:r>
            <w:r w:rsidRPr="006F5BAA">
              <w:t>, CO</w:t>
            </w:r>
            <w:r w:rsidRPr="006F5BAA">
              <w:rPr>
                <w:vertAlign w:val="subscript"/>
              </w:rPr>
              <w:t>2</w:t>
            </w:r>
            <w:r w:rsidRPr="006F5BAA">
              <w:t>)</w:t>
            </w:r>
          </w:p>
        </w:tc>
      </w:tr>
      <w:tr w:rsidR="006F5BAA" w:rsidRPr="00CC451D" w14:paraId="35B06A1C" w14:textId="77777777" w:rsidTr="006F5BAA">
        <w:trPr>
          <w:trHeight w:val="24"/>
        </w:trPr>
        <w:tc>
          <w:tcPr>
            <w:tcW w:w="9328" w:type="dxa"/>
            <w:tcBorders>
              <w:top w:val="nil"/>
              <w:left w:val="single" w:sz="4" w:space="0" w:color="0070C0"/>
              <w:bottom w:val="nil"/>
              <w:right w:val="single" w:sz="4" w:space="0" w:color="0070C0"/>
            </w:tcBorders>
            <w:noWrap/>
            <w:tcMar>
              <w:top w:w="0" w:type="dxa"/>
              <w:left w:w="58" w:type="dxa"/>
              <w:bottom w:w="0" w:type="dxa"/>
              <w:right w:w="58" w:type="dxa"/>
            </w:tcMar>
            <w:vAlign w:val="center"/>
          </w:tcPr>
          <w:p w14:paraId="76DA7466" w14:textId="77777777" w:rsidR="006F5BAA" w:rsidRPr="006F5BAA" w:rsidRDefault="006F5BAA" w:rsidP="006F5BAA">
            <w:pPr>
              <w:pStyle w:val="TableCellText"/>
              <w:numPr>
                <w:ilvl w:val="0"/>
                <w:numId w:val="21"/>
              </w:numPr>
            </w:pPr>
            <w:r w:rsidRPr="006F5BAA">
              <w:t>Changes in emissions from brake wear and tire wear (PM</w:t>
            </w:r>
            <w:r w:rsidRPr="006F5BAA">
              <w:rPr>
                <w:vertAlign w:val="subscript"/>
              </w:rPr>
              <w:t>2.5</w:t>
            </w:r>
            <w:r w:rsidRPr="006F5BAA">
              <w:t>)</w:t>
            </w:r>
          </w:p>
        </w:tc>
      </w:tr>
      <w:tr w:rsidR="006F5BAA" w:rsidRPr="00CC451D" w14:paraId="74B79027" w14:textId="77777777" w:rsidTr="006F5BAA">
        <w:trPr>
          <w:trHeight w:val="24"/>
        </w:trPr>
        <w:tc>
          <w:tcPr>
            <w:tcW w:w="9328" w:type="dxa"/>
            <w:tcBorders>
              <w:top w:val="nil"/>
              <w:left w:val="single" w:sz="4" w:space="0" w:color="0070C0"/>
              <w:bottom w:val="nil"/>
              <w:right w:val="single" w:sz="4" w:space="0" w:color="0070C0"/>
            </w:tcBorders>
            <w:noWrap/>
            <w:tcMar>
              <w:top w:w="0" w:type="dxa"/>
              <w:left w:w="58" w:type="dxa"/>
              <w:bottom w:w="0" w:type="dxa"/>
              <w:right w:w="58" w:type="dxa"/>
            </w:tcMar>
            <w:vAlign w:val="center"/>
          </w:tcPr>
          <w:p w14:paraId="4BE39428" w14:textId="77777777" w:rsidR="006F5BAA" w:rsidRPr="006F5BAA" w:rsidRDefault="006F5BAA" w:rsidP="006F5BAA">
            <w:pPr>
              <w:pStyle w:val="TableCellText"/>
              <w:numPr>
                <w:ilvl w:val="0"/>
                <w:numId w:val="21"/>
              </w:numPr>
            </w:pPr>
            <w:r w:rsidRPr="006F5BAA">
              <w:t>Changes in fuel economy</w:t>
            </w:r>
          </w:p>
        </w:tc>
      </w:tr>
      <w:tr w:rsidR="006F5BAA" w:rsidRPr="00CC451D" w14:paraId="577C0A5C" w14:textId="77777777" w:rsidTr="006F5BAA">
        <w:trPr>
          <w:trHeight w:val="24"/>
        </w:trPr>
        <w:tc>
          <w:tcPr>
            <w:tcW w:w="9328" w:type="dxa"/>
            <w:tcBorders>
              <w:top w:val="nil"/>
              <w:left w:val="single" w:sz="4" w:space="0" w:color="0070C0"/>
              <w:bottom w:val="nil"/>
              <w:right w:val="single" w:sz="4" w:space="0" w:color="0070C0"/>
            </w:tcBorders>
            <w:noWrap/>
            <w:tcMar>
              <w:top w:w="0" w:type="dxa"/>
              <w:left w:w="58" w:type="dxa"/>
              <w:bottom w:w="0" w:type="dxa"/>
              <w:right w:w="58" w:type="dxa"/>
            </w:tcMar>
            <w:vAlign w:val="center"/>
          </w:tcPr>
          <w:p w14:paraId="41222F44" w14:textId="77777777" w:rsidR="006F5BAA" w:rsidRPr="006F5BAA" w:rsidRDefault="006F5BAA" w:rsidP="006F5BAA">
            <w:pPr>
              <w:pStyle w:val="TableCellText"/>
              <w:numPr>
                <w:ilvl w:val="0"/>
                <w:numId w:val="21"/>
              </w:numPr>
            </w:pPr>
            <w:r w:rsidRPr="006F5BAA">
              <w:t>Cost of modification</w:t>
            </w:r>
          </w:p>
        </w:tc>
      </w:tr>
      <w:tr w:rsidR="006F5BAA" w:rsidRPr="00CC451D" w14:paraId="23627A01" w14:textId="77777777" w:rsidTr="006F5BAA">
        <w:trPr>
          <w:trHeight w:val="24"/>
        </w:trPr>
        <w:tc>
          <w:tcPr>
            <w:tcW w:w="9328" w:type="dxa"/>
            <w:tcBorders>
              <w:top w:val="nil"/>
              <w:left w:val="single" w:sz="4" w:space="0" w:color="0070C0"/>
              <w:bottom w:val="single" w:sz="4" w:space="0" w:color="0070C0"/>
              <w:right w:val="single" w:sz="4" w:space="0" w:color="0070C0"/>
            </w:tcBorders>
            <w:noWrap/>
            <w:tcMar>
              <w:top w:w="0" w:type="dxa"/>
              <w:left w:w="58" w:type="dxa"/>
              <w:bottom w:w="0" w:type="dxa"/>
              <w:right w:w="58" w:type="dxa"/>
            </w:tcMar>
            <w:vAlign w:val="center"/>
          </w:tcPr>
          <w:p w14:paraId="4CA65046" w14:textId="77777777" w:rsidR="006F5BAA" w:rsidRPr="006F5BAA" w:rsidRDefault="006F5BAA" w:rsidP="006F5BAA">
            <w:pPr>
              <w:pStyle w:val="TableCellText"/>
              <w:numPr>
                <w:ilvl w:val="0"/>
                <w:numId w:val="21"/>
              </w:numPr>
            </w:pPr>
            <w:r w:rsidRPr="006F5BAA">
              <w:t>Changes in costs of operation and maintenance</w:t>
            </w:r>
          </w:p>
        </w:tc>
      </w:tr>
    </w:tbl>
    <w:p w14:paraId="13EF3369" w14:textId="77777777" w:rsidR="008369D5" w:rsidRDefault="008369D5" w:rsidP="000445D4">
      <w:pPr>
        <w:pStyle w:val="BodyText"/>
      </w:pPr>
    </w:p>
    <w:p w14:paraId="5A93FBB7" w14:textId="77777777" w:rsidR="002D3BE2" w:rsidRDefault="002D3BE2" w:rsidP="000445D4">
      <w:pPr>
        <w:pStyle w:val="BodyText"/>
        <w:sectPr w:rsidR="002D3BE2" w:rsidSect="003119C3">
          <w:pgSz w:w="12240" w:h="15840"/>
          <w:pgMar w:top="1440" w:right="1440" w:bottom="1440" w:left="1440" w:header="576" w:footer="576" w:gutter="0"/>
          <w:pgNumType w:chapStyle="6"/>
          <w:cols w:space="720"/>
          <w:titlePg/>
          <w:docGrid w:linePitch="360"/>
        </w:sectPr>
      </w:pPr>
    </w:p>
    <w:p w14:paraId="7A2C7AA3" w14:textId="77777777" w:rsidR="00FB0227" w:rsidRPr="000445D4" w:rsidRDefault="009C29A8" w:rsidP="000445D4">
      <w:pPr>
        <w:pStyle w:val="Heading1"/>
      </w:pPr>
      <w:bookmarkStart w:id="45" w:name="_Ref460313906"/>
      <w:bookmarkStart w:id="46" w:name="_Toc482973554"/>
      <w:r>
        <w:lastRenderedPageBreak/>
        <w:t>Implementation of the Analysis Options</w:t>
      </w:r>
      <w:bookmarkEnd w:id="45"/>
      <w:bookmarkEnd w:id="46"/>
    </w:p>
    <w:p w14:paraId="1769B348" w14:textId="77777777" w:rsidR="009C29A8" w:rsidRDefault="009C29A8" w:rsidP="009C29A8">
      <w:pPr>
        <w:pStyle w:val="Heading2"/>
      </w:pPr>
      <w:bookmarkStart w:id="47" w:name="_Toc482973555"/>
      <w:r>
        <w:t>Tool Structure</w:t>
      </w:r>
      <w:bookmarkEnd w:id="47"/>
    </w:p>
    <w:p w14:paraId="4D0F9291" w14:textId="7AF1D64D" w:rsidR="009C29A8" w:rsidRDefault="009C29A8" w:rsidP="009C29A8">
      <w:pPr>
        <w:pStyle w:val="BodyText"/>
      </w:pPr>
      <w:r>
        <w:t xml:space="preserve">The Clean Truck Strategies Tool was developed in Microsoft® Excel™ with Visual Basic® for Applications (VBA). The user can open the Tool like they would any other Microsoft Office™ file, if the user has Microsoft Office. The Tool is designed to open full screen and with a customized look—without most of the framework of the Excel application, except for scroll bars. The user should not see an application toolbar/ribbon along the top (where </w:t>
      </w:r>
      <w:r w:rsidRPr="00D517E7">
        <w:rPr>
          <w:i/>
        </w:rPr>
        <w:t>File</w:t>
      </w:r>
      <w:r>
        <w:t xml:space="preserve">, </w:t>
      </w:r>
      <w:r w:rsidRPr="00D517E7">
        <w:rPr>
          <w:i/>
        </w:rPr>
        <w:t>Insert</w:t>
      </w:r>
      <w:r>
        <w:t>, etc. menus are), the Excel formula bar, the spreadsheet column and row numbering, or spreadsheet tabs along the bottom. The Tool is designed to open this way because the user interacts with the Tool using customized buttons that are inside the spreadsheet instead of along the framework of the software application, and because the user is not permitted to modify formulas or spreadsheets in general. The Tool was designed to be “locked down” to control the user’s experience and to protect the Tool’s contents from inadvertent or intentional changes by the user; this includes an inability to save the Tool, but outputs may be saved by first using the export feature and the subsequently saving the exported file of outputs.</w:t>
      </w:r>
    </w:p>
    <w:p w14:paraId="6976B477" w14:textId="77777777" w:rsidR="009C29A8" w:rsidRDefault="009C29A8" w:rsidP="009C29A8">
      <w:pPr>
        <w:pStyle w:val="BodyText"/>
      </w:pPr>
      <w:r>
        <w:t>The Tool was designed using a combination of the features listed below.</w:t>
      </w:r>
    </w:p>
    <w:p w14:paraId="09F639BC" w14:textId="77777777" w:rsidR="009C29A8" w:rsidRPr="00DE5B57" w:rsidRDefault="009C29A8" w:rsidP="009C29A8">
      <w:pPr>
        <w:pStyle w:val="Bullet10"/>
      </w:pPr>
      <w:r w:rsidRPr="00DE5B57">
        <w:t>Static spreadsheet contents (e.g., various descriptive text)</w:t>
      </w:r>
    </w:p>
    <w:p w14:paraId="4611A87B" w14:textId="77777777" w:rsidR="009C29A8" w:rsidRPr="00DE5B57" w:rsidRDefault="009C29A8" w:rsidP="009C29A8">
      <w:pPr>
        <w:pStyle w:val="Bullet10"/>
      </w:pPr>
      <w:r w:rsidRPr="00DE5B57">
        <w:t>Navigation buttons (e.g., to advance to the next sheet, return to the previous sheet, clear the contents of the sheet)</w:t>
      </w:r>
    </w:p>
    <w:p w14:paraId="2E793F97" w14:textId="77777777" w:rsidR="009C29A8" w:rsidRPr="00DE5B57" w:rsidRDefault="009C29A8" w:rsidP="009C29A8">
      <w:pPr>
        <w:pStyle w:val="Bullet10"/>
      </w:pPr>
      <w:r w:rsidRPr="00DE5B57">
        <w:t>Data-entry cells (where the user can type in information or use a pull-down to select data; some also auto-populate with default values, which the user can override)</w:t>
      </w:r>
    </w:p>
    <w:p w14:paraId="7C895393" w14:textId="77777777" w:rsidR="009C29A8" w:rsidRPr="00DE5B57" w:rsidRDefault="009C29A8" w:rsidP="009C29A8">
      <w:pPr>
        <w:pStyle w:val="Bullet10"/>
      </w:pPr>
      <w:r w:rsidRPr="00DE5B57">
        <w:t>Selection buttons (which the user can click to select an option; some allow multiple options to be selected)</w:t>
      </w:r>
    </w:p>
    <w:p w14:paraId="3B5838CC" w14:textId="77777777" w:rsidR="009C29A8" w:rsidRPr="00DE5B57" w:rsidRDefault="009C29A8" w:rsidP="009C29A8">
      <w:pPr>
        <w:pStyle w:val="Bullet10"/>
      </w:pPr>
      <w:r w:rsidRPr="00DE5B57">
        <w:t>Calculation formulas (to implement various calculations of emissions, costs, etc.)</w:t>
      </w:r>
    </w:p>
    <w:p w14:paraId="4287B078" w14:textId="77777777" w:rsidR="009C29A8" w:rsidRPr="00DE5B57" w:rsidRDefault="009C29A8" w:rsidP="009C29A8">
      <w:pPr>
        <w:pStyle w:val="Bullet10"/>
      </w:pPr>
      <w:r w:rsidRPr="00DE5B57">
        <w:t>Data-validation procedures (to provide some real-time quality control of user-entered data)</w:t>
      </w:r>
    </w:p>
    <w:p w14:paraId="6A89B492" w14:textId="2AB74DB9" w:rsidR="009C29A8" w:rsidRDefault="009C29A8" w:rsidP="009C29A8">
      <w:pPr>
        <w:pStyle w:val="Bullet1Last"/>
      </w:pPr>
      <w:r>
        <w:t>Programming code in VBA</w:t>
      </w:r>
    </w:p>
    <w:p w14:paraId="3FE14218" w14:textId="4AF5ECFC" w:rsidR="009C29A8" w:rsidRDefault="00D65CDF" w:rsidP="009C29A8">
      <w:pPr>
        <w:pStyle w:val="BodyText"/>
      </w:pPr>
      <w:r>
        <w:t xml:space="preserve">Navigating the Tool using the </w:t>
      </w:r>
      <w:r w:rsidR="009C29A8">
        <w:t>various navigation buttons and selection buttons</w:t>
      </w:r>
      <w:r>
        <w:t xml:space="preserve"> is accomplished using VBA programming</w:t>
      </w:r>
      <w:r w:rsidR="009C29A8">
        <w:t xml:space="preserve">. In most cases, clicking a button runs a VBA subroutine that completes the intended action (e.g., navigates to the proper spreadsheet, enables or disables other options based on the button that was clicked, etc.). </w:t>
      </w:r>
    </w:p>
    <w:p w14:paraId="3FB172A1" w14:textId="71D1011C" w:rsidR="009C29A8" w:rsidRDefault="009C29A8" w:rsidP="009C29A8">
      <w:pPr>
        <w:pStyle w:val="BodyText"/>
      </w:pPr>
      <w:r>
        <w:t xml:space="preserve">The user will notice some cases where they click a button to make one selection about the scope of their analysis, and that immediately causes other potential options on the screen to become enabled (i.e., descriptive text becomes black, selection button becomes visible) or disabled (i.e., descriptive text becomes gray, selection button becomes invisible). One example is selecting geographic scale for the Truck Deployment Analysis: selecting state, metropolitan, or county/municipal will enable all available </w:t>
      </w:r>
      <w:r>
        <w:lastRenderedPageBreak/>
        <w:t>truck types, but selecting distribution center will disable single</w:t>
      </w:r>
      <w:r w:rsidR="007B1EA8">
        <w:t xml:space="preserve"> unit</w:t>
      </w:r>
      <w:r>
        <w:t xml:space="preserve"> trucks (leaving combination</w:t>
      </w:r>
      <w:r w:rsidR="007B1EA8">
        <w:t xml:space="preserve"> unit</w:t>
      </w:r>
      <w:r>
        <w:t xml:space="preserve"> trucks as the only enabled option), and selecting port will disable all trucks except for combination</w:t>
      </w:r>
      <w:r w:rsidR="007B1EA8">
        <w:t xml:space="preserve"> unit</w:t>
      </w:r>
      <w:r>
        <w:t xml:space="preserve"> short hauls. </w:t>
      </w:r>
    </w:p>
    <w:p w14:paraId="15875126" w14:textId="77777777" w:rsidR="009C29A8" w:rsidRDefault="009C29A8" w:rsidP="009C29A8">
      <w:pPr>
        <w:pStyle w:val="BodyText"/>
      </w:pPr>
      <w:r>
        <w:t>In some cases, clicking a selection button on one sheet will dictate the next sheet the user sees, and/or will enable/disable options on one or more future sheets. One example is in the Truck Deployment Analysis: in one sheet the user selects analysis year, geographic scale, truck type(s), and modification type; the choice of modification type impacts the next sheet that is shown (the next sheet is specific to the modification type), and the specific modifications available on that next sheet are enabled/disabled based on the user’s choices for geographic scale and truck type(s); the choice of truck type(s) also modifies the next sheet so that the user can only enter additional information for the selected type(s), and it modifies yet another sheet to enable/disable fuel types.</w:t>
      </w:r>
    </w:p>
    <w:p w14:paraId="0340DD4D" w14:textId="51F1B4AF" w:rsidR="009C29A8" w:rsidRDefault="009C29A8" w:rsidP="009C29A8">
      <w:pPr>
        <w:pStyle w:val="BodyText"/>
      </w:pPr>
      <w:r>
        <w:t>The VBA programming code conducts some quality</w:t>
      </w:r>
      <w:r w:rsidR="00DF58B9">
        <w:t xml:space="preserve"> </w:t>
      </w:r>
      <w:r>
        <w:t xml:space="preserve">control measures, which occurs on some sheets when the user clicks the button to advance to the next sheet or step. A pop-up window might appear when clicking the </w:t>
      </w:r>
      <w:r w:rsidRPr="00D517E7">
        <w:rPr>
          <w:i/>
        </w:rPr>
        <w:t>Next</w:t>
      </w:r>
      <w:r>
        <w:t xml:space="preserve"> or </w:t>
      </w:r>
      <w:r w:rsidRPr="00D517E7">
        <w:rPr>
          <w:i/>
        </w:rPr>
        <w:t>Calculate</w:t>
      </w:r>
      <w:r>
        <w:t xml:space="preserve"> button, and it will indicate that there was a problem with one or more user selections on the sheet. Otherwise, some user-entered data are checked in real-time by Excel data-validation procedures (outside of VBA)—in these cases, a pop-up window will provide immediate feedback if the entered value is out of bounds or otherwise unexpected. </w:t>
      </w:r>
    </w:p>
    <w:p w14:paraId="6A7672D1" w14:textId="77777777" w:rsidR="009C29A8" w:rsidRDefault="009C29A8" w:rsidP="009C29A8">
      <w:pPr>
        <w:pStyle w:val="BodyText"/>
      </w:pPr>
      <w:r>
        <w:t>Finally, the VBA programming code facilitates other “behind-the-scenes” steps like recording the selections the user makes and exporting the Tool’s outputs to a new Excel file.</w:t>
      </w:r>
    </w:p>
    <w:p w14:paraId="64BD1EFD" w14:textId="465ACF23" w:rsidR="00644913" w:rsidRDefault="00644913">
      <w:pPr>
        <w:spacing w:after="200" w:line="276" w:lineRule="auto"/>
        <w:rPr>
          <w:rFonts w:cs="Arial"/>
        </w:rPr>
      </w:pPr>
      <w:r>
        <w:br w:type="page"/>
      </w:r>
    </w:p>
    <w:p w14:paraId="5D1F9D55" w14:textId="77777777" w:rsidR="009C29A8" w:rsidRDefault="009C29A8" w:rsidP="009C29A8">
      <w:pPr>
        <w:pStyle w:val="Heading2"/>
      </w:pPr>
      <w:bookmarkStart w:id="48" w:name="_Toc482973556"/>
      <w:r>
        <w:lastRenderedPageBreak/>
        <w:t>Tool Buttons</w:t>
      </w:r>
      <w:bookmarkEnd w:id="48"/>
    </w:p>
    <w:p w14:paraId="20E3BBD1" w14:textId="77777777" w:rsidR="009C29A8" w:rsidRDefault="009C29A8" w:rsidP="009C29A8">
      <w:pPr>
        <w:pStyle w:val="BodyText"/>
      </w:pPr>
      <w:r>
        <w:t xml:space="preserve">The Tool has several buttons, as described in </w:t>
      </w:r>
      <w:r w:rsidR="00833B69">
        <w:fldChar w:fldCharType="begin"/>
      </w:r>
      <w:r>
        <w:instrText xml:space="preserve"> REF _Ref460315456 \h </w:instrText>
      </w:r>
      <w:r w:rsidR="00833B69">
        <w:fldChar w:fldCharType="separate"/>
      </w:r>
      <w:r w:rsidR="00C42F38">
        <w:t xml:space="preserve">Table </w:t>
      </w:r>
      <w:r w:rsidR="00C42F38">
        <w:rPr>
          <w:noProof/>
        </w:rPr>
        <w:t>12</w:t>
      </w:r>
      <w:r w:rsidR="00833B69">
        <w:fldChar w:fldCharType="end"/>
      </w:r>
      <w:r>
        <w:t>.</w:t>
      </w:r>
    </w:p>
    <w:p w14:paraId="5BA91704" w14:textId="77777777" w:rsidR="009C29A8" w:rsidRPr="00640597" w:rsidRDefault="009C29A8" w:rsidP="009C29A8">
      <w:pPr>
        <w:pStyle w:val="TableCaption"/>
      </w:pPr>
      <w:bookmarkStart w:id="49" w:name="_Ref460315456"/>
      <w:bookmarkStart w:id="50" w:name="_Toc482973592"/>
      <w:r>
        <w:t xml:space="preserve">Table </w:t>
      </w:r>
      <w:r w:rsidR="00833B69">
        <w:fldChar w:fldCharType="begin"/>
      </w:r>
      <w:r>
        <w:instrText xml:space="preserve"> SEQ Table \* ARABIC </w:instrText>
      </w:r>
      <w:r w:rsidR="00833B69">
        <w:fldChar w:fldCharType="separate"/>
      </w:r>
      <w:r w:rsidR="00305706">
        <w:t>12</w:t>
      </w:r>
      <w:r w:rsidR="00833B69">
        <w:fldChar w:fldCharType="end"/>
      </w:r>
      <w:bookmarkEnd w:id="49"/>
      <w:r>
        <w:t>. Descriptions of Tool Symbols</w:t>
      </w:r>
      <w:bookmarkEnd w:id="50"/>
    </w:p>
    <w:tbl>
      <w:tblPr>
        <w:tblStyle w:val="TableGrid"/>
        <w:tblW w:w="0" w:type="auto"/>
        <w:tblBorders>
          <w:top w:val="single" w:sz="4" w:space="0" w:color="A9A999"/>
          <w:left w:val="single" w:sz="4" w:space="0" w:color="A9A999"/>
          <w:bottom w:val="single" w:sz="4" w:space="0" w:color="A9A999"/>
          <w:right w:val="single" w:sz="4" w:space="0" w:color="A9A999"/>
          <w:insideH w:val="single" w:sz="4" w:space="0" w:color="A9A999"/>
          <w:insideV w:val="single" w:sz="4" w:space="0" w:color="A9A999"/>
        </w:tblBorders>
        <w:tblLook w:val="04A0" w:firstRow="1" w:lastRow="0" w:firstColumn="1" w:lastColumn="0" w:noHBand="0" w:noVBand="1"/>
      </w:tblPr>
      <w:tblGrid>
        <w:gridCol w:w="4664"/>
        <w:gridCol w:w="4686"/>
      </w:tblGrid>
      <w:tr w:rsidR="009C29A8" w:rsidRPr="00F44FE4" w14:paraId="5808374A" w14:textId="77777777" w:rsidTr="00B21E8E">
        <w:trPr>
          <w:tblHeader/>
        </w:trPr>
        <w:tc>
          <w:tcPr>
            <w:tcW w:w="3546" w:type="dxa"/>
            <w:tcBorders>
              <w:right w:val="single" w:sz="4" w:space="0" w:color="FFFFFF" w:themeColor="background1"/>
            </w:tcBorders>
            <w:shd w:val="clear" w:color="auto" w:fill="0067AB"/>
          </w:tcPr>
          <w:p w14:paraId="00E4E958" w14:textId="77777777" w:rsidR="009C29A8" w:rsidRPr="007B385E" w:rsidRDefault="009C29A8" w:rsidP="009C29A8">
            <w:pPr>
              <w:pStyle w:val="TableColumnHeading"/>
              <w:rPr>
                <w:b/>
                <w:noProof/>
              </w:rPr>
            </w:pPr>
            <w:r w:rsidRPr="007B385E">
              <w:rPr>
                <w:b/>
                <w:noProof/>
              </w:rPr>
              <w:t>Symbol</w:t>
            </w:r>
          </w:p>
        </w:tc>
        <w:tc>
          <w:tcPr>
            <w:tcW w:w="5804" w:type="dxa"/>
            <w:tcBorders>
              <w:left w:val="single" w:sz="4" w:space="0" w:color="FFFFFF" w:themeColor="background1"/>
            </w:tcBorders>
            <w:shd w:val="clear" w:color="auto" w:fill="0067AB"/>
            <w:vAlign w:val="center"/>
          </w:tcPr>
          <w:p w14:paraId="68D8963B" w14:textId="77777777" w:rsidR="009C29A8" w:rsidRPr="007B385E" w:rsidRDefault="009C29A8" w:rsidP="009C29A8">
            <w:pPr>
              <w:pStyle w:val="TableColumnHeading"/>
              <w:rPr>
                <w:b/>
              </w:rPr>
            </w:pPr>
            <w:r w:rsidRPr="007B385E">
              <w:rPr>
                <w:b/>
              </w:rPr>
              <w:t>Description</w:t>
            </w:r>
          </w:p>
        </w:tc>
      </w:tr>
      <w:tr w:rsidR="009C29A8" w14:paraId="7AF1A6EE" w14:textId="77777777" w:rsidTr="00B21E8E">
        <w:tc>
          <w:tcPr>
            <w:tcW w:w="3546" w:type="dxa"/>
          </w:tcPr>
          <w:p w14:paraId="4E3DFFBA" w14:textId="43917293" w:rsidR="009C29A8" w:rsidRDefault="0066374B" w:rsidP="009C29A8">
            <w:pPr>
              <w:pStyle w:val="BodyText"/>
              <w:spacing w:after="0" w:line="240" w:lineRule="auto"/>
            </w:pPr>
            <w:r>
              <w:rPr>
                <w:noProof/>
              </w:rPr>
              <w:drawing>
                <wp:inline distT="0" distB="0" distL="0" distR="0" wp14:anchorId="3DE55342" wp14:editId="4E5ADB1F">
                  <wp:extent cx="497434" cy="56048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3679" cy="567525"/>
                          </a:xfrm>
                          <a:prstGeom prst="rect">
                            <a:avLst/>
                          </a:prstGeom>
                        </pic:spPr>
                      </pic:pic>
                    </a:graphicData>
                  </a:graphic>
                </wp:inline>
              </w:drawing>
            </w:r>
          </w:p>
        </w:tc>
        <w:tc>
          <w:tcPr>
            <w:tcW w:w="5804" w:type="dxa"/>
            <w:vAlign w:val="center"/>
          </w:tcPr>
          <w:p w14:paraId="3B886759" w14:textId="5D5B0D4C" w:rsidR="009C29A8" w:rsidRDefault="009C29A8" w:rsidP="00DF58B9">
            <w:pPr>
              <w:pStyle w:val="BodyText"/>
            </w:pPr>
            <w:r>
              <w:t xml:space="preserve">Reset Tool: </w:t>
            </w:r>
            <w:r w:rsidR="0066374B">
              <w:t>Reset</w:t>
            </w:r>
            <w:r>
              <w:t xml:space="preserve"> all selections in the Tool</w:t>
            </w:r>
            <w:r w:rsidR="0066374B">
              <w:t xml:space="preserve"> to defaults</w:t>
            </w:r>
            <w:r>
              <w:t xml:space="preserve">, return to the </w:t>
            </w:r>
            <w:r w:rsidRPr="00D517E7">
              <w:rPr>
                <w:i/>
              </w:rPr>
              <w:t>Select Analysis</w:t>
            </w:r>
            <w:r>
              <w:t xml:space="preserve"> home page</w:t>
            </w:r>
          </w:p>
        </w:tc>
      </w:tr>
      <w:tr w:rsidR="009C29A8" w14:paraId="7933B329" w14:textId="77777777" w:rsidTr="00B21E8E">
        <w:tc>
          <w:tcPr>
            <w:tcW w:w="3546" w:type="dxa"/>
          </w:tcPr>
          <w:p w14:paraId="239E045B" w14:textId="2D653698" w:rsidR="009C29A8" w:rsidRDefault="00B4019D" w:rsidP="009C29A8">
            <w:pPr>
              <w:pStyle w:val="BodyText"/>
              <w:spacing w:after="0" w:line="240" w:lineRule="auto"/>
            </w:pPr>
            <w:r>
              <w:rPr>
                <w:rFonts w:cs="Times New Roman"/>
                <w:noProof/>
              </w:rPr>
              <mc:AlternateContent>
                <mc:Choice Requires="wps">
                  <w:drawing>
                    <wp:inline distT="0" distB="0" distL="0" distR="0" wp14:anchorId="58A1B9B6" wp14:editId="143E1981">
                      <wp:extent cx="914400" cy="640080"/>
                      <wp:effectExtent l="0" t="1270" r="0" b="25400"/>
                      <wp:docPr id="27" name="Right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40080"/>
                              </a:xfrm>
                              <a:prstGeom prst="rightArrow">
                                <a:avLst>
                                  <a:gd name="adj1" fmla="val 50000"/>
                                  <a:gd name="adj2" fmla="val 50000"/>
                                </a:avLst>
                              </a:prstGeom>
                              <a:solidFill>
                                <a:srgbClr val="677719"/>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5474CAA" w14:textId="77777777" w:rsidR="00D517E7" w:rsidRDefault="00D517E7" w:rsidP="009C29A8">
                                  <w:pPr>
                                    <w:pStyle w:val="NormalWeb"/>
                                    <w:spacing w:before="0" w:beforeAutospacing="0" w:after="0" w:afterAutospacing="0"/>
                                    <w:jc w:val="center"/>
                                  </w:pPr>
                                  <w:r>
                                    <w:rPr>
                                      <w:rFonts w:asciiTheme="minorHAnsi" w:hAnsi="Calibri" w:cstheme="minorBidi"/>
                                      <w:b/>
                                      <w:bCs/>
                                      <w:color w:val="FFFFFF" w:themeColor="background1"/>
                                      <w:sz w:val="32"/>
                                      <w:szCs w:val="32"/>
                                    </w:rPr>
                                    <w:t>Next</w:t>
                                  </w:r>
                                </w:p>
                              </w:txbxContent>
                            </wps:txbx>
                            <wps:bodyPr rot="0" vert="horz" wrap="square" lIns="91440" tIns="45720" rIns="91440" bIns="45720" anchor="ctr" anchorCtr="0" upright="1">
                              <a:noAutofit/>
                            </wps:bodyPr>
                          </wps:wsp>
                        </a:graphicData>
                      </a:graphic>
                    </wp:inline>
                  </w:drawing>
                </mc:Choice>
                <mc:Fallback>
                  <w:pict>
                    <v:shapetype w14:anchorId="58A1B9B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width:1in;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" adj="14040" fillcolor="#677719" stroked="f">
                      <v:shadow on="t" color="black" opacity="22936f" origin=",.5" offset="0,.63889mm"/>
                      <v:textbox>
                        <w:txbxContent>
                          <w:p w14:paraId="35474CAA" w14:textId="77777777" w:rsidR="00D517E7" w:rsidRDefault="00D517E7" w:rsidP="009C29A8">
                            <w:pPr>
                              <w:pStyle w:val="NormalWeb"/>
                              <w:spacing w:before="0" w:beforeAutospacing="0" w:after="0" w:afterAutospacing="0"/>
                              <w:jc w:val="center"/>
                            </w:pPr>
                            <w:r>
                              <w:rPr>
                                <w:rFonts w:asciiTheme="minorHAnsi" w:hAnsi="Calibri" w:cstheme="minorBidi"/>
                                <w:b/>
                                <w:bCs/>
                                <w:color w:val="FFFFFF" w:themeColor="background1"/>
                                <w:sz w:val="32"/>
                                <w:szCs w:val="32"/>
                              </w:rPr>
                              <w:t>Next</w:t>
                            </w:r>
                          </w:p>
                        </w:txbxContent>
                      </v:textbox>
                      <w10:anchorlock/>
                    </v:shape>
                  </w:pict>
                </mc:Fallback>
              </mc:AlternateContent>
            </w:r>
          </w:p>
        </w:tc>
        <w:tc>
          <w:tcPr>
            <w:tcW w:w="5804" w:type="dxa"/>
            <w:vAlign w:val="center"/>
          </w:tcPr>
          <w:p w14:paraId="0019CF55" w14:textId="77777777" w:rsidR="009C29A8" w:rsidRDefault="009C29A8" w:rsidP="009C29A8">
            <w:pPr>
              <w:pStyle w:val="BodyText"/>
            </w:pPr>
            <w:r>
              <w:t>Move to the next screen</w:t>
            </w:r>
          </w:p>
        </w:tc>
      </w:tr>
      <w:tr w:rsidR="009C29A8" w14:paraId="2DC3A77F" w14:textId="77777777" w:rsidTr="00B21E8E">
        <w:tc>
          <w:tcPr>
            <w:tcW w:w="3546" w:type="dxa"/>
          </w:tcPr>
          <w:p w14:paraId="4F6D3072" w14:textId="77777777" w:rsidR="009C29A8" w:rsidRDefault="009C29A8" w:rsidP="009C29A8">
            <w:pPr>
              <w:pStyle w:val="BodyText"/>
              <w:spacing w:after="0" w:line="240" w:lineRule="auto"/>
            </w:pPr>
            <w:r>
              <w:rPr>
                <w:noProof/>
              </w:rPr>
              <w:drawing>
                <wp:inline distT="0" distB="0" distL="0" distR="0" wp14:anchorId="749A0262" wp14:editId="535A647C">
                  <wp:extent cx="640080" cy="630381"/>
                  <wp:effectExtent l="0" t="0" r="0" b="0"/>
                  <wp:docPr id="74" name="Button_Select_All_Trucks_f04" descr="C:\Udrivesync\NCHRP\select all icon g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Button_Select_All_Trucks_f04" descr="C:\Udrivesync\NCHRP\select all icon gree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0080" cy="630381"/>
                          </a:xfrm>
                          <a:prstGeom prst="rect">
                            <a:avLst/>
                          </a:prstGeom>
                          <a:noFill/>
                          <a:extLst/>
                        </pic:spPr>
                      </pic:pic>
                    </a:graphicData>
                  </a:graphic>
                </wp:inline>
              </w:drawing>
            </w:r>
          </w:p>
        </w:tc>
        <w:tc>
          <w:tcPr>
            <w:tcW w:w="5804" w:type="dxa"/>
            <w:vAlign w:val="center"/>
          </w:tcPr>
          <w:p w14:paraId="2AE852F7" w14:textId="31183FC8" w:rsidR="009C29A8" w:rsidRDefault="009C29A8" w:rsidP="00DF58B9">
            <w:pPr>
              <w:pStyle w:val="BodyText"/>
            </w:pPr>
            <w:r>
              <w:t>Select All: Check all selections in the column below</w:t>
            </w:r>
          </w:p>
        </w:tc>
      </w:tr>
      <w:tr w:rsidR="009C29A8" w14:paraId="07F34141" w14:textId="77777777" w:rsidTr="00B21E8E">
        <w:tc>
          <w:tcPr>
            <w:tcW w:w="3546" w:type="dxa"/>
          </w:tcPr>
          <w:p w14:paraId="45FD7DD7" w14:textId="2F5FA753" w:rsidR="009C29A8" w:rsidRDefault="0066374B" w:rsidP="009C29A8">
            <w:pPr>
              <w:pStyle w:val="BodyText"/>
              <w:spacing w:after="0" w:line="240" w:lineRule="auto"/>
            </w:pPr>
            <w:r>
              <w:rPr>
                <w:noProof/>
              </w:rPr>
              <w:drawing>
                <wp:inline distT="0" distB="0" distL="0" distR="0" wp14:anchorId="03A2E8C8" wp14:editId="04B34456">
                  <wp:extent cx="585216" cy="616428"/>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9015" cy="620430"/>
                          </a:xfrm>
                          <a:prstGeom prst="rect">
                            <a:avLst/>
                          </a:prstGeom>
                        </pic:spPr>
                      </pic:pic>
                    </a:graphicData>
                  </a:graphic>
                </wp:inline>
              </w:drawing>
            </w:r>
          </w:p>
        </w:tc>
        <w:tc>
          <w:tcPr>
            <w:tcW w:w="5804" w:type="dxa"/>
            <w:vAlign w:val="center"/>
          </w:tcPr>
          <w:p w14:paraId="28D17E9E" w14:textId="77777777" w:rsidR="009C29A8" w:rsidRDefault="009C29A8" w:rsidP="009C29A8">
            <w:pPr>
              <w:pStyle w:val="BodyText"/>
              <w:spacing w:after="0" w:line="240" w:lineRule="auto"/>
            </w:pPr>
            <w:r>
              <w:t>Erase selections on the current screen</w:t>
            </w:r>
          </w:p>
        </w:tc>
      </w:tr>
      <w:tr w:rsidR="0066374B" w14:paraId="1FEFF24F" w14:textId="77777777" w:rsidTr="00B21E8E">
        <w:tc>
          <w:tcPr>
            <w:tcW w:w="3546" w:type="dxa"/>
          </w:tcPr>
          <w:p w14:paraId="2E9E9557" w14:textId="21D07473" w:rsidR="0066374B" w:rsidRDefault="0066374B" w:rsidP="009C29A8">
            <w:pPr>
              <w:pStyle w:val="BodyText"/>
              <w:spacing w:after="0" w:line="240" w:lineRule="auto"/>
              <w:rPr>
                <w:noProof/>
              </w:rPr>
            </w:pPr>
            <w:r>
              <w:rPr>
                <w:noProof/>
              </w:rPr>
              <w:drawing>
                <wp:inline distT="0" distB="0" distL="0" distR="0" wp14:anchorId="55102157" wp14:editId="66DBDDF8">
                  <wp:extent cx="647700" cy="5905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7700" cy="590550"/>
                          </a:xfrm>
                          <a:prstGeom prst="rect">
                            <a:avLst/>
                          </a:prstGeom>
                        </pic:spPr>
                      </pic:pic>
                    </a:graphicData>
                  </a:graphic>
                </wp:inline>
              </w:drawing>
            </w:r>
          </w:p>
        </w:tc>
        <w:tc>
          <w:tcPr>
            <w:tcW w:w="5804" w:type="dxa"/>
            <w:vAlign w:val="center"/>
          </w:tcPr>
          <w:p w14:paraId="14D3E474" w14:textId="463EB3A4" w:rsidR="0066374B" w:rsidRDefault="0066374B" w:rsidP="00DF58B9">
            <w:pPr>
              <w:pStyle w:val="BodyText"/>
              <w:spacing w:after="0" w:line="240" w:lineRule="auto"/>
            </w:pPr>
            <w:r>
              <w:t>Help Screen</w:t>
            </w:r>
            <w:r w:rsidR="00DF58B9">
              <w:t>:</w:t>
            </w:r>
            <w:r>
              <w:t xml:space="preserve"> Provides help on the various options within a screen.</w:t>
            </w:r>
          </w:p>
        </w:tc>
      </w:tr>
      <w:tr w:rsidR="0066374B" w14:paraId="6BE45B15" w14:textId="77777777" w:rsidTr="00B21E8E">
        <w:trPr>
          <w:trHeight w:val="1080"/>
        </w:trPr>
        <w:tc>
          <w:tcPr>
            <w:tcW w:w="9350" w:type="dxa"/>
            <w:gridSpan w:val="2"/>
            <w:vAlign w:val="center"/>
          </w:tcPr>
          <w:p w14:paraId="2302D804" w14:textId="77777777" w:rsidR="0066374B" w:rsidRDefault="0066374B" w:rsidP="0066374B">
            <w:pPr>
              <w:pStyle w:val="BodyText"/>
              <w:spacing w:after="0" w:line="240" w:lineRule="auto"/>
              <w:rPr>
                <w:noProof/>
              </w:rPr>
            </w:pPr>
            <w:r>
              <w:rPr>
                <w:noProof/>
              </w:rPr>
              <w:drawing>
                <wp:inline distT="0" distB="0" distL="0" distR="0" wp14:anchorId="65B97C3F" wp14:editId="17E071B4">
                  <wp:extent cx="5943600" cy="2692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69240"/>
                          </a:xfrm>
                          <a:prstGeom prst="rect">
                            <a:avLst/>
                          </a:prstGeom>
                        </pic:spPr>
                      </pic:pic>
                    </a:graphicData>
                  </a:graphic>
                </wp:inline>
              </w:drawing>
            </w:r>
          </w:p>
          <w:p w14:paraId="1143AA2E" w14:textId="6E7E6594" w:rsidR="0066374B" w:rsidRDefault="0066374B" w:rsidP="0066374B">
            <w:pPr>
              <w:pStyle w:val="BodyText"/>
              <w:spacing w:after="0" w:line="240" w:lineRule="auto"/>
              <w:rPr>
                <w:noProof/>
              </w:rPr>
            </w:pPr>
            <w:r>
              <w:rPr>
                <w:noProof/>
              </w:rPr>
              <w:t>Navigation Bar – Previous screens are in green, current page is in white and future pages are in grey. Clicking one of the green arrows brings you back to that screen.</w:t>
            </w:r>
          </w:p>
        </w:tc>
      </w:tr>
      <w:tr w:rsidR="009C29A8" w14:paraId="71100A7D" w14:textId="77777777" w:rsidTr="00B21E8E">
        <w:tc>
          <w:tcPr>
            <w:tcW w:w="3546" w:type="dxa"/>
          </w:tcPr>
          <w:p w14:paraId="5BA34D75" w14:textId="445C9EB0" w:rsidR="009C29A8" w:rsidRDefault="0066374B" w:rsidP="009C29A8">
            <w:pPr>
              <w:pStyle w:val="BodyText"/>
              <w:spacing w:after="0" w:line="240" w:lineRule="auto"/>
            </w:pPr>
            <w:r>
              <w:rPr>
                <w:noProof/>
              </w:rPr>
              <w:drawing>
                <wp:inline distT="0" distB="0" distL="0" distR="0" wp14:anchorId="3040A16D" wp14:editId="3A7DA41F">
                  <wp:extent cx="2105025" cy="4191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05025" cy="419100"/>
                          </a:xfrm>
                          <a:prstGeom prst="rect">
                            <a:avLst/>
                          </a:prstGeom>
                        </pic:spPr>
                      </pic:pic>
                    </a:graphicData>
                  </a:graphic>
                </wp:inline>
              </w:drawing>
            </w:r>
          </w:p>
        </w:tc>
        <w:tc>
          <w:tcPr>
            <w:tcW w:w="5804" w:type="dxa"/>
            <w:vAlign w:val="center"/>
          </w:tcPr>
          <w:p w14:paraId="22DF7173" w14:textId="235BE2F7" w:rsidR="009C29A8" w:rsidRDefault="00B21E8E" w:rsidP="009C29A8">
            <w:pPr>
              <w:pStyle w:val="BodyText"/>
              <w:spacing w:after="0" w:line="240" w:lineRule="auto"/>
            </w:pPr>
            <w:r>
              <w:t>Provides detailed outputs</w:t>
            </w:r>
          </w:p>
        </w:tc>
      </w:tr>
      <w:tr w:rsidR="00EB3C45" w14:paraId="42A77214" w14:textId="77777777" w:rsidTr="00B21E8E">
        <w:tc>
          <w:tcPr>
            <w:tcW w:w="3546" w:type="dxa"/>
          </w:tcPr>
          <w:p w14:paraId="76DF98A0" w14:textId="459DDD76" w:rsidR="00EB3C45" w:rsidRDefault="00EB3C45" w:rsidP="009C29A8">
            <w:pPr>
              <w:pStyle w:val="BodyText"/>
              <w:spacing w:after="0" w:line="240" w:lineRule="auto"/>
              <w:rPr>
                <w:noProof/>
              </w:rPr>
            </w:pPr>
            <w:r>
              <w:rPr>
                <w:noProof/>
              </w:rPr>
              <w:drawing>
                <wp:inline distT="0" distB="0" distL="0" distR="0" wp14:anchorId="5445E18D" wp14:editId="0C3E33F8">
                  <wp:extent cx="2011680" cy="50292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11680" cy="502920"/>
                          </a:xfrm>
                          <a:prstGeom prst="rect">
                            <a:avLst/>
                          </a:prstGeom>
                        </pic:spPr>
                      </pic:pic>
                    </a:graphicData>
                  </a:graphic>
                </wp:inline>
              </w:drawing>
            </w:r>
          </w:p>
        </w:tc>
        <w:tc>
          <w:tcPr>
            <w:tcW w:w="5804" w:type="dxa"/>
            <w:vAlign w:val="center"/>
          </w:tcPr>
          <w:p w14:paraId="7AEF1FE4" w14:textId="495C6D1C" w:rsidR="00EB3C45" w:rsidRDefault="00EB3C45" w:rsidP="009C29A8">
            <w:pPr>
              <w:pStyle w:val="BodyText"/>
              <w:spacing w:after="0" w:line="240" w:lineRule="auto"/>
            </w:pPr>
            <w:r>
              <w:t>Provides tabular outputs</w:t>
            </w:r>
          </w:p>
        </w:tc>
      </w:tr>
      <w:tr w:rsidR="00B21E8E" w14:paraId="73978364" w14:textId="77777777" w:rsidTr="00B21E8E">
        <w:tc>
          <w:tcPr>
            <w:tcW w:w="3546" w:type="dxa"/>
          </w:tcPr>
          <w:p w14:paraId="44DCFF8B" w14:textId="6E7FDCF9" w:rsidR="00B21E8E" w:rsidRDefault="00B21E8E" w:rsidP="009C29A8">
            <w:pPr>
              <w:pStyle w:val="BodyText"/>
              <w:spacing w:after="0" w:line="240" w:lineRule="auto"/>
              <w:rPr>
                <w:noProof/>
              </w:rPr>
            </w:pPr>
            <w:r>
              <w:rPr>
                <w:noProof/>
              </w:rPr>
              <w:drawing>
                <wp:inline distT="0" distB="0" distL="0" distR="0" wp14:anchorId="3A4D3132" wp14:editId="3E652501">
                  <wp:extent cx="600075" cy="6286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0075" cy="628650"/>
                          </a:xfrm>
                          <a:prstGeom prst="rect">
                            <a:avLst/>
                          </a:prstGeom>
                        </pic:spPr>
                      </pic:pic>
                    </a:graphicData>
                  </a:graphic>
                </wp:inline>
              </w:drawing>
            </w:r>
          </w:p>
        </w:tc>
        <w:tc>
          <w:tcPr>
            <w:tcW w:w="5804" w:type="dxa"/>
            <w:vAlign w:val="center"/>
          </w:tcPr>
          <w:p w14:paraId="6D446304" w14:textId="49496909" w:rsidR="00B21E8E" w:rsidRDefault="00B21E8E" w:rsidP="009C29A8">
            <w:pPr>
              <w:pStyle w:val="BodyText"/>
              <w:spacing w:after="0" w:line="240" w:lineRule="auto"/>
            </w:pPr>
            <w:r>
              <w:t>Creates an Excel spreadsheet of results</w:t>
            </w:r>
          </w:p>
        </w:tc>
      </w:tr>
    </w:tbl>
    <w:p w14:paraId="0E28F194" w14:textId="77777777" w:rsidR="00644913" w:rsidRDefault="00644913" w:rsidP="00644913">
      <w:pPr>
        <w:pStyle w:val="BodyText"/>
      </w:pPr>
    </w:p>
    <w:p w14:paraId="3297A094" w14:textId="7DF82ECB" w:rsidR="00644913" w:rsidRDefault="00644913">
      <w:pPr>
        <w:spacing w:after="200" w:line="276" w:lineRule="auto"/>
        <w:rPr>
          <w:rFonts w:cs="Arial"/>
        </w:rPr>
      </w:pPr>
      <w:r>
        <w:br w:type="page"/>
      </w:r>
    </w:p>
    <w:p w14:paraId="0F6F42B7" w14:textId="77777777" w:rsidR="009C29A8" w:rsidRPr="000445D4" w:rsidRDefault="009C29A8" w:rsidP="009C29A8">
      <w:pPr>
        <w:pStyle w:val="Heading2"/>
      </w:pPr>
      <w:bookmarkStart w:id="51" w:name="_Toc482973557"/>
      <w:r w:rsidRPr="000445D4">
        <w:lastRenderedPageBreak/>
        <w:t>Truck Deployment Analysis</w:t>
      </w:r>
      <w:bookmarkEnd w:id="51"/>
    </w:p>
    <w:p w14:paraId="3A5F3023" w14:textId="77777777" w:rsidR="000445D4" w:rsidRDefault="005D13E3" w:rsidP="00CD1B23">
      <w:pPr>
        <w:pStyle w:val="BodyText"/>
      </w:pPr>
      <w:r>
        <w:t>In the Truck Deployment Analysis, users will want to understand the benefits and costs of employing a given strategy.</w:t>
      </w:r>
      <w:r w:rsidR="00330080">
        <w:t xml:space="preserve"> </w:t>
      </w:r>
      <w:r>
        <w:t>In this case, the user already knows which strategy will be deployed, but needs to know the benefits and costs of the strategy</w:t>
      </w:r>
      <w:r w:rsidR="00CD1B23">
        <w:t>.</w:t>
      </w:r>
      <w:r w:rsidR="00330080">
        <w:t xml:space="preserve"> </w:t>
      </w:r>
    </w:p>
    <w:p w14:paraId="70C67765" w14:textId="020BD827" w:rsidR="002D3BE2" w:rsidRDefault="00CD1B23" w:rsidP="00CD1B23">
      <w:pPr>
        <w:pStyle w:val="BodyText"/>
      </w:pPr>
      <w:r>
        <w:t xml:space="preserve">The first choice the user will make is choosing the truck deployment analysis as shown below and then click </w:t>
      </w:r>
      <w:r w:rsidR="00DF58B9" w:rsidRPr="00D517E7">
        <w:rPr>
          <w:i/>
        </w:rPr>
        <w:t>Next</w:t>
      </w:r>
      <w:r>
        <w:t>:</w:t>
      </w:r>
    </w:p>
    <w:p w14:paraId="08DF3EE1" w14:textId="195859CD" w:rsidR="00CD1B23" w:rsidRDefault="00B21E8E" w:rsidP="00CD1B23">
      <w:pPr>
        <w:pStyle w:val="BodyText"/>
      </w:pPr>
      <w:r w:rsidRPr="00B21E8E">
        <w:rPr>
          <w:noProof/>
        </w:rPr>
        <w:drawing>
          <wp:inline distT="0" distB="0" distL="0" distR="0" wp14:anchorId="6D79DB8C" wp14:editId="7483B9A0">
            <wp:extent cx="5943600" cy="4559300"/>
            <wp:effectExtent l="19050" t="19050" r="19050" b="127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4559300"/>
                    </a:xfrm>
                    <a:prstGeom prst="rect">
                      <a:avLst/>
                    </a:prstGeom>
                    <a:ln>
                      <a:solidFill>
                        <a:schemeClr val="tx1"/>
                      </a:solidFill>
                    </a:ln>
                  </pic:spPr>
                </pic:pic>
              </a:graphicData>
            </a:graphic>
          </wp:inline>
        </w:drawing>
      </w:r>
    </w:p>
    <w:p w14:paraId="777BE17A" w14:textId="60E1EAFE" w:rsidR="00CD1B23" w:rsidRDefault="005D13E3" w:rsidP="00CD1B23">
      <w:pPr>
        <w:pStyle w:val="BodyText"/>
      </w:pPr>
      <w:r>
        <w:t>The user must then select the analysis year of interest, the geographic scale of the analysis, the truck type</w:t>
      </w:r>
      <w:r w:rsidR="00B21E8E">
        <w:t>(</w:t>
      </w:r>
      <w:r>
        <w:t>s</w:t>
      </w:r>
      <w:r w:rsidR="00B21E8E">
        <w:t>)</w:t>
      </w:r>
      <w:r>
        <w:t xml:space="preserve"> of interest, and the type of modification. The user can run the Tool several times for different analyses if desired.</w:t>
      </w:r>
      <w:r w:rsidR="00330080">
        <w:t xml:space="preserve"> </w:t>
      </w:r>
      <w:r>
        <w:t xml:space="preserve">More details on these choices can be found in Section </w:t>
      </w:r>
      <w:r w:rsidR="00C37C55">
        <w:t>2</w:t>
      </w:r>
      <w:r>
        <w:t xml:space="preserve"> of this User Manual</w:t>
      </w:r>
      <w:r w:rsidR="00913C25">
        <w:t>.</w:t>
      </w:r>
    </w:p>
    <w:p w14:paraId="6685F7CF" w14:textId="741F9BB1" w:rsidR="00CD1B23" w:rsidRDefault="00B21E8E" w:rsidP="00677E43">
      <w:pPr>
        <w:pStyle w:val="BodyText"/>
        <w:jc w:val="center"/>
      </w:pPr>
      <w:r w:rsidRPr="00B21E8E">
        <w:rPr>
          <w:noProof/>
        </w:rPr>
        <w:lastRenderedPageBreak/>
        <w:drawing>
          <wp:inline distT="0" distB="0" distL="0" distR="0" wp14:anchorId="7BA4CBE9" wp14:editId="3AE1215C">
            <wp:extent cx="5943600" cy="2560320"/>
            <wp:effectExtent l="19050" t="19050" r="19050" b="1143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560320"/>
                    </a:xfrm>
                    <a:prstGeom prst="rect">
                      <a:avLst/>
                    </a:prstGeom>
                    <a:ln>
                      <a:solidFill>
                        <a:schemeClr val="tx1"/>
                      </a:solidFill>
                    </a:ln>
                  </pic:spPr>
                </pic:pic>
              </a:graphicData>
            </a:graphic>
          </wp:inline>
        </w:drawing>
      </w:r>
    </w:p>
    <w:p w14:paraId="3C80AF05" w14:textId="6B8F2972" w:rsidR="0060518E" w:rsidRDefault="00F763F5" w:rsidP="008937E5">
      <w:pPr>
        <w:pStyle w:val="BodyText"/>
      </w:pPr>
      <w:r>
        <w:t xml:space="preserve">Once the modification is chosen, additional screens will appear to select the </w:t>
      </w:r>
      <w:r w:rsidR="00B21E8E">
        <w:t>choices within the type</w:t>
      </w:r>
      <w:r>
        <w:t xml:space="preserve"> of modification.</w:t>
      </w:r>
      <w:r w:rsidR="00330080">
        <w:t xml:space="preserve"> </w:t>
      </w:r>
      <w:r>
        <w:t xml:space="preserve">These are detailed in Section </w:t>
      </w:r>
      <w:r w:rsidR="00C37C55">
        <w:t>2</w:t>
      </w:r>
      <w:r>
        <w:t>.6 of this User Manual.</w:t>
      </w:r>
      <w:r w:rsidR="00330080">
        <w:t xml:space="preserve"> </w:t>
      </w:r>
      <w:r>
        <w:t>For alternative fuels, the user will be asked the type of alternative fuels of interest, as shown below</w:t>
      </w:r>
      <w:r w:rsidR="00C37C55">
        <w:t xml:space="preserve"> and explained further in Section 2.6.1</w:t>
      </w:r>
      <w:r w:rsidR="0060518E">
        <w:t>.</w:t>
      </w:r>
    </w:p>
    <w:p w14:paraId="2FC71F18" w14:textId="3965F6CD" w:rsidR="0060518E" w:rsidRDefault="00B21E8E" w:rsidP="0060518E">
      <w:pPr>
        <w:pStyle w:val="BodyText"/>
        <w:jc w:val="center"/>
      </w:pPr>
      <w:r>
        <w:rPr>
          <w:noProof/>
        </w:rPr>
        <w:drawing>
          <wp:inline distT="0" distB="0" distL="0" distR="0" wp14:anchorId="102C138F" wp14:editId="47A59A6E">
            <wp:extent cx="5943600" cy="3550285"/>
            <wp:effectExtent l="19050" t="19050" r="19050" b="1206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550285"/>
                    </a:xfrm>
                    <a:prstGeom prst="rect">
                      <a:avLst/>
                    </a:prstGeom>
                    <a:ln>
                      <a:solidFill>
                        <a:schemeClr val="tx1"/>
                      </a:solidFill>
                    </a:ln>
                  </pic:spPr>
                </pic:pic>
              </a:graphicData>
            </a:graphic>
          </wp:inline>
        </w:drawing>
      </w:r>
    </w:p>
    <w:p w14:paraId="0500B21D" w14:textId="560108E2" w:rsidR="0060518E" w:rsidRDefault="00F763F5" w:rsidP="0060518E">
      <w:pPr>
        <w:pStyle w:val="BodyText"/>
      </w:pPr>
      <w:r>
        <w:t>For Exhaust Retrofits, the user will be asked the type of exhaust retrofits of interest.</w:t>
      </w:r>
      <w:r w:rsidR="00330080">
        <w:t xml:space="preserve"> </w:t>
      </w:r>
      <w:r>
        <w:t>As these strategies are applicable only for engine model years prior to 2006, this choice will not be valid for later analysis years</w:t>
      </w:r>
      <w:r w:rsidR="0060518E">
        <w:t>.</w:t>
      </w:r>
      <w:r w:rsidR="00C37C55">
        <w:t xml:space="preserve"> These choices are described in Section 2.6.2 of this User Manual.</w:t>
      </w:r>
    </w:p>
    <w:p w14:paraId="06BDC693" w14:textId="2EFB973E" w:rsidR="0060518E" w:rsidRDefault="00B21E8E" w:rsidP="0060518E">
      <w:pPr>
        <w:pStyle w:val="BodyText"/>
        <w:jc w:val="center"/>
      </w:pPr>
      <w:r>
        <w:rPr>
          <w:noProof/>
        </w:rPr>
        <w:lastRenderedPageBreak/>
        <w:drawing>
          <wp:inline distT="0" distB="0" distL="0" distR="0" wp14:anchorId="5D4E4E21" wp14:editId="715C47B5">
            <wp:extent cx="5943600" cy="1647190"/>
            <wp:effectExtent l="19050" t="19050" r="19050" b="101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647190"/>
                    </a:xfrm>
                    <a:prstGeom prst="rect">
                      <a:avLst/>
                    </a:prstGeom>
                    <a:ln>
                      <a:solidFill>
                        <a:schemeClr val="tx1"/>
                      </a:solidFill>
                    </a:ln>
                  </pic:spPr>
                </pic:pic>
              </a:graphicData>
            </a:graphic>
          </wp:inline>
        </w:drawing>
      </w:r>
    </w:p>
    <w:p w14:paraId="3977A62E" w14:textId="00BEB48D" w:rsidR="0060518E" w:rsidRDefault="00F763F5" w:rsidP="008937E5">
      <w:pPr>
        <w:pStyle w:val="BodyText"/>
      </w:pPr>
      <w:r>
        <w:t>For Aerodynamic Devices, the user will be asked the types of aerodynamic devices of interest. An illustration is provided to help with identification of these devices. The Tool will allow this option only for long haul trucks, and some devices will only be allowed for combination long haul trucks</w:t>
      </w:r>
      <w:r w:rsidR="0060518E">
        <w:t>.</w:t>
      </w:r>
      <w:r w:rsidR="00C37C55">
        <w:t xml:space="preserve"> These choices are described in Section 2.6.3 of this User Manual.</w:t>
      </w:r>
    </w:p>
    <w:p w14:paraId="3E2F1611" w14:textId="57956204" w:rsidR="0060518E" w:rsidRDefault="00B21E8E" w:rsidP="008937E5">
      <w:pPr>
        <w:pStyle w:val="BodyText"/>
      </w:pPr>
      <w:r>
        <w:rPr>
          <w:noProof/>
        </w:rPr>
        <w:drawing>
          <wp:inline distT="0" distB="0" distL="0" distR="0" wp14:anchorId="18DE0966" wp14:editId="67659A4F">
            <wp:extent cx="5943600" cy="2098040"/>
            <wp:effectExtent l="19050" t="19050" r="1905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098040"/>
                    </a:xfrm>
                    <a:prstGeom prst="rect">
                      <a:avLst/>
                    </a:prstGeom>
                    <a:ln>
                      <a:solidFill>
                        <a:schemeClr val="tx1"/>
                      </a:solidFill>
                    </a:ln>
                  </pic:spPr>
                </pic:pic>
              </a:graphicData>
            </a:graphic>
          </wp:inline>
        </w:drawing>
      </w:r>
    </w:p>
    <w:p w14:paraId="2F6E5E79" w14:textId="7ACECAA4" w:rsidR="0060518E" w:rsidRDefault="00F763F5" w:rsidP="008937E5">
      <w:pPr>
        <w:pStyle w:val="BodyText"/>
      </w:pPr>
      <w:r>
        <w:t>For Tires, the user will be asked the type of tire modifications of interest. Selecting Tire Pressure Systems will result in several more options displayed, as shown below</w:t>
      </w:r>
      <w:r w:rsidR="00C37C55">
        <w:t xml:space="preserve"> and described in Section 2.6.4 of this User Manual</w:t>
      </w:r>
      <w:r w:rsidR="0022533B">
        <w:t>.</w:t>
      </w:r>
    </w:p>
    <w:p w14:paraId="382B08B2" w14:textId="7170362A" w:rsidR="0060518E" w:rsidRDefault="00B21E8E" w:rsidP="0060518E">
      <w:pPr>
        <w:pStyle w:val="BodyText"/>
        <w:jc w:val="center"/>
      </w:pPr>
      <w:r>
        <w:rPr>
          <w:noProof/>
        </w:rPr>
        <w:lastRenderedPageBreak/>
        <w:drawing>
          <wp:inline distT="0" distB="0" distL="0" distR="0" wp14:anchorId="78DAE363" wp14:editId="3AD966BC">
            <wp:extent cx="5943600" cy="2724150"/>
            <wp:effectExtent l="19050" t="19050" r="19050"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8411"/>
                    <a:stretch/>
                  </pic:blipFill>
                  <pic:spPr bwMode="auto">
                    <a:xfrm>
                      <a:off x="0" y="0"/>
                      <a:ext cx="5943600" cy="27241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5F96C1A" w14:textId="2F212EA9" w:rsidR="0060518E" w:rsidRDefault="00F763F5" w:rsidP="008937E5">
      <w:pPr>
        <w:pStyle w:val="BodyText"/>
      </w:pPr>
      <w:r>
        <w:t>For idle reduction strategies, the user will be allowed to choose the strategies of interest. The Tool allows idle reduction analysis only for combination long haul trucks</w:t>
      </w:r>
      <w:r w:rsidR="0060518E">
        <w:t>.</w:t>
      </w:r>
      <w:r w:rsidR="00C37C55">
        <w:t xml:space="preserve"> These choices are described in Section 2.6.5 of this User Manual.</w:t>
      </w:r>
    </w:p>
    <w:p w14:paraId="2CB520AD" w14:textId="1A237259" w:rsidR="0060518E" w:rsidRDefault="00811961" w:rsidP="00524885">
      <w:pPr>
        <w:pStyle w:val="Bullet10"/>
        <w:numPr>
          <w:ilvl w:val="0"/>
          <w:numId w:val="0"/>
        </w:numPr>
        <w:ind w:left="360" w:hanging="360"/>
        <w:jc w:val="center"/>
      </w:pPr>
      <w:r>
        <w:rPr>
          <w:noProof/>
        </w:rPr>
        <w:drawing>
          <wp:inline distT="0" distB="0" distL="0" distR="0" wp14:anchorId="5CE67B39" wp14:editId="47832F1C">
            <wp:extent cx="5943600" cy="1647825"/>
            <wp:effectExtent l="19050" t="19050" r="19050" b="285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14073"/>
                    <a:stretch/>
                  </pic:blipFill>
                  <pic:spPr bwMode="auto">
                    <a:xfrm>
                      <a:off x="0" y="0"/>
                      <a:ext cx="5943600" cy="16478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BB350A9" w14:textId="2707CE08" w:rsidR="0060518E" w:rsidRDefault="00F763F5" w:rsidP="008937E5">
      <w:pPr>
        <w:pStyle w:val="BodyText"/>
      </w:pPr>
      <w:r>
        <w:t xml:space="preserve">For accelerated retirement, </w:t>
      </w:r>
      <w:r w:rsidR="009076AC">
        <w:t xml:space="preserve">there is no modification screen. </w:t>
      </w:r>
      <w:r w:rsidR="00DF58B9">
        <w:t xml:space="preserve">The </w:t>
      </w:r>
      <w:r w:rsidR="009076AC">
        <w:t xml:space="preserve">Tool will skip to the next screen where the </w:t>
      </w:r>
      <w:r>
        <w:t>user will be asked to specify the model years for the trucks that are being replaced.</w:t>
      </w:r>
      <w:r w:rsidR="00330080">
        <w:t xml:space="preserve"> </w:t>
      </w:r>
      <w:r>
        <w:t>The Tool assumes that the replaced trucks will be scrapped</w:t>
      </w:r>
      <w:r w:rsidR="0022533B">
        <w:t>.</w:t>
      </w:r>
      <w:r w:rsidR="005B1EA0">
        <w:t xml:space="preserve"> More details can be found in Section 2.6.6 of this User Manual.</w:t>
      </w:r>
    </w:p>
    <w:p w14:paraId="10F28136" w14:textId="572B60A4" w:rsidR="002D3BE2" w:rsidRDefault="00F763F5" w:rsidP="008937E5">
      <w:pPr>
        <w:pStyle w:val="BodyText"/>
      </w:pPr>
      <w:r>
        <w:t>Once the specific strategies are selected, the Tool will ask for further information that the user can change.</w:t>
      </w:r>
      <w:r w:rsidR="00330080">
        <w:t xml:space="preserve"> </w:t>
      </w:r>
      <w:r w:rsidR="00DF58B9">
        <w:t>The Tool auto-fills inputs with default values developed from</w:t>
      </w:r>
      <w:r>
        <w:t xml:space="preserve"> MOVES.</w:t>
      </w:r>
      <w:r w:rsidR="00330080">
        <w:t xml:space="preserve"> </w:t>
      </w:r>
      <w:r>
        <w:t>For accelerated retirement, the range of model years to modify/replace has already been asked for in the prior screen.</w:t>
      </w:r>
      <w:r w:rsidRPr="00D1155A">
        <w:t xml:space="preserve"> </w:t>
      </w:r>
      <w:r>
        <w:t>The user should indicate what model year vehicles will be replaced with newer ones.</w:t>
      </w:r>
      <w:r w:rsidR="00330080">
        <w:t xml:space="preserve"> </w:t>
      </w:r>
      <w:r>
        <w:t>For an alternative fuel option, the user needs to specify which model years will be replaced with an alternative fuel truck.</w:t>
      </w:r>
      <w:r w:rsidR="00330080">
        <w:t xml:space="preserve"> </w:t>
      </w:r>
      <w:r>
        <w:t>For CNG, LNG, LPG, hybrid and electric options, the Tool assumes the replacement trucks are new (e.g., in analysis year 2020, the replacement trucks are 2020 model year).</w:t>
      </w:r>
    </w:p>
    <w:p w14:paraId="4253A16D" w14:textId="4C55E68F" w:rsidR="008937E5" w:rsidRDefault="00EB3C45" w:rsidP="008937E5">
      <w:pPr>
        <w:pStyle w:val="BodyText"/>
      </w:pPr>
      <w:r w:rsidRPr="00EB3C45">
        <w:rPr>
          <w:noProof/>
        </w:rPr>
        <w:lastRenderedPageBreak/>
        <w:drawing>
          <wp:inline distT="0" distB="0" distL="0" distR="0" wp14:anchorId="167AE7D9" wp14:editId="3E4E01FB">
            <wp:extent cx="5943600" cy="2478405"/>
            <wp:effectExtent l="19050" t="19050" r="19050" b="171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478405"/>
                    </a:xfrm>
                    <a:prstGeom prst="rect">
                      <a:avLst/>
                    </a:prstGeom>
                    <a:ln>
                      <a:solidFill>
                        <a:schemeClr val="tx1"/>
                      </a:solidFill>
                    </a:ln>
                  </pic:spPr>
                </pic:pic>
              </a:graphicData>
            </a:graphic>
          </wp:inline>
        </w:drawing>
      </w:r>
    </w:p>
    <w:p w14:paraId="1D649DE7" w14:textId="2DBB087A" w:rsidR="005F2729" w:rsidRDefault="005F2729" w:rsidP="008937E5">
      <w:pPr>
        <w:pStyle w:val="BodyText"/>
      </w:pPr>
      <w:r>
        <w:t>The next screen asks for fuel prices</w:t>
      </w:r>
      <w:r w:rsidR="005B1EA0">
        <w:t xml:space="preserve"> and electricity generation mix (for electric vehicle charging)</w:t>
      </w:r>
      <w:r>
        <w:t>.</w:t>
      </w:r>
      <w:r w:rsidR="00330080">
        <w:t xml:space="preserve"> </w:t>
      </w:r>
      <w:r>
        <w:t xml:space="preserve">The user can enter fuel prices </w:t>
      </w:r>
      <w:r w:rsidR="00DF58B9">
        <w:t>and select</w:t>
      </w:r>
      <w:r>
        <w:t xml:space="preserve"> </w:t>
      </w:r>
      <w:r w:rsidR="00DF58B9">
        <w:t xml:space="preserve">fuel </w:t>
      </w:r>
      <w:r>
        <w:t xml:space="preserve">units </w:t>
      </w:r>
      <w:r w:rsidR="00DF58B9">
        <w:t xml:space="preserve">from </w:t>
      </w:r>
      <w:r>
        <w:t>a pull</w:t>
      </w:r>
      <w:r w:rsidR="00F763F5">
        <w:t>-</w:t>
      </w:r>
      <w:r>
        <w:t>down menu.</w:t>
      </w:r>
      <w:r w:rsidR="00330080">
        <w:t xml:space="preserve"> </w:t>
      </w:r>
      <w:r>
        <w:t>Default fuel prices are shown in this screen.</w:t>
      </w:r>
      <w:r w:rsidR="00330080">
        <w:t xml:space="preserve"> </w:t>
      </w:r>
      <w:r w:rsidR="005B1EA0">
        <w:t xml:space="preserve">If the user selects electric vehicles as an option, they can also enter the </w:t>
      </w:r>
      <w:r w:rsidR="00DF58B9">
        <w:t xml:space="preserve">electricity </w:t>
      </w:r>
      <w:r w:rsidR="005B1EA0">
        <w:t xml:space="preserve">grid mix </w:t>
      </w:r>
      <w:r w:rsidR="00DF58B9">
        <w:t xml:space="preserve">their area </w:t>
      </w:r>
      <w:r w:rsidR="00EB3C45">
        <w:t xml:space="preserve">by clicking </w:t>
      </w:r>
      <w:r w:rsidR="00DF58B9">
        <w:t>the</w:t>
      </w:r>
      <w:r w:rsidR="00EB3C45">
        <w:t xml:space="preserve"> button</w:t>
      </w:r>
      <w:r w:rsidR="00DF58B9">
        <w:t xml:space="preserve"> in the region of interest, or they can select the national average</w:t>
      </w:r>
      <w:r w:rsidR="005D0C07">
        <w:t xml:space="preserve"> by clicking </w:t>
      </w:r>
      <w:r w:rsidR="001F7075">
        <w:t>“</w:t>
      </w:r>
      <w:r w:rsidR="005D0C07" w:rsidRPr="001F7075">
        <w:t>National Default</w:t>
      </w:r>
      <w:r w:rsidR="001F7075">
        <w:t>”</w:t>
      </w:r>
      <w:r w:rsidR="005B1EA0">
        <w:t xml:space="preserve">.  </w:t>
      </w:r>
    </w:p>
    <w:p w14:paraId="380A6F73" w14:textId="454DD253" w:rsidR="005F2729" w:rsidRDefault="00EB3C45" w:rsidP="005F2729">
      <w:pPr>
        <w:pStyle w:val="BodyText"/>
        <w:jc w:val="center"/>
      </w:pPr>
      <w:r>
        <w:rPr>
          <w:noProof/>
        </w:rPr>
        <w:drawing>
          <wp:inline distT="0" distB="0" distL="0" distR="0" wp14:anchorId="558A981D" wp14:editId="2EFF5D6B">
            <wp:extent cx="5943600" cy="2792730"/>
            <wp:effectExtent l="19050" t="19050" r="19050"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792730"/>
                    </a:xfrm>
                    <a:prstGeom prst="rect">
                      <a:avLst/>
                    </a:prstGeom>
                    <a:ln>
                      <a:solidFill>
                        <a:schemeClr val="tx1"/>
                      </a:solidFill>
                    </a:ln>
                  </pic:spPr>
                </pic:pic>
              </a:graphicData>
            </a:graphic>
          </wp:inline>
        </w:drawing>
      </w:r>
    </w:p>
    <w:p w14:paraId="541B15FB" w14:textId="13C20DEF" w:rsidR="00321CE8" w:rsidRDefault="00321CE8" w:rsidP="008937E5">
      <w:pPr>
        <w:pStyle w:val="BodyText"/>
      </w:pPr>
      <w:r>
        <w:t>Once the grid mix area is selected, the Tool then shows the default value which can be changed with newer data if available.</w:t>
      </w:r>
    </w:p>
    <w:p w14:paraId="22683B92" w14:textId="6BA18A3A" w:rsidR="00321CE8" w:rsidRDefault="00321CE8" w:rsidP="008937E5">
      <w:pPr>
        <w:pStyle w:val="BodyText"/>
      </w:pPr>
      <w:r>
        <w:rPr>
          <w:noProof/>
        </w:rPr>
        <w:lastRenderedPageBreak/>
        <w:drawing>
          <wp:inline distT="0" distB="0" distL="0" distR="0" wp14:anchorId="2F40C27D" wp14:editId="61027A18">
            <wp:extent cx="3562350" cy="110490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 t="4688" r="1319" b="4688"/>
                    <a:stretch/>
                  </pic:blipFill>
                  <pic:spPr bwMode="auto">
                    <a:xfrm>
                      <a:off x="0" y="0"/>
                      <a:ext cx="3562350" cy="11049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076C239" w14:textId="228F1A46" w:rsidR="00E20937" w:rsidRDefault="00321CE8" w:rsidP="008937E5">
      <w:pPr>
        <w:pStyle w:val="BodyText"/>
      </w:pPr>
      <w:r>
        <w:t>See Section 5.3 for further information on fuel costs and Section 5.2 for further information on electricity generation mix for electric vehicle charging.</w:t>
      </w:r>
      <w:r w:rsidR="001F7075">
        <w:t xml:space="preserve"> </w:t>
      </w:r>
      <w:r w:rsidR="00E20937">
        <w:t>The next screen allows users to modify the truck or equipment costs if they have more current or local information.</w:t>
      </w:r>
    </w:p>
    <w:p w14:paraId="1E3CAFCF" w14:textId="5527C531" w:rsidR="00E20937" w:rsidRDefault="00E20937" w:rsidP="008937E5">
      <w:pPr>
        <w:pStyle w:val="BodyText"/>
      </w:pPr>
      <w:r>
        <w:rPr>
          <w:noProof/>
        </w:rPr>
        <w:drawing>
          <wp:inline distT="0" distB="0" distL="0" distR="0" wp14:anchorId="71C4BB4B" wp14:editId="79492708">
            <wp:extent cx="5537606" cy="3148626"/>
            <wp:effectExtent l="19050" t="19050" r="25400" b="139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42654" cy="3151496"/>
                    </a:xfrm>
                    <a:prstGeom prst="rect">
                      <a:avLst/>
                    </a:prstGeom>
                    <a:ln>
                      <a:solidFill>
                        <a:schemeClr val="tx1"/>
                      </a:solidFill>
                    </a:ln>
                  </pic:spPr>
                </pic:pic>
              </a:graphicData>
            </a:graphic>
          </wp:inline>
        </w:drawing>
      </w:r>
    </w:p>
    <w:p w14:paraId="03626207" w14:textId="3D0ED7D2" w:rsidR="002D3BE2" w:rsidRDefault="00E20937" w:rsidP="008937E5">
      <w:pPr>
        <w:pStyle w:val="BodyText"/>
      </w:pPr>
      <w:r>
        <w:t>When the user</w:t>
      </w:r>
      <w:r w:rsidR="00F763F5">
        <w:t xml:space="preserve"> click</w:t>
      </w:r>
      <w:r>
        <w:t xml:space="preserve">s </w:t>
      </w:r>
      <w:r w:rsidR="00305706">
        <w:t>“</w:t>
      </w:r>
      <w:r>
        <w:t>Next</w:t>
      </w:r>
      <w:r w:rsidR="00305706">
        <w:t>”</w:t>
      </w:r>
      <w:r>
        <w:t xml:space="preserve">, </w:t>
      </w:r>
      <w:r w:rsidR="00F763F5">
        <w:t>the Tool will output results</w:t>
      </w:r>
      <w:r>
        <w:t xml:space="preserve"> in a tabular format</w:t>
      </w:r>
      <w:r w:rsidR="00F763F5">
        <w:t>.</w:t>
      </w:r>
      <w:r w:rsidR="00330080">
        <w:t xml:space="preserve"> </w:t>
      </w:r>
      <w:r w:rsidR="00F763F5">
        <w:t>The results show the reduction in emissions</w:t>
      </w:r>
      <w:r w:rsidR="00B629D0">
        <w:t xml:space="preserve"> in short tons</w:t>
      </w:r>
      <w:r w:rsidR="00F763F5">
        <w:t>, reduction (or increase) in fuel use, costs, and cost effectiveness for NOx, PM</w:t>
      </w:r>
      <w:r w:rsidR="00F763F5">
        <w:rPr>
          <w:vertAlign w:val="subscript"/>
        </w:rPr>
        <w:t>2.5</w:t>
      </w:r>
      <w:r w:rsidR="00F763F5">
        <w:t>, and CO</w:t>
      </w:r>
      <w:r w:rsidR="00F763F5">
        <w:rPr>
          <w:vertAlign w:val="subscript"/>
        </w:rPr>
        <w:t>2</w:t>
      </w:r>
      <w:r w:rsidR="00F763F5">
        <w:t>.</w:t>
      </w:r>
      <w:r w:rsidR="00330080">
        <w:t xml:space="preserve"> </w:t>
      </w:r>
      <w:r w:rsidR="00F763F5">
        <w:t>When multiple strategies are listed, the user can find the most cost effective or the one giving the largest emission reductions. An example of the output is shown on the next page</w:t>
      </w:r>
      <w:r w:rsidR="005F2729">
        <w:t>.</w:t>
      </w:r>
      <w:r w:rsidR="00DC1117">
        <w:t xml:space="preserve"> </w:t>
      </w:r>
      <w:r w:rsidR="007F5A07">
        <w:t xml:space="preserve">The user can also get a detailed output by clicking the “Go to Formatted Results” button. A sample detailed output is also shown on the next page. </w:t>
      </w:r>
      <w:r w:rsidR="00DC1117">
        <w:t xml:space="preserve">By clicking the </w:t>
      </w:r>
      <w:r w:rsidR="007F5A07">
        <w:t>Excel</w:t>
      </w:r>
      <w:r w:rsidR="00DC1117">
        <w:t xml:space="preserve"> button, a copy of </w:t>
      </w:r>
      <w:r w:rsidR="007F5A07">
        <w:t>both</w:t>
      </w:r>
      <w:r w:rsidR="00DC1117">
        <w:t xml:space="preserve"> output</w:t>
      </w:r>
      <w:r w:rsidR="007F5A07">
        <w:t>s</w:t>
      </w:r>
      <w:r w:rsidR="00DC1117">
        <w:t xml:space="preserve"> will be saved to another spreadsheet along with a sortable table of emission reductions and </w:t>
      </w:r>
      <w:r w:rsidR="001F7075">
        <w:t>cost effective</w:t>
      </w:r>
      <w:r w:rsidR="007F5A07">
        <w:t xml:space="preserve">ness for sorting. </w:t>
      </w:r>
    </w:p>
    <w:p w14:paraId="70575273" w14:textId="77777777" w:rsidR="00BB7EB6" w:rsidRDefault="00BB7EB6" w:rsidP="008937E5">
      <w:pPr>
        <w:pStyle w:val="BodyText"/>
        <w:sectPr w:rsidR="00BB7EB6" w:rsidSect="002D3BE2">
          <w:pgSz w:w="12240" w:h="15840"/>
          <w:pgMar w:top="1440" w:right="1440" w:bottom="1440" w:left="1440" w:header="576" w:footer="576" w:gutter="0"/>
          <w:pgNumType w:chapStyle="6"/>
          <w:cols w:space="720"/>
          <w:titlePg/>
          <w:docGrid w:linePitch="360"/>
        </w:sectPr>
      </w:pPr>
    </w:p>
    <w:p w14:paraId="47DC12C0" w14:textId="7BC69B46" w:rsidR="007F5A07" w:rsidRDefault="004F20F9" w:rsidP="00BB7EB6">
      <w:pPr>
        <w:pStyle w:val="BodyText"/>
        <w:tabs>
          <w:tab w:val="right" w:pos="12960"/>
        </w:tabs>
        <w:jc w:val="center"/>
      </w:pPr>
      <w:r w:rsidRPr="004F20F9">
        <w:rPr>
          <w:noProof/>
        </w:rPr>
        <w:lastRenderedPageBreak/>
        <w:drawing>
          <wp:inline distT="0" distB="0" distL="0" distR="0" wp14:anchorId="279E3E89" wp14:editId="5A8357A7">
            <wp:extent cx="8229600" cy="10242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229600" cy="1024255"/>
                    </a:xfrm>
                    <a:prstGeom prst="rect">
                      <a:avLst/>
                    </a:prstGeom>
                  </pic:spPr>
                </pic:pic>
              </a:graphicData>
            </a:graphic>
          </wp:inline>
        </w:drawing>
      </w:r>
    </w:p>
    <w:p w14:paraId="37185A48" w14:textId="5CED6800" w:rsidR="004F20F9" w:rsidRDefault="004F20F9" w:rsidP="00BB7EB6">
      <w:pPr>
        <w:pStyle w:val="BodyText"/>
        <w:tabs>
          <w:tab w:val="right" w:pos="12960"/>
        </w:tabs>
        <w:jc w:val="center"/>
      </w:pPr>
      <w:r w:rsidRPr="004F20F9">
        <w:rPr>
          <w:noProof/>
        </w:rPr>
        <w:drawing>
          <wp:inline distT="0" distB="0" distL="0" distR="0" wp14:anchorId="1ABBA5BD" wp14:editId="3446F67A">
            <wp:extent cx="8229600" cy="3182620"/>
            <wp:effectExtent l="19050" t="19050" r="19050" b="177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229600" cy="3182620"/>
                    </a:xfrm>
                    <a:prstGeom prst="rect">
                      <a:avLst/>
                    </a:prstGeom>
                    <a:ln>
                      <a:solidFill>
                        <a:schemeClr val="tx1"/>
                      </a:solidFill>
                    </a:ln>
                  </pic:spPr>
                </pic:pic>
              </a:graphicData>
            </a:graphic>
          </wp:inline>
        </w:drawing>
      </w:r>
    </w:p>
    <w:p w14:paraId="48D324EB" w14:textId="77777777" w:rsidR="008937E5" w:rsidRPr="000445D4" w:rsidRDefault="008937E5" w:rsidP="008937E5">
      <w:pPr>
        <w:pStyle w:val="BodyText"/>
        <w:sectPr w:rsidR="008937E5" w:rsidRPr="000445D4" w:rsidSect="00BB7EB6">
          <w:headerReference w:type="first" r:id="rId51"/>
          <w:footerReference w:type="first" r:id="rId52"/>
          <w:pgSz w:w="15840" w:h="12240" w:orient="landscape"/>
          <w:pgMar w:top="1440" w:right="1440" w:bottom="1440" w:left="1440" w:header="576" w:footer="576" w:gutter="0"/>
          <w:pgNumType w:chapStyle="6"/>
          <w:cols w:space="720"/>
          <w:titlePg/>
          <w:docGrid w:linePitch="360"/>
        </w:sectPr>
      </w:pPr>
    </w:p>
    <w:p w14:paraId="673C2116" w14:textId="4A950ADF" w:rsidR="002D3BE2" w:rsidRPr="000445D4" w:rsidRDefault="003719A0" w:rsidP="009C29A8">
      <w:pPr>
        <w:pStyle w:val="Heading2"/>
      </w:pPr>
      <w:bookmarkStart w:id="52" w:name="_Toc482973558"/>
      <w:r>
        <w:lastRenderedPageBreak/>
        <w:t>Funding Impact</w:t>
      </w:r>
      <w:r w:rsidRPr="000445D4">
        <w:t xml:space="preserve"> </w:t>
      </w:r>
      <w:r w:rsidR="002D3BE2" w:rsidRPr="000445D4">
        <w:t>Analysis</w:t>
      </w:r>
      <w:bookmarkEnd w:id="52"/>
    </w:p>
    <w:p w14:paraId="08CE4168" w14:textId="59DE55FE" w:rsidR="00F763F5" w:rsidRDefault="00F763F5" w:rsidP="00F763F5">
      <w:pPr>
        <w:pStyle w:val="BodyText"/>
      </w:pPr>
      <w:r>
        <w:t xml:space="preserve">In the </w:t>
      </w:r>
      <w:r w:rsidR="003719A0">
        <w:t xml:space="preserve">Funding Impact </w:t>
      </w:r>
      <w:r>
        <w:t>Analysis, users can determine the number of trucks and emissions benefits if an agency</w:t>
      </w:r>
      <w:r w:rsidR="003719A0">
        <w:t xml:space="preserve"> or organization</w:t>
      </w:r>
      <w:r>
        <w:t xml:space="preserve"> were to invest a given amount into clean truck strategies.</w:t>
      </w:r>
      <w:r w:rsidR="00330080">
        <w:t xml:space="preserve"> </w:t>
      </w:r>
      <w:r>
        <w:t xml:space="preserve">The user can then see which approaches/strategies yield the greatest emission benefit or are the most cost effective. </w:t>
      </w:r>
    </w:p>
    <w:p w14:paraId="6BAFE249" w14:textId="5AE7B936" w:rsidR="00BB7EB6" w:rsidRDefault="00F763F5" w:rsidP="00F763F5">
      <w:pPr>
        <w:pStyle w:val="BodyText"/>
      </w:pPr>
      <w:r>
        <w:t xml:space="preserve">The first choice the user will make is choosing the </w:t>
      </w:r>
      <w:r w:rsidR="003719A0">
        <w:t>Funding Impact Analysis</w:t>
      </w:r>
      <w:r>
        <w:t xml:space="preserve"> as shown below, and then click </w:t>
      </w:r>
      <w:r w:rsidR="003719A0">
        <w:t>“Next”</w:t>
      </w:r>
      <w:r>
        <w:t>.</w:t>
      </w:r>
    </w:p>
    <w:p w14:paraId="5588EA80" w14:textId="6E2DA81D" w:rsidR="002D3BE2" w:rsidRDefault="007F5A07" w:rsidP="00BB7EB6">
      <w:pPr>
        <w:pStyle w:val="BodyText"/>
      </w:pPr>
      <w:r>
        <w:rPr>
          <w:noProof/>
        </w:rPr>
        <w:drawing>
          <wp:inline distT="0" distB="0" distL="0" distR="0" wp14:anchorId="68975EA3" wp14:editId="0BC98D55">
            <wp:extent cx="5943600" cy="4553585"/>
            <wp:effectExtent l="19050" t="19050" r="19050"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4553585"/>
                    </a:xfrm>
                    <a:prstGeom prst="rect">
                      <a:avLst/>
                    </a:prstGeom>
                    <a:ln>
                      <a:solidFill>
                        <a:schemeClr val="tx1"/>
                      </a:solidFill>
                    </a:ln>
                  </pic:spPr>
                </pic:pic>
              </a:graphicData>
            </a:graphic>
          </wp:inline>
        </w:drawing>
      </w:r>
    </w:p>
    <w:p w14:paraId="00992491" w14:textId="0B24443A" w:rsidR="00BB7EB6" w:rsidRDefault="00F763F5" w:rsidP="00BB7EB6">
      <w:pPr>
        <w:pStyle w:val="BodyText"/>
      </w:pPr>
      <w:r>
        <w:t>The user then chooses the analysis year, the geographic area, and the truck type. In addition, the screen asks the amount the agency wants to invest in the program.</w:t>
      </w:r>
      <w:r w:rsidR="00330080">
        <w:t xml:space="preserve"> </w:t>
      </w:r>
      <w:r>
        <w:t xml:space="preserve">The Tool will run this analysis for </w:t>
      </w:r>
      <w:r w:rsidR="003719A0">
        <w:t xml:space="preserve">only </w:t>
      </w:r>
      <w:r>
        <w:t xml:space="preserve">one truck type at a time. For analyzing more than one truck type, the </w:t>
      </w:r>
      <w:r w:rsidR="003719A0">
        <w:t xml:space="preserve">user will run the </w:t>
      </w:r>
      <w:r>
        <w:t>Tool multiple times</w:t>
      </w:r>
      <w:r w:rsidR="007A11C2">
        <w:t>.</w:t>
      </w:r>
    </w:p>
    <w:p w14:paraId="0E1C9004" w14:textId="699D59F9" w:rsidR="00BB7EB6" w:rsidRDefault="007F5A07" w:rsidP="00BB7EB6">
      <w:pPr>
        <w:pStyle w:val="BodyText"/>
      </w:pPr>
      <w:r>
        <w:rPr>
          <w:noProof/>
        </w:rPr>
        <w:lastRenderedPageBreak/>
        <w:drawing>
          <wp:inline distT="0" distB="0" distL="0" distR="0" wp14:anchorId="54919EFD" wp14:editId="7AB5A0B6">
            <wp:extent cx="5943600" cy="2562860"/>
            <wp:effectExtent l="19050" t="19050" r="19050" b="279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562860"/>
                    </a:xfrm>
                    <a:prstGeom prst="rect">
                      <a:avLst/>
                    </a:prstGeom>
                    <a:ln>
                      <a:solidFill>
                        <a:schemeClr val="tx1"/>
                      </a:solidFill>
                    </a:ln>
                  </pic:spPr>
                </pic:pic>
              </a:graphicData>
            </a:graphic>
          </wp:inline>
        </w:drawing>
      </w:r>
    </w:p>
    <w:p w14:paraId="65A264DD" w14:textId="06952351" w:rsidR="009076AC" w:rsidRDefault="00F763F5" w:rsidP="00BB7EB6">
      <w:pPr>
        <w:pStyle w:val="BodyText"/>
        <w:rPr>
          <w:noProof/>
        </w:rPr>
      </w:pPr>
      <w:r>
        <w:t>The next screen asks for annual mileage accumulation, the model years of trucks to be modified</w:t>
      </w:r>
      <w:r w:rsidR="003719A0">
        <w:t xml:space="preserve"> or replaced,</w:t>
      </w:r>
      <w:r w:rsidR="003719A0" w:rsidRPr="003719A0">
        <w:t xml:space="preserve"> </w:t>
      </w:r>
      <w:r w:rsidR="003719A0">
        <w:t>and extended idle hours (for combination long haul trucks only)</w:t>
      </w:r>
      <w:r w:rsidR="007A11C2">
        <w:t>.</w:t>
      </w:r>
      <w:r w:rsidR="009076AC" w:rsidRPr="009076AC">
        <w:rPr>
          <w:noProof/>
        </w:rPr>
        <w:t xml:space="preserve"> </w:t>
      </w:r>
    </w:p>
    <w:p w14:paraId="78CDABEA" w14:textId="220467B3" w:rsidR="002D3BE2" w:rsidRDefault="009076AC" w:rsidP="00BB7EB6">
      <w:pPr>
        <w:pStyle w:val="BodyText"/>
      </w:pPr>
      <w:r>
        <w:rPr>
          <w:noProof/>
        </w:rPr>
        <w:drawing>
          <wp:inline distT="0" distB="0" distL="0" distR="0" wp14:anchorId="3A9EF37B" wp14:editId="41A2B781">
            <wp:extent cx="5943600" cy="1840230"/>
            <wp:effectExtent l="19050" t="19050" r="19050" b="266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840230"/>
                    </a:xfrm>
                    <a:prstGeom prst="rect">
                      <a:avLst/>
                    </a:prstGeom>
                    <a:ln>
                      <a:solidFill>
                        <a:schemeClr val="tx1"/>
                      </a:solidFill>
                    </a:ln>
                  </pic:spPr>
                </pic:pic>
              </a:graphicData>
            </a:graphic>
          </wp:inline>
        </w:drawing>
      </w:r>
      <w:r w:rsidR="00076ED4">
        <w:t xml:space="preserve"> </w:t>
      </w:r>
    </w:p>
    <w:p w14:paraId="606E700F" w14:textId="048438A1" w:rsidR="005F2729" w:rsidRDefault="005F2729" w:rsidP="005F2729">
      <w:pPr>
        <w:pStyle w:val="BodyText"/>
      </w:pPr>
      <w:r>
        <w:t>The next screen asks for fuel prices.</w:t>
      </w:r>
      <w:r w:rsidR="00330080">
        <w:t xml:space="preserve"> </w:t>
      </w:r>
      <w:r>
        <w:t xml:space="preserve">The user can enter fuel prices </w:t>
      </w:r>
      <w:r w:rsidR="003719A0">
        <w:t>and select from fuel</w:t>
      </w:r>
      <w:r>
        <w:t xml:space="preserve"> units via a pull down menu.</w:t>
      </w:r>
      <w:r w:rsidR="00330080">
        <w:t xml:space="preserve"> </w:t>
      </w:r>
      <w:r>
        <w:t>Default fuel prices are shown in this screen.</w:t>
      </w:r>
      <w:r w:rsidR="00330080">
        <w:t xml:space="preserve"> </w:t>
      </w:r>
      <w:r w:rsidR="004F43AA">
        <w:t xml:space="preserve">See Section </w:t>
      </w:r>
      <w:r w:rsidR="00C86FBF">
        <w:t>5</w:t>
      </w:r>
      <w:r w:rsidR="004F43AA">
        <w:t xml:space="preserve">.3 for further information on fuel costs and Section </w:t>
      </w:r>
      <w:r w:rsidR="00C86FBF">
        <w:t>5</w:t>
      </w:r>
      <w:r w:rsidR="004F43AA">
        <w:t>.2 for further information on electricity generation mix for electric vehicle charging.</w:t>
      </w:r>
    </w:p>
    <w:p w14:paraId="07CDD2F5" w14:textId="1A0BE613" w:rsidR="005F2729" w:rsidRDefault="00321CE8" w:rsidP="005F2729">
      <w:pPr>
        <w:pStyle w:val="BodyText"/>
        <w:jc w:val="center"/>
      </w:pPr>
      <w:r>
        <w:rPr>
          <w:noProof/>
        </w:rPr>
        <w:lastRenderedPageBreak/>
        <w:drawing>
          <wp:inline distT="0" distB="0" distL="0" distR="0" wp14:anchorId="55861B47" wp14:editId="4A36AC8C">
            <wp:extent cx="5943600" cy="271462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b="4385"/>
                    <a:stretch/>
                  </pic:blipFill>
                  <pic:spPr bwMode="auto">
                    <a:xfrm>
                      <a:off x="0" y="0"/>
                      <a:ext cx="5943600" cy="27146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A389650" w14:textId="28DBA182" w:rsidR="00076ED4" w:rsidRDefault="00076ED4" w:rsidP="00BB7EB6">
      <w:pPr>
        <w:pStyle w:val="BodyText"/>
      </w:pPr>
      <w:r>
        <w:t>The next screen provides cost data for t</w:t>
      </w:r>
      <w:r w:rsidR="00642A87">
        <w:t>he new vehicles or equipment.</w:t>
      </w:r>
    </w:p>
    <w:p w14:paraId="641A792A" w14:textId="255320B5" w:rsidR="00076ED4" w:rsidRDefault="00642A87" w:rsidP="00BB7EB6">
      <w:pPr>
        <w:pStyle w:val="BodyText"/>
      </w:pPr>
      <w:r>
        <w:rPr>
          <w:noProof/>
        </w:rPr>
        <w:drawing>
          <wp:inline distT="0" distB="0" distL="0" distR="0" wp14:anchorId="011A819F" wp14:editId="2369A4DB">
            <wp:extent cx="5943600" cy="3286125"/>
            <wp:effectExtent l="19050" t="19050" r="19050" b="285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b="5875"/>
                    <a:stretch/>
                  </pic:blipFill>
                  <pic:spPr bwMode="auto">
                    <a:xfrm>
                      <a:off x="0" y="0"/>
                      <a:ext cx="5943600" cy="32861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4F5C29E" w14:textId="2E865D96" w:rsidR="00377417" w:rsidRDefault="005F2729" w:rsidP="00BB7EB6">
      <w:pPr>
        <w:pStyle w:val="BodyText"/>
      </w:pPr>
      <w:r>
        <w:t xml:space="preserve">When the user clicks </w:t>
      </w:r>
      <w:r w:rsidR="003719A0">
        <w:t>”N</w:t>
      </w:r>
      <w:r w:rsidR="00215538">
        <w:t>ext</w:t>
      </w:r>
      <w:r w:rsidR="003719A0">
        <w:t>”</w:t>
      </w:r>
      <w:r>
        <w:t>, the Tool will calculate benefits and costs for all the strategies for the given truck type.</w:t>
      </w:r>
      <w:r w:rsidR="00330080">
        <w:t xml:space="preserve"> </w:t>
      </w:r>
      <w:r w:rsidR="00F763F5">
        <w:t xml:space="preserve">The </w:t>
      </w:r>
      <w:r w:rsidR="003719A0">
        <w:t>table of results</w:t>
      </w:r>
      <w:r>
        <w:t xml:space="preserve"> shows the number of trucks that can be modified/replaced based upon the investment amount, the emissions reduced</w:t>
      </w:r>
      <w:r w:rsidR="00CD5EA4">
        <w:t xml:space="preserve"> in short tons</w:t>
      </w:r>
      <w:r>
        <w:t>, and the cost effectiveness of the emissions reduced based upon the investment amount</w:t>
      </w:r>
      <w:r w:rsidR="00993161">
        <w:t xml:space="preserve">. </w:t>
      </w:r>
      <w:r w:rsidR="00377417">
        <w:t>An example of the output is shown on the next page.</w:t>
      </w:r>
      <w:r w:rsidR="00215538">
        <w:t xml:space="preserve"> Again a detailed output can be provided by clicking the “Go to Formatted Results” button and a copy of both outputs can be saved to an Excel file by clicking the Excel button.</w:t>
      </w:r>
      <w:r w:rsidR="00377417">
        <w:t xml:space="preserve">  </w:t>
      </w:r>
    </w:p>
    <w:p w14:paraId="42DFABB0" w14:textId="77777777" w:rsidR="00377417" w:rsidRDefault="00377417" w:rsidP="00BB7EB6">
      <w:pPr>
        <w:pStyle w:val="BodyText"/>
        <w:sectPr w:rsidR="00377417" w:rsidSect="002D3BE2">
          <w:headerReference w:type="first" r:id="rId58"/>
          <w:footerReference w:type="first" r:id="rId59"/>
          <w:pgSz w:w="12240" w:h="15840"/>
          <w:pgMar w:top="1440" w:right="1440" w:bottom="1440" w:left="1440" w:header="576" w:footer="576" w:gutter="0"/>
          <w:pgNumType w:chapStyle="6"/>
          <w:cols w:space="720"/>
          <w:titlePg/>
          <w:docGrid w:linePitch="360"/>
        </w:sectPr>
      </w:pPr>
    </w:p>
    <w:p w14:paraId="4CDC2045" w14:textId="048BA746" w:rsidR="00377417" w:rsidRDefault="004F20F9" w:rsidP="00BB7EB6">
      <w:pPr>
        <w:pStyle w:val="BodyText"/>
      </w:pPr>
      <w:r w:rsidRPr="004F20F9">
        <w:rPr>
          <w:noProof/>
        </w:rPr>
        <w:lastRenderedPageBreak/>
        <w:drawing>
          <wp:inline distT="0" distB="0" distL="0" distR="0" wp14:anchorId="5EF7C5F1" wp14:editId="5267C92C">
            <wp:extent cx="8229600" cy="144780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229600" cy="1447800"/>
                    </a:xfrm>
                    <a:prstGeom prst="rect">
                      <a:avLst/>
                    </a:prstGeom>
                    <a:ln>
                      <a:solidFill>
                        <a:schemeClr val="tx1"/>
                      </a:solidFill>
                    </a:ln>
                  </pic:spPr>
                </pic:pic>
              </a:graphicData>
            </a:graphic>
          </wp:inline>
        </w:drawing>
      </w:r>
    </w:p>
    <w:p w14:paraId="7C9CD263" w14:textId="56979609" w:rsidR="004F20F9" w:rsidRDefault="004F20F9" w:rsidP="00BB7EB6">
      <w:pPr>
        <w:pStyle w:val="BodyText"/>
      </w:pPr>
      <w:r>
        <w:rPr>
          <w:noProof/>
        </w:rPr>
        <w:drawing>
          <wp:inline distT="0" distB="0" distL="0" distR="0" wp14:anchorId="1063AE57" wp14:editId="52BA359C">
            <wp:extent cx="8229600" cy="3237865"/>
            <wp:effectExtent l="19050" t="19050" r="19050" b="196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8229600" cy="3237865"/>
                    </a:xfrm>
                    <a:prstGeom prst="rect">
                      <a:avLst/>
                    </a:prstGeom>
                    <a:ln>
                      <a:solidFill>
                        <a:schemeClr val="tx1"/>
                      </a:solidFill>
                    </a:ln>
                  </pic:spPr>
                </pic:pic>
              </a:graphicData>
            </a:graphic>
          </wp:inline>
        </w:drawing>
      </w:r>
    </w:p>
    <w:p w14:paraId="47DEE3F6" w14:textId="77777777" w:rsidR="00377417" w:rsidRDefault="00377417" w:rsidP="00BB7EB6">
      <w:pPr>
        <w:pStyle w:val="BodyText"/>
        <w:sectPr w:rsidR="00377417" w:rsidSect="00377417">
          <w:footerReference w:type="default" r:id="rId62"/>
          <w:footerReference w:type="first" r:id="rId63"/>
          <w:pgSz w:w="15840" w:h="12240" w:orient="landscape"/>
          <w:pgMar w:top="1440" w:right="1440" w:bottom="1440" w:left="1440" w:header="576" w:footer="576" w:gutter="0"/>
          <w:pgNumType w:chapStyle="6"/>
          <w:cols w:space="720"/>
          <w:titlePg/>
          <w:docGrid w:linePitch="360"/>
        </w:sectPr>
      </w:pPr>
    </w:p>
    <w:p w14:paraId="60A4B074" w14:textId="77777777" w:rsidR="002D3BE2" w:rsidRPr="000445D4" w:rsidRDefault="002D3BE2" w:rsidP="009C29A8">
      <w:pPr>
        <w:pStyle w:val="Heading2"/>
      </w:pPr>
      <w:bookmarkStart w:id="53" w:name="_Toc482973559"/>
      <w:r>
        <w:lastRenderedPageBreak/>
        <w:t>Incentive</w:t>
      </w:r>
      <w:r w:rsidRPr="000445D4">
        <w:t xml:space="preserve"> Analysis</w:t>
      </w:r>
      <w:bookmarkEnd w:id="53"/>
    </w:p>
    <w:p w14:paraId="2912313A" w14:textId="57A68F76" w:rsidR="00F763F5" w:rsidRDefault="00F763F5" w:rsidP="00F763F5">
      <w:pPr>
        <w:pStyle w:val="BodyText"/>
      </w:pPr>
      <w:r>
        <w:t xml:space="preserve">In the Incentive Analysis, users can analyze the payback period for truck owners if only part of the strategy incremental cost is covered. If the strategy results in fuel cost savings for the truck owner, the public agency will typically cover only a portion of the strategy cost, assuming that owners will be willing to cover the remaining cost. Public agencies will typically seek to set the incentive amount at the lowest level that still generates owner interest in order to maximize the emissions benefits of the public funding. </w:t>
      </w:r>
    </w:p>
    <w:p w14:paraId="39F744CE" w14:textId="66ABF4DF" w:rsidR="00F763F5" w:rsidRDefault="00F763F5" w:rsidP="00F763F5">
      <w:pPr>
        <w:pStyle w:val="BodyText"/>
      </w:pPr>
      <w:r>
        <w:t xml:space="preserve">For this type of analysis, the </w:t>
      </w:r>
      <w:r w:rsidR="003719A0">
        <w:t>user will select</w:t>
      </w:r>
      <w:r>
        <w:t xml:space="preserve"> a strategy and </w:t>
      </w:r>
      <w:r w:rsidR="003719A0">
        <w:t xml:space="preserve">targeted </w:t>
      </w:r>
      <w:r>
        <w:t>truck type. The Tool will calculate the payback period for the truck owner (</w:t>
      </w:r>
      <w:r w:rsidR="00893B8E">
        <w:t xml:space="preserve">i.e., </w:t>
      </w:r>
      <w:r>
        <w:t xml:space="preserve">how many years it would take for the fuel savings to cover the </w:t>
      </w:r>
      <w:r w:rsidR="00644913">
        <w:t xml:space="preserve">amount </w:t>
      </w:r>
      <w:r w:rsidR="00893B8E">
        <w:t>the owner paid for the truck</w:t>
      </w:r>
      <w:r>
        <w:t xml:space="preserve">), emissions benefits, and cost effectiveness. The options for specifying incentive levels are 25, 50, and 75 percent of the </w:t>
      </w:r>
      <w:r w:rsidR="00893B8E">
        <w:t>truck or equipment</w:t>
      </w:r>
      <w:r>
        <w:t xml:space="preserve"> cost. </w:t>
      </w:r>
    </w:p>
    <w:p w14:paraId="5E17584B" w14:textId="1EBEC47F" w:rsidR="00680EC8" w:rsidRDefault="00680EC8" w:rsidP="00680EC8">
      <w:pPr>
        <w:pStyle w:val="BodyText"/>
      </w:pPr>
      <w:r>
        <w:t xml:space="preserve">The first choice the user will make is choosing the incentive analysis as shown below and then click </w:t>
      </w:r>
      <w:r w:rsidR="00893B8E">
        <w:t>“Next”</w:t>
      </w:r>
      <w:r w:rsidR="00644913">
        <w:t>.</w:t>
      </w:r>
    </w:p>
    <w:p w14:paraId="40A31DB2" w14:textId="11E6FE4C" w:rsidR="00B81425" w:rsidRDefault="00215538" w:rsidP="00680EC8">
      <w:pPr>
        <w:pStyle w:val="BodyText"/>
      </w:pPr>
      <w:r>
        <w:rPr>
          <w:noProof/>
        </w:rPr>
        <w:drawing>
          <wp:inline distT="0" distB="0" distL="0" distR="0" wp14:anchorId="17C0C0B9" wp14:editId="535F70F2">
            <wp:extent cx="5943600" cy="4545965"/>
            <wp:effectExtent l="19050" t="19050" r="19050" b="260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4545965"/>
                    </a:xfrm>
                    <a:prstGeom prst="rect">
                      <a:avLst/>
                    </a:prstGeom>
                    <a:ln>
                      <a:solidFill>
                        <a:schemeClr val="tx1"/>
                      </a:solidFill>
                    </a:ln>
                  </pic:spPr>
                </pic:pic>
              </a:graphicData>
            </a:graphic>
          </wp:inline>
        </w:drawing>
      </w:r>
    </w:p>
    <w:p w14:paraId="4CB71772" w14:textId="77777777" w:rsidR="00B81425" w:rsidRDefault="00F763F5" w:rsidP="00680EC8">
      <w:pPr>
        <w:pStyle w:val="BodyText"/>
      </w:pPr>
      <w:r>
        <w:lastRenderedPageBreak/>
        <w:t>The user then chooses the analysis year, the geographic area, the truck type, and the modification type, as illustrated below</w:t>
      </w:r>
      <w:r w:rsidR="00CD5EA4">
        <w:t>.</w:t>
      </w:r>
    </w:p>
    <w:p w14:paraId="270B4BD4" w14:textId="45577ABC" w:rsidR="00680EC8" w:rsidRDefault="00642A87" w:rsidP="00680EC8">
      <w:pPr>
        <w:pStyle w:val="BodyText"/>
      </w:pPr>
      <w:r>
        <w:rPr>
          <w:noProof/>
        </w:rPr>
        <w:drawing>
          <wp:inline distT="0" distB="0" distL="0" distR="0" wp14:anchorId="480C4926" wp14:editId="45CB0A4C">
            <wp:extent cx="5943600" cy="2400300"/>
            <wp:effectExtent l="19050" t="19050" r="19050" b="190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2400300"/>
                    </a:xfrm>
                    <a:prstGeom prst="rect">
                      <a:avLst/>
                    </a:prstGeom>
                    <a:ln>
                      <a:solidFill>
                        <a:schemeClr val="tx1"/>
                      </a:solidFill>
                    </a:ln>
                  </pic:spPr>
                </pic:pic>
              </a:graphicData>
            </a:graphic>
          </wp:inline>
        </w:drawing>
      </w:r>
    </w:p>
    <w:p w14:paraId="7768CE91" w14:textId="4D3692BF" w:rsidR="00246D62" w:rsidRDefault="00F763F5" w:rsidP="00680EC8">
      <w:pPr>
        <w:pStyle w:val="BodyText"/>
      </w:pPr>
      <w:r>
        <w:t xml:space="preserve">The Tool will then display the modification details screens similar to those shown in Section </w:t>
      </w:r>
      <w:r w:rsidR="00642A87">
        <w:t>4.3</w:t>
      </w:r>
      <w:r>
        <w:t xml:space="preserve"> along with the user entry/defaults for mileage accumulation, extended idle, vehicles to be replaced, etc.</w:t>
      </w:r>
      <w:r w:rsidR="00330080">
        <w:t xml:space="preserve"> </w:t>
      </w:r>
      <w:r>
        <w:t xml:space="preserve">Once the user clicks </w:t>
      </w:r>
      <w:r w:rsidR="00893B8E">
        <w:t>to the Results screen</w:t>
      </w:r>
      <w:r>
        <w:t xml:space="preserve">, the Tool will examine the modification selected and calculate agency costs for a 25, 50, and 75 percent incentive plus the number of years it will take for the </w:t>
      </w:r>
      <w:r w:rsidR="00893B8E">
        <w:t xml:space="preserve">truck owner </w:t>
      </w:r>
      <w:r>
        <w:t xml:space="preserve">to </w:t>
      </w:r>
      <w:r w:rsidR="00893B8E">
        <w:t>recover the</w:t>
      </w:r>
      <w:r>
        <w:t xml:space="preserve"> capital costs</w:t>
      </w:r>
      <w:r w:rsidR="00893B8E">
        <w:t xml:space="preserve"> he or she paid</w:t>
      </w:r>
      <w:r>
        <w:t xml:space="preserve"> with </w:t>
      </w:r>
      <w:r w:rsidR="00893B8E">
        <w:t xml:space="preserve">the amount saved in reduced </w:t>
      </w:r>
      <w:r>
        <w:t>fuel cost</w:t>
      </w:r>
      <w:r w:rsidR="00893B8E">
        <w:t>s</w:t>
      </w:r>
      <w:r>
        <w:t>.</w:t>
      </w:r>
      <w:r w:rsidR="00642A87">
        <w:t xml:space="preserve"> More details can be </w:t>
      </w:r>
      <w:r w:rsidR="00893B8E">
        <w:t xml:space="preserve">viewed </w:t>
      </w:r>
      <w:r w:rsidR="00642A87">
        <w:t xml:space="preserve">using the “Go to Formatted </w:t>
      </w:r>
      <w:r w:rsidR="00893B8E">
        <w:t>Results</w:t>
      </w:r>
      <w:r w:rsidR="00642A87">
        <w:t>” button and both outputs can be saved to an Excel file by clicking the Excel button.</w:t>
      </w:r>
      <w:r w:rsidR="00330080">
        <w:t xml:space="preserve"> </w:t>
      </w:r>
      <w:r>
        <w:t>Only those modifications that provide fuel savings are allowed for this type of analysis</w:t>
      </w:r>
      <w:r w:rsidR="00B629D0">
        <w:t>.</w:t>
      </w:r>
      <w:r w:rsidR="00BC266D">
        <w:t xml:space="preserve"> </w:t>
      </w:r>
      <w:r w:rsidR="00893B8E">
        <w:t>E</w:t>
      </w:r>
      <w:r w:rsidR="00BC266D">
        <w:t>missions</w:t>
      </w:r>
      <w:r w:rsidR="00893B8E">
        <w:t xml:space="preserve"> results</w:t>
      </w:r>
      <w:r w:rsidR="00BC266D">
        <w:t xml:space="preserve"> are </w:t>
      </w:r>
      <w:r w:rsidR="00893B8E">
        <w:t xml:space="preserve">displayed </w:t>
      </w:r>
      <w:r w:rsidR="00BC266D">
        <w:t>in short tons.</w:t>
      </w:r>
      <w:r w:rsidR="003F3512">
        <w:t xml:space="preserve"> </w:t>
      </w:r>
    </w:p>
    <w:p w14:paraId="0AC9869E" w14:textId="77777777" w:rsidR="00993161" w:rsidRDefault="00993161" w:rsidP="00680EC8">
      <w:pPr>
        <w:pStyle w:val="BodyText"/>
      </w:pPr>
    </w:p>
    <w:p w14:paraId="703E0B46" w14:textId="77777777" w:rsidR="00246D62" w:rsidRDefault="00246D62" w:rsidP="00680EC8">
      <w:pPr>
        <w:pStyle w:val="BodyText"/>
        <w:sectPr w:rsidR="00246D62" w:rsidSect="002D3BE2">
          <w:footerReference w:type="default" r:id="rId66"/>
          <w:footerReference w:type="first" r:id="rId67"/>
          <w:pgSz w:w="12240" w:h="15840"/>
          <w:pgMar w:top="1440" w:right="1440" w:bottom="1440" w:left="1440" w:header="576" w:footer="576" w:gutter="0"/>
          <w:pgNumType w:chapStyle="6"/>
          <w:cols w:space="720"/>
          <w:titlePg/>
          <w:docGrid w:linePitch="360"/>
        </w:sectPr>
      </w:pPr>
    </w:p>
    <w:p w14:paraId="1375C026" w14:textId="1AEA4600" w:rsidR="00246D62" w:rsidRDefault="00C75AB3" w:rsidP="00680EC8">
      <w:pPr>
        <w:pStyle w:val="BodyText"/>
        <w:rPr>
          <w:noProof/>
        </w:rPr>
      </w:pPr>
      <w:r w:rsidRPr="00C75AB3">
        <w:rPr>
          <w:noProof/>
        </w:rPr>
        <w:lastRenderedPageBreak/>
        <w:drawing>
          <wp:inline distT="0" distB="0" distL="0" distR="0" wp14:anchorId="025E3DF2" wp14:editId="7E98147E">
            <wp:extent cx="8229600" cy="746760"/>
            <wp:effectExtent l="19050" t="19050" r="19050" b="152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8229600" cy="746760"/>
                    </a:xfrm>
                    <a:prstGeom prst="rect">
                      <a:avLst/>
                    </a:prstGeom>
                    <a:ln>
                      <a:solidFill>
                        <a:schemeClr val="tx1"/>
                      </a:solidFill>
                    </a:ln>
                  </pic:spPr>
                </pic:pic>
              </a:graphicData>
            </a:graphic>
          </wp:inline>
        </w:drawing>
      </w:r>
    </w:p>
    <w:p w14:paraId="288C3D5A" w14:textId="390B76A3" w:rsidR="00C75AB3" w:rsidRDefault="00C75AB3" w:rsidP="00680EC8">
      <w:pPr>
        <w:pStyle w:val="BodyText"/>
      </w:pPr>
      <w:r w:rsidRPr="00C75AB3">
        <w:rPr>
          <w:noProof/>
        </w:rPr>
        <w:drawing>
          <wp:inline distT="0" distB="0" distL="0" distR="0" wp14:anchorId="07D327AE" wp14:editId="34FACE1F">
            <wp:extent cx="8229600" cy="2477770"/>
            <wp:effectExtent l="19050" t="19050" r="19050" b="177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8229600" cy="2477770"/>
                    </a:xfrm>
                    <a:prstGeom prst="rect">
                      <a:avLst/>
                    </a:prstGeom>
                    <a:ln>
                      <a:solidFill>
                        <a:schemeClr val="tx1"/>
                      </a:solidFill>
                    </a:ln>
                  </pic:spPr>
                </pic:pic>
              </a:graphicData>
            </a:graphic>
          </wp:inline>
        </w:drawing>
      </w:r>
    </w:p>
    <w:p w14:paraId="27593BFC" w14:textId="77777777" w:rsidR="00B81425" w:rsidRPr="000445D4" w:rsidRDefault="00B81425" w:rsidP="00680EC8">
      <w:pPr>
        <w:pStyle w:val="BodyText"/>
        <w:sectPr w:rsidR="00B81425" w:rsidRPr="000445D4" w:rsidSect="00246D62">
          <w:footerReference w:type="first" r:id="rId70"/>
          <w:pgSz w:w="15840" w:h="12240" w:orient="landscape"/>
          <w:pgMar w:top="1440" w:right="1440" w:bottom="1440" w:left="1440" w:header="576" w:footer="576" w:gutter="0"/>
          <w:pgNumType w:chapStyle="6"/>
          <w:cols w:space="720"/>
          <w:titlePg/>
          <w:docGrid w:linePitch="360"/>
        </w:sectPr>
      </w:pPr>
    </w:p>
    <w:p w14:paraId="255F05A5" w14:textId="77777777" w:rsidR="009C29A8" w:rsidRDefault="009C29A8" w:rsidP="009C29A8">
      <w:pPr>
        <w:pStyle w:val="Heading1"/>
      </w:pPr>
      <w:bookmarkStart w:id="54" w:name="_Toc482973560"/>
      <w:r>
        <w:lastRenderedPageBreak/>
        <w:t>Development of Inputs</w:t>
      </w:r>
      <w:bookmarkEnd w:id="54"/>
    </w:p>
    <w:p w14:paraId="49684F47" w14:textId="77777777" w:rsidR="009C2ADF" w:rsidRDefault="009C2ADF" w:rsidP="009C2ADF">
      <w:pPr>
        <w:pStyle w:val="Heading2"/>
      </w:pPr>
      <w:bookmarkStart w:id="55" w:name="_Toc482973561"/>
      <w:r>
        <w:t>Emission Factors</w:t>
      </w:r>
      <w:bookmarkEnd w:id="55"/>
    </w:p>
    <w:p w14:paraId="41B62372" w14:textId="2F61093B" w:rsidR="00330080" w:rsidRDefault="00330080" w:rsidP="00330080">
      <w:pPr>
        <w:spacing w:after="240" w:line="276" w:lineRule="auto"/>
      </w:pPr>
      <w:r>
        <w:t xml:space="preserve">Emission factors for calculating emissions benefits were developed using EPA’s </w:t>
      </w:r>
      <w:r w:rsidR="00893B8E">
        <w:t>Mo</w:t>
      </w:r>
      <w:r w:rsidR="00893B8E" w:rsidRPr="00893B8E">
        <w:t>tor Vehicle Emission Simulator</w:t>
      </w:r>
      <w:r w:rsidR="00893B8E">
        <w:t xml:space="preserve"> (</w:t>
      </w:r>
      <w:r>
        <w:t>MOVES</w:t>
      </w:r>
      <w:r w:rsidR="00893B8E">
        <w:t>)</w:t>
      </w:r>
      <w:r>
        <w:t xml:space="preserve">. MOVES is EPA’s emission modeling system for on- and off-road motor vehicles. It estimates greenhouse gases and criteria and toxic air pollutants from motor vehicles at the national, county, and project level. </w:t>
      </w:r>
      <w:r w:rsidR="005C33F7">
        <w:t>MOVES2014a, the latest version of MOVES,</w:t>
      </w:r>
      <w:r w:rsidR="005C33F7" w:rsidDel="00893B8E">
        <w:t xml:space="preserve"> </w:t>
      </w:r>
      <w:r>
        <w:t>represents EPA’s current understanding of vehicle emissions, provides an official default dataset of vehicle activity that is readily adaptable to the development of this Tool, and is highly familiar to air-emissions modelers for addressing planning issues, including as air quality conformity.</w:t>
      </w:r>
      <w:r w:rsidRPr="007F145F">
        <w:t xml:space="preserve"> </w:t>
      </w:r>
      <w:r>
        <w:t>Much more information on this model is available from EPA.</w:t>
      </w:r>
      <w:r w:rsidR="00893B8E">
        <w:rPr>
          <w:rStyle w:val="FootnoteReference"/>
        </w:rPr>
        <w:footnoteReference w:id="3"/>
      </w:r>
    </w:p>
    <w:p w14:paraId="123D8951" w14:textId="7F211752" w:rsidR="00330080" w:rsidRDefault="005C33F7" w:rsidP="00330080">
      <w:pPr>
        <w:spacing w:after="240" w:line="276" w:lineRule="auto"/>
      </w:pPr>
      <w:r>
        <w:t>Although MOVES was used to develop factors used in the Tool, the factors are based on general parameters; thus, the results from this Tool cannot be used for conformity or other regulatory purposes. O</w:t>
      </w:r>
      <w:r w:rsidR="009C2ADF">
        <w:t>verall regional</w:t>
      </w:r>
      <w:r w:rsidR="009C2ADF" w:rsidRPr="006C6365">
        <w:t xml:space="preserve"> </w:t>
      </w:r>
      <w:r w:rsidR="009C2ADF">
        <w:t xml:space="preserve">activity parameters and average emission factors representing the activity-weighted mean of the various vehicle types in each region type were produced and incorporated in the </w:t>
      </w:r>
      <w:r>
        <w:t>T</w:t>
      </w:r>
      <w:r w:rsidR="009C2ADF">
        <w:t>ool. These e</w:t>
      </w:r>
      <w:r w:rsidR="009C2ADF" w:rsidRPr="000C2CB4">
        <w:t xml:space="preserve">mission factors </w:t>
      </w:r>
      <w:r w:rsidR="009C2ADF">
        <w:t xml:space="preserve">are typically </w:t>
      </w:r>
      <w:r w:rsidR="009C2ADF" w:rsidRPr="000C2CB4">
        <w:t xml:space="preserve">calculated as total </w:t>
      </w:r>
      <w:r w:rsidR="009C2ADF">
        <w:t xml:space="preserve">running </w:t>
      </w:r>
      <w:r w:rsidR="009C2ADF" w:rsidRPr="000C2CB4">
        <w:t xml:space="preserve">emissions </w:t>
      </w:r>
      <w:r w:rsidR="009C2ADF">
        <w:t>from h</w:t>
      </w:r>
      <w:r w:rsidR="009C2ADF" w:rsidRPr="000C2CB4">
        <w:t xml:space="preserve">ourly outputs </w:t>
      </w:r>
      <w:r w:rsidR="009C2ADF">
        <w:t xml:space="preserve">(in grams </w:t>
      </w:r>
      <w:r>
        <w:t xml:space="preserve">of pollutant </w:t>
      </w:r>
      <w:r w:rsidR="00330080">
        <w:t xml:space="preserve">emitted </w:t>
      </w:r>
      <w:r w:rsidR="009C2ADF">
        <w:t xml:space="preserve">per year) </w:t>
      </w:r>
      <w:r w:rsidR="009C2ADF" w:rsidRPr="000C2CB4">
        <w:t>divided by</w:t>
      </w:r>
      <w:r w:rsidR="009C2ADF">
        <w:t xml:space="preserve"> total running activity (in miles per year) across the modeled region; a similar analysis is made for extended idling emissions for long haul heavy duty trucks. Output emission factors have units of </w:t>
      </w:r>
      <w:r w:rsidR="009C2ADF" w:rsidRPr="000C2CB4">
        <w:t xml:space="preserve">grams of pollutant per </w:t>
      </w:r>
      <w:r w:rsidR="009C2ADF">
        <w:t xml:space="preserve">average </w:t>
      </w:r>
      <w:r w:rsidR="009C2ADF" w:rsidRPr="000C2CB4">
        <w:t xml:space="preserve">mile </w:t>
      </w:r>
      <w:r w:rsidR="009C2ADF">
        <w:t xml:space="preserve">driven </w:t>
      </w:r>
      <w:r w:rsidR="009C2ADF" w:rsidRPr="000C2CB4">
        <w:t xml:space="preserve">or grams of pollutant per </w:t>
      </w:r>
      <w:r w:rsidR="009C2ADF">
        <w:t>average extended idle hour</w:t>
      </w:r>
      <w:r w:rsidR="009C2ADF" w:rsidRPr="000C2CB4">
        <w:t>.</w:t>
      </w:r>
      <w:r w:rsidR="009C2ADF">
        <w:t xml:space="preserve"> </w:t>
      </w:r>
    </w:p>
    <w:p w14:paraId="5DC99B13" w14:textId="77777777" w:rsidR="00B0776A" w:rsidRDefault="00B0776A" w:rsidP="00B0776A">
      <w:pPr>
        <w:pStyle w:val="Heading3"/>
      </w:pPr>
      <w:bookmarkStart w:id="56" w:name="_Toc482973562"/>
      <w:r>
        <w:t>Truck Categories</w:t>
      </w:r>
      <w:bookmarkEnd w:id="56"/>
    </w:p>
    <w:p w14:paraId="1A4F2004" w14:textId="3388ADD6" w:rsidR="00B0776A" w:rsidRPr="00B0776A" w:rsidRDefault="00B0776A" w:rsidP="00B0776A">
      <w:pPr>
        <w:spacing w:after="240" w:line="276" w:lineRule="auto"/>
      </w:pPr>
      <w:r>
        <w:t>Four basic truck types were used for the development of the Too</w:t>
      </w:r>
      <w:r w:rsidR="00DF1597">
        <w:t>l</w:t>
      </w:r>
      <w:r w:rsidR="00330080">
        <w:t xml:space="preserve">, as shown previously in </w:t>
      </w:r>
      <w:r w:rsidR="00833B69">
        <w:fldChar w:fldCharType="begin"/>
      </w:r>
      <w:r w:rsidR="00330080">
        <w:instrText xml:space="preserve"> REF _Ref458515841 \h </w:instrText>
      </w:r>
      <w:r w:rsidR="00833B69">
        <w:fldChar w:fldCharType="separate"/>
      </w:r>
      <w:r w:rsidR="00C42F38">
        <w:t xml:space="preserve">Table </w:t>
      </w:r>
      <w:r w:rsidR="00C42F38">
        <w:rPr>
          <w:noProof/>
        </w:rPr>
        <w:t>4</w:t>
      </w:r>
      <w:r w:rsidR="00833B69">
        <w:fldChar w:fldCharType="end"/>
      </w:r>
      <w:r w:rsidRPr="00B0776A">
        <w:t>. In MOVES, th</w:t>
      </w:r>
      <w:r>
        <w:t>e</w:t>
      </w:r>
      <w:r w:rsidRPr="00B0776A">
        <w:t>se are</w:t>
      </w:r>
      <w:r>
        <w:t xml:space="preserve"> designated as</w:t>
      </w:r>
      <w:r w:rsidRPr="00B0776A">
        <w:t xml:space="preserve"> types 50 and 60 (minus </w:t>
      </w:r>
      <w:r w:rsidR="005C33F7">
        <w:t>refuse</w:t>
      </w:r>
      <w:r w:rsidR="005C33F7" w:rsidRPr="00B0776A">
        <w:t xml:space="preserve"> </w:t>
      </w:r>
      <w:r w:rsidRPr="00B0776A">
        <w:t xml:space="preserve">trucks and motor homes). </w:t>
      </w:r>
    </w:p>
    <w:p w14:paraId="688BF372" w14:textId="77777777" w:rsidR="00B0776A" w:rsidRDefault="00B0776A" w:rsidP="00B0776A">
      <w:pPr>
        <w:pStyle w:val="Heading3"/>
      </w:pPr>
      <w:bookmarkStart w:id="57" w:name="_Toc482973563"/>
      <w:r>
        <w:t>Geographic Categories</w:t>
      </w:r>
      <w:bookmarkEnd w:id="57"/>
    </w:p>
    <w:p w14:paraId="5C074CE1" w14:textId="77777777" w:rsidR="00DF1597" w:rsidRDefault="00DF1597" w:rsidP="00DF1597">
      <w:pPr>
        <w:spacing w:after="240" w:line="276" w:lineRule="auto"/>
      </w:pPr>
      <w:r>
        <w:t>The Tool uses</w:t>
      </w:r>
      <w:r w:rsidRPr="00CF10F2">
        <w:t xml:space="preserve"> </w:t>
      </w:r>
      <w:r>
        <w:t xml:space="preserve">five </w:t>
      </w:r>
      <w:r w:rsidRPr="00CF10F2">
        <w:t xml:space="preserve">geographic </w:t>
      </w:r>
      <w:r>
        <w:t xml:space="preserve">scales, as shown previously in </w:t>
      </w:r>
      <w:r w:rsidR="00833B69">
        <w:fldChar w:fldCharType="begin"/>
      </w:r>
      <w:r>
        <w:instrText xml:space="preserve"> REF _Ref458515711 \h </w:instrText>
      </w:r>
      <w:r w:rsidR="00833B69">
        <w:fldChar w:fldCharType="separate"/>
      </w:r>
      <w:r w:rsidR="00C42F38">
        <w:t xml:space="preserve">Table </w:t>
      </w:r>
      <w:r w:rsidR="00C42F38">
        <w:rPr>
          <w:noProof/>
        </w:rPr>
        <w:t>3</w:t>
      </w:r>
      <w:r w:rsidR="00833B69">
        <w:fldChar w:fldCharType="end"/>
      </w:r>
      <w:r>
        <w:t xml:space="preserve">. Each represents a distinct type of region for vehicle activity, including different road types, settings (rural or urban), and the corresponding drive cycles. The use of MOVES to model these geographic scales is discussed in the subsections below, including a fifth category (off-network) that was included in MOVES for calculation of extended idle emissions. </w:t>
      </w:r>
    </w:p>
    <w:p w14:paraId="1F1D463B" w14:textId="77777777" w:rsidR="00B0776A" w:rsidRDefault="00B0776A" w:rsidP="00B0776A">
      <w:pPr>
        <w:pStyle w:val="Heading4"/>
      </w:pPr>
      <w:r>
        <w:t xml:space="preserve">State </w:t>
      </w:r>
    </w:p>
    <w:p w14:paraId="411C0DE4" w14:textId="77777777" w:rsidR="00B0776A" w:rsidRPr="008F6786" w:rsidRDefault="00B0776A" w:rsidP="008F6786">
      <w:pPr>
        <w:spacing w:after="240" w:line="276" w:lineRule="auto"/>
      </w:pPr>
      <w:r w:rsidRPr="00C037B0">
        <w:t xml:space="preserve">The state </w:t>
      </w:r>
      <w:r w:rsidR="00DF1597">
        <w:t>scale</w:t>
      </w:r>
      <w:r w:rsidRPr="00C037B0">
        <w:t xml:space="preserve"> is intended to represent any state in the nation. Accordingly, </w:t>
      </w:r>
      <w:r>
        <w:t>the</w:t>
      </w:r>
      <w:r w:rsidRPr="00C037B0">
        <w:t xml:space="preserve"> national default</w:t>
      </w:r>
      <w:r>
        <w:t xml:space="preserve"> value in MOVES was used</w:t>
      </w:r>
      <w:r w:rsidRPr="00C037B0">
        <w:t xml:space="preserve"> for all truck types. </w:t>
      </w:r>
      <w:r w:rsidR="008F6786">
        <w:t xml:space="preserve">National averages were used to represent all 50 states, with </w:t>
      </w:r>
      <w:r w:rsidR="008F6786">
        <w:lastRenderedPageBreak/>
        <w:t>national VMT and vehicle populations divided by 50 to represent a state average.</w:t>
      </w:r>
      <w:r w:rsidRPr="00C037B0">
        <w:t xml:space="preserve"> The determination of rural or urban road types is then based on the national average values.</w:t>
      </w:r>
      <w:r w:rsidR="00330080">
        <w:t xml:space="preserve"> </w:t>
      </w:r>
      <w:r w:rsidRPr="008F6786">
        <w:t xml:space="preserve">All four truck types are considered in this geographic </w:t>
      </w:r>
      <w:r w:rsidR="00DF1597">
        <w:t>scale</w:t>
      </w:r>
      <w:r w:rsidRPr="008F6786">
        <w:t xml:space="preserve">. </w:t>
      </w:r>
    </w:p>
    <w:p w14:paraId="6C4DB01A" w14:textId="77777777" w:rsidR="00B0776A" w:rsidRPr="00AC4CF8" w:rsidRDefault="00B0776A" w:rsidP="008F6786">
      <w:pPr>
        <w:pStyle w:val="Heading4"/>
      </w:pPr>
      <w:r w:rsidRPr="00AC4CF8">
        <w:t>Metropolitan</w:t>
      </w:r>
    </w:p>
    <w:p w14:paraId="7B69D233" w14:textId="718C4660" w:rsidR="00DF1597" w:rsidRDefault="00B0776A" w:rsidP="00613C1C">
      <w:pPr>
        <w:spacing w:after="240" w:line="276" w:lineRule="auto"/>
      </w:pPr>
      <w:r w:rsidRPr="008F6786">
        <w:t xml:space="preserve">The metropolitan </w:t>
      </w:r>
      <w:r w:rsidR="00DF1597">
        <w:t>scale</w:t>
      </w:r>
      <w:r w:rsidRPr="008F6786">
        <w:t xml:space="preserve"> is designed to represent metropolitan areas across the country. </w:t>
      </w:r>
      <w:r w:rsidR="008F6786" w:rsidRPr="008F6786">
        <w:t>This was based upon</w:t>
      </w:r>
      <w:r w:rsidRPr="008F6786">
        <w:t xml:space="preserve"> the four largest metropolitan areas in the country</w:t>
      </w:r>
      <w:r w:rsidR="00DF1597">
        <w:t xml:space="preserve">, listed in </w:t>
      </w:r>
      <w:r w:rsidR="00833B69">
        <w:fldChar w:fldCharType="begin"/>
      </w:r>
      <w:r w:rsidR="00613C1C">
        <w:instrText xml:space="preserve"> REF _Ref459532777 \h </w:instrText>
      </w:r>
      <w:r w:rsidR="00833B69">
        <w:fldChar w:fldCharType="separate"/>
      </w:r>
      <w:r w:rsidR="00C42F38">
        <w:t xml:space="preserve">Table </w:t>
      </w:r>
      <w:r w:rsidR="00C42F38">
        <w:rPr>
          <w:noProof/>
        </w:rPr>
        <w:t>13</w:t>
      </w:r>
      <w:r w:rsidR="00833B69">
        <w:fldChar w:fldCharType="end"/>
      </w:r>
      <w:r w:rsidRPr="008F6786">
        <w:t xml:space="preserve">. </w:t>
      </w:r>
      <w:r w:rsidR="005C33F7">
        <w:t>The m</w:t>
      </w:r>
      <w:r w:rsidRPr="008F6786">
        <w:t xml:space="preserve">etropolitan area </w:t>
      </w:r>
      <w:r w:rsidR="008F6786" w:rsidRPr="008F6786">
        <w:t xml:space="preserve">was defined </w:t>
      </w:r>
      <w:r w:rsidRPr="008F6786">
        <w:t>as a core based statistical area.</w:t>
      </w:r>
      <w:r w:rsidRPr="00DF1597">
        <w:rPr>
          <w:vertAlign w:val="superscript"/>
        </w:rPr>
        <w:footnoteReference w:id="4"/>
      </w:r>
      <w:r w:rsidRPr="008F6786">
        <w:t xml:space="preserve"> This definition follows US Census conventions and allows capture of fringe areas intimately related to the urban core. </w:t>
      </w:r>
      <w:r w:rsidR="00DF1597">
        <w:rPr>
          <w:rFonts w:eastAsia="Times New Roman"/>
        </w:rPr>
        <w:t xml:space="preserve">MOVES was run for </w:t>
      </w:r>
      <w:r w:rsidR="00DF1597">
        <w:rPr>
          <w:rFonts w:eastAsia="Times New Roman"/>
          <w:color w:val="000000"/>
        </w:rPr>
        <w:t>each of these counties and results averaged over the set of counties to determine metropolitan parameters. Regional parameters, such as vehicle population and VMT, are determined as the total of all counties listed divided by 4. All four truck types are considered in this geographic scale.</w:t>
      </w:r>
    </w:p>
    <w:p w14:paraId="25B1D901" w14:textId="746EEAA1" w:rsidR="00DF1597" w:rsidRDefault="00DF1597" w:rsidP="00DF1597">
      <w:pPr>
        <w:pStyle w:val="TableCaption"/>
      </w:pPr>
      <w:bookmarkStart w:id="58" w:name="_Ref459532777"/>
      <w:bookmarkStart w:id="59" w:name="_Toc482973593"/>
      <w:r>
        <w:t xml:space="preserve">Table </w:t>
      </w:r>
      <w:r w:rsidR="00833B69">
        <w:fldChar w:fldCharType="begin"/>
      </w:r>
      <w:r>
        <w:instrText xml:space="preserve"> SEQ Table \* ARABIC </w:instrText>
      </w:r>
      <w:r w:rsidR="00833B69">
        <w:fldChar w:fldCharType="separate"/>
      </w:r>
      <w:r w:rsidR="00305706">
        <w:t>13</w:t>
      </w:r>
      <w:r w:rsidR="00833B69">
        <w:fldChar w:fldCharType="end"/>
      </w:r>
      <w:bookmarkEnd w:id="58"/>
      <w:r>
        <w:t>. Core-based Statistical Areas Used in the MOVES Modeling Supporting the Tool’s Metropolitan Geogra</w:t>
      </w:r>
      <w:r w:rsidR="00A05A7F">
        <w:t>p</w:t>
      </w:r>
      <w:r>
        <w:t>hic Scale</w:t>
      </w:r>
      <w:bookmarkEnd w:id="59"/>
    </w:p>
    <w:tbl>
      <w:tblPr>
        <w:tblStyle w:val="TemplateTable"/>
        <w:tblW w:w="0" w:type="auto"/>
        <w:tblLook w:val="04A0" w:firstRow="1" w:lastRow="0" w:firstColumn="1" w:lastColumn="0" w:noHBand="0" w:noVBand="1"/>
      </w:tblPr>
      <w:tblGrid>
        <w:gridCol w:w="4675"/>
        <w:gridCol w:w="4675"/>
      </w:tblGrid>
      <w:tr w:rsidR="008F6786" w14:paraId="4F1D8C57" w14:textId="77777777" w:rsidTr="002566F1">
        <w:trPr>
          <w:cnfStyle w:val="100000000000" w:firstRow="1" w:lastRow="0" w:firstColumn="0" w:lastColumn="0" w:oddVBand="0" w:evenVBand="0" w:oddHBand="0" w:evenHBand="0" w:firstRowFirstColumn="0" w:firstRowLastColumn="0" w:lastRowFirstColumn="0" w:lastRowLastColumn="0"/>
          <w:trHeight w:val="259"/>
        </w:trPr>
        <w:tc>
          <w:tcPr>
            <w:tcW w:w="4675" w:type="dxa"/>
            <w:tcBorders>
              <w:bottom w:val="single" w:sz="4" w:space="0" w:color="0070C0"/>
            </w:tcBorders>
          </w:tcPr>
          <w:p w14:paraId="32DEB330" w14:textId="77777777" w:rsidR="008F6786" w:rsidRPr="00613C1C" w:rsidRDefault="008F6786" w:rsidP="002566F1">
            <w:pPr>
              <w:rPr>
                <w:szCs w:val="20"/>
              </w:rPr>
            </w:pPr>
            <w:r w:rsidRPr="00613C1C">
              <w:rPr>
                <w:szCs w:val="20"/>
              </w:rPr>
              <w:t>Region</w:t>
            </w:r>
          </w:p>
        </w:tc>
        <w:tc>
          <w:tcPr>
            <w:tcW w:w="4675" w:type="dxa"/>
            <w:tcBorders>
              <w:bottom w:val="single" w:sz="4" w:space="0" w:color="0070C0"/>
            </w:tcBorders>
          </w:tcPr>
          <w:p w14:paraId="248CF847" w14:textId="77777777" w:rsidR="008F6786" w:rsidRPr="00613C1C" w:rsidRDefault="008F6786" w:rsidP="002566F1">
            <w:pPr>
              <w:rPr>
                <w:szCs w:val="20"/>
              </w:rPr>
            </w:pPr>
            <w:r w:rsidRPr="00613C1C">
              <w:rPr>
                <w:szCs w:val="20"/>
              </w:rPr>
              <w:t>Related County</w:t>
            </w:r>
          </w:p>
        </w:tc>
      </w:tr>
      <w:tr w:rsidR="008F6786" w14:paraId="5236DE9F" w14:textId="77777777" w:rsidTr="002566F1">
        <w:trPr>
          <w:trHeight w:val="259"/>
        </w:trPr>
        <w:tc>
          <w:tcPr>
            <w:tcW w:w="4675" w:type="dxa"/>
            <w:vMerge w:val="restart"/>
            <w:tcBorders>
              <w:top w:val="single" w:sz="4" w:space="0" w:color="0070C0"/>
              <w:left w:val="single" w:sz="4" w:space="0" w:color="0070C0"/>
              <w:bottom w:val="single" w:sz="4" w:space="0" w:color="0070C0"/>
              <w:right w:val="single" w:sz="4" w:space="0" w:color="0070C0"/>
            </w:tcBorders>
            <w:vAlign w:val="center"/>
          </w:tcPr>
          <w:p w14:paraId="3B9DC98F" w14:textId="77777777" w:rsidR="008F6786" w:rsidRPr="00613C1C" w:rsidRDefault="008F6786" w:rsidP="002566F1">
            <w:pPr>
              <w:ind w:left="27"/>
              <w:textAlignment w:val="center"/>
              <w:rPr>
                <w:szCs w:val="20"/>
              </w:rPr>
            </w:pPr>
            <w:r w:rsidRPr="00613C1C">
              <w:rPr>
                <w:rFonts w:eastAsia="Times New Roman"/>
                <w:color w:val="000000"/>
                <w:szCs w:val="20"/>
              </w:rPr>
              <w:t>New York-Newark-Jersey City, NY-NJ-PA</w:t>
            </w:r>
          </w:p>
        </w:tc>
        <w:tc>
          <w:tcPr>
            <w:tcW w:w="4675" w:type="dxa"/>
            <w:tcBorders>
              <w:top w:val="single" w:sz="4" w:space="0" w:color="0070C0"/>
              <w:left w:val="single" w:sz="4" w:space="0" w:color="0070C0"/>
              <w:bottom w:val="single" w:sz="4" w:space="0" w:color="0070C0"/>
              <w:right w:val="single" w:sz="4" w:space="0" w:color="0070C0"/>
            </w:tcBorders>
            <w:vAlign w:val="center"/>
          </w:tcPr>
          <w:p w14:paraId="2F4A58A1" w14:textId="77777777" w:rsidR="008F6786" w:rsidRPr="00613C1C" w:rsidRDefault="008F6786" w:rsidP="002566F1">
            <w:pPr>
              <w:rPr>
                <w:szCs w:val="20"/>
              </w:rPr>
            </w:pPr>
            <w:r w:rsidRPr="00613C1C">
              <w:rPr>
                <w:rFonts w:eastAsia="Times New Roman"/>
                <w:color w:val="000000"/>
                <w:szCs w:val="20"/>
              </w:rPr>
              <w:t>Dutchess County,</w:t>
            </w:r>
            <w:r w:rsidR="00DF1597" w:rsidRPr="00613C1C">
              <w:rPr>
                <w:rFonts w:eastAsia="Times New Roman"/>
                <w:color w:val="000000"/>
                <w:szCs w:val="20"/>
              </w:rPr>
              <w:t xml:space="preserve"> NY</w:t>
            </w:r>
          </w:p>
        </w:tc>
      </w:tr>
      <w:tr w:rsidR="008F6786" w14:paraId="266731EA" w14:textId="77777777" w:rsidTr="002566F1">
        <w:trPr>
          <w:trHeight w:val="259"/>
        </w:trPr>
        <w:tc>
          <w:tcPr>
            <w:tcW w:w="4675" w:type="dxa"/>
            <w:vMerge/>
            <w:tcBorders>
              <w:top w:val="single" w:sz="4" w:space="0" w:color="0070C0"/>
              <w:left w:val="single" w:sz="4" w:space="0" w:color="0070C0"/>
              <w:bottom w:val="single" w:sz="4" w:space="0" w:color="0070C0"/>
              <w:right w:val="single" w:sz="4" w:space="0" w:color="0070C0"/>
            </w:tcBorders>
            <w:vAlign w:val="center"/>
          </w:tcPr>
          <w:p w14:paraId="1E075434" w14:textId="77777777" w:rsidR="008F6786" w:rsidRPr="00613C1C" w:rsidRDefault="008F6786"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1A360B96" w14:textId="77777777" w:rsidR="008F6786" w:rsidRPr="00613C1C" w:rsidRDefault="008F6786" w:rsidP="002566F1">
            <w:pPr>
              <w:rPr>
                <w:szCs w:val="20"/>
              </w:rPr>
            </w:pPr>
            <w:r w:rsidRPr="00613C1C">
              <w:rPr>
                <w:rFonts w:eastAsia="Times New Roman"/>
                <w:color w:val="000000"/>
                <w:szCs w:val="20"/>
              </w:rPr>
              <w:t>Putnam County,</w:t>
            </w:r>
            <w:r w:rsidR="00DF1597" w:rsidRPr="00613C1C">
              <w:rPr>
                <w:rFonts w:eastAsia="Times New Roman"/>
                <w:color w:val="000000"/>
                <w:szCs w:val="20"/>
              </w:rPr>
              <w:t xml:space="preserve"> NY</w:t>
            </w:r>
          </w:p>
        </w:tc>
      </w:tr>
      <w:tr w:rsidR="008F6786" w14:paraId="3B6789D4" w14:textId="77777777" w:rsidTr="002566F1">
        <w:trPr>
          <w:trHeight w:val="259"/>
        </w:trPr>
        <w:tc>
          <w:tcPr>
            <w:tcW w:w="4675" w:type="dxa"/>
            <w:vMerge/>
            <w:tcBorders>
              <w:top w:val="single" w:sz="4" w:space="0" w:color="0070C0"/>
              <w:left w:val="single" w:sz="4" w:space="0" w:color="0070C0"/>
              <w:bottom w:val="single" w:sz="4" w:space="0" w:color="0070C0"/>
              <w:right w:val="single" w:sz="4" w:space="0" w:color="0070C0"/>
            </w:tcBorders>
            <w:vAlign w:val="center"/>
          </w:tcPr>
          <w:p w14:paraId="5FF2AF3A" w14:textId="77777777" w:rsidR="008F6786" w:rsidRPr="00613C1C" w:rsidRDefault="008F6786"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7C39405F" w14:textId="77777777" w:rsidR="008F6786" w:rsidRPr="00613C1C" w:rsidRDefault="008F6786" w:rsidP="002566F1">
            <w:pPr>
              <w:rPr>
                <w:szCs w:val="20"/>
              </w:rPr>
            </w:pPr>
            <w:r w:rsidRPr="00613C1C">
              <w:rPr>
                <w:rFonts w:eastAsia="Times New Roman"/>
                <w:color w:val="000000"/>
                <w:szCs w:val="20"/>
              </w:rPr>
              <w:t>Nassau County,</w:t>
            </w:r>
            <w:r w:rsidR="00DF1597" w:rsidRPr="00613C1C">
              <w:rPr>
                <w:rFonts w:eastAsia="Times New Roman"/>
                <w:color w:val="000000"/>
                <w:szCs w:val="20"/>
              </w:rPr>
              <w:t xml:space="preserve"> NY</w:t>
            </w:r>
          </w:p>
        </w:tc>
      </w:tr>
      <w:tr w:rsidR="008F6786" w14:paraId="552E4A70" w14:textId="77777777" w:rsidTr="002566F1">
        <w:trPr>
          <w:trHeight w:val="259"/>
        </w:trPr>
        <w:tc>
          <w:tcPr>
            <w:tcW w:w="4675" w:type="dxa"/>
            <w:vMerge/>
            <w:tcBorders>
              <w:top w:val="single" w:sz="4" w:space="0" w:color="0070C0"/>
              <w:left w:val="single" w:sz="4" w:space="0" w:color="0070C0"/>
              <w:bottom w:val="single" w:sz="4" w:space="0" w:color="0070C0"/>
              <w:right w:val="single" w:sz="4" w:space="0" w:color="0070C0"/>
            </w:tcBorders>
            <w:vAlign w:val="center"/>
          </w:tcPr>
          <w:p w14:paraId="0E1F53AC" w14:textId="77777777" w:rsidR="008F6786" w:rsidRPr="00613C1C" w:rsidRDefault="008F6786"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62D9B62A" w14:textId="77777777" w:rsidR="008F6786" w:rsidRPr="00613C1C" w:rsidRDefault="008F6786" w:rsidP="002566F1">
            <w:pPr>
              <w:rPr>
                <w:szCs w:val="20"/>
              </w:rPr>
            </w:pPr>
            <w:r w:rsidRPr="00613C1C">
              <w:rPr>
                <w:rFonts w:eastAsia="Times New Roman"/>
                <w:color w:val="000000"/>
                <w:szCs w:val="20"/>
              </w:rPr>
              <w:t>Suffolk County,</w:t>
            </w:r>
            <w:r w:rsidR="00DF1597" w:rsidRPr="00613C1C">
              <w:rPr>
                <w:rFonts w:eastAsia="Times New Roman"/>
                <w:color w:val="000000"/>
                <w:szCs w:val="20"/>
              </w:rPr>
              <w:t xml:space="preserve"> NY</w:t>
            </w:r>
          </w:p>
        </w:tc>
      </w:tr>
      <w:tr w:rsidR="008F6786" w14:paraId="6151C708" w14:textId="77777777" w:rsidTr="002566F1">
        <w:trPr>
          <w:trHeight w:val="259"/>
        </w:trPr>
        <w:tc>
          <w:tcPr>
            <w:tcW w:w="4675" w:type="dxa"/>
            <w:vMerge/>
            <w:tcBorders>
              <w:top w:val="single" w:sz="4" w:space="0" w:color="0070C0"/>
              <w:left w:val="single" w:sz="4" w:space="0" w:color="0070C0"/>
              <w:bottom w:val="single" w:sz="4" w:space="0" w:color="0070C0"/>
              <w:right w:val="single" w:sz="4" w:space="0" w:color="0070C0"/>
            </w:tcBorders>
            <w:vAlign w:val="center"/>
          </w:tcPr>
          <w:p w14:paraId="6BEA9B14" w14:textId="77777777" w:rsidR="008F6786" w:rsidRPr="00613C1C" w:rsidRDefault="008F6786"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224C39CA" w14:textId="77777777" w:rsidR="008F6786" w:rsidRPr="00613C1C" w:rsidRDefault="008F6786" w:rsidP="002566F1">
            <w:pPr>
              <w:rPr>
                <w:szCs w:val="20"/>
              </w:rPr>
            </w:pPr>
            <w:r w:rsidRPr="00613C1C">
              <w:rPr>
                <w:rFonts w:eastAsia="Times New Roman"/>
                <w:color w:val="000000"/>
                <w:szCs w:val="20"/>
              </w:rPr>
              <w:t>Essex County,</w:t>
            </w:r>
            <w:r w:rsidR="00DF1597" w:rsidRPr="00613C1C">
              <w:rPr>
                <w:rFonts w:eastAsia="Times New Roman"/>
                <w:color w:val="000000"/>
                <w:szCs w:val="20"/>
              </w:rPr>
              <w:t xml:space="preserve"> NJ</w:t>
            </w:r>
          </w:p>
        </w:tc>
      </w:tr>
      <w:tr w:rsidR="008F6786" w14:paraId="7D16C506" w14:textId="77777777" w:rsidTr="002566F1">
        <w:trPr>
          <w:trHeight w:val="259"/>
        </w:trPr>
        <w:tc>
          <w:tcPr>
            <w:tcW w:w="4675" w:type="dxa"/>
            <w:vMerge/>
            <w:tcBorders>
              <w:top w:val="single" w:sz="4" w:space="0" w:color="0070C0"/>
              <w:left w:val="single" w:sz="4" w:space="0" w:color="0070C0"/>
              <w:bottom w:val="single" w:sz="4" w:space="0" w:color="0070C0"/>
              <w:right w:val="single" w:sz="4" w:space="0" w:color="0070C0"/>
            </w:tcBorders>
            <w:vAlign w:val="center"/>
          </w:tcPr>
          <w:p w14:paraId="194D7725" w14:textId="77777777" w:rsidR="008F6786" w:rsidRPr="00613C1C" w:rsidRDefault="008F6786"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4BE075DF" w14:textId="77777777" w:rsidR="008F6786" w:rsidRPr="00613C1C" w:rsidRDefault="008F6786" w:rsidP="002566F1">
            <w:pPr>
              <w:rPr>
                <w:szCs w:val="20"/>
              </w:rPr>
            </w:pPr>
            <w:r w:rsidRPr="00613C1C">
              <w:rPr>
                <w:rFonts w:eastAsia="Times New Roman"/>
                <w:color w:val="000000"/>
                <w:szCs w:val="20"/>
              </w:rPr>
              <w:t>Hunterdon County,</w:t>
            </w:r>
            <w:r w:rsidR="00DF1597" w:rsidRPr="00613C1C">
              <w:rPr>
                <w:rFonts w:eastAsia="Times New Roman"/>
                <w:color w:val="000000"/>
                <w:szCs w:val="20"/>
              </w:rPr>
              <w:t xml:space="preserve"> NJ</w:t>
            </w:r>
          </w:p>
        </w:tc>
      </w:tr>
      <w:tr w:rsidR="008F6786" w14:paraId="389AD693" w14:textId="77777777" w:rsidTr="002566F1">
        <w:trPr>
          <w:trHeight w:val="259"/>
        </w:trPr>
        <w:tc>
          <w:tcPr>
            <w:tcW w:w="4675" w:type="dxa"/>
            <w:vMerge/>
            <w:tcBorders>
              <w:top w:val="single" w:sz="4" w:space="0" w:color="0070C0"/>
              <w:left w:val="single" w:sz="4" w:space="0" w:color="0070C0"/>
              <w:bottom w:val="single" w:sz="4" w:space="0" w:color="0070C0"/>
              <w:right w:val="single" w:sz="4" w:space="0" w:color="0070C0"/>
            </w:tcBorders>
            <w:vAlign w:val="center"/>
          </w:tcPr>
          <w:p w14:paraId="6D916F4A" w14:textId="77777777" w:rsidR="008F6786" w:rsidRPr="00613C1C" w:rsidRDefault="008F6786"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7F674A50" w14:textId="77777777" w:rsidR="008F6786" w:rsidRPr="00613C1C" w:rsidRDefault="008F6786" w:rsidP="002566F1">
            <w:pPr>
              <w:rPr>
                <w:szCs w:val="20"/>
              </w:rPr>
            </w:pPr>
            <w:r w:rsidRPr="00613C1C">
              <w:rPr>
                <w:rFonts w:eastAsia="Times New Roman"/>
                <w:color w:val="000000"/>
                <w:szCs w:val="20"/>
              </w:rPr>
              <w:t>Morris County,</w:t>
            </w:r>
            <w:r w:rsidR="00DF1597" w:rsidRPr="00613C1C">
              <w:rPr>
                <w:rFonts w:eastAsia="Times New Roman"/>
                <w:color w:val="000000"/>
                <w:szCs w:val="20"/>
              </w:rPr>
              <w:t xml:space="preserve"> NJ</w:t>
            </w:r>
          </w:p>
        </w:tc>
      </w:tr>
      <w:tr w:rsidR="008F6786" w14:paraId="145ECA4D" w14:textId="77777777" w:rsidTr="002566F1">
        <w:trPr>
          <w:trHeight w:val="259"/>
        </w:trPr>
        <w:tc>
          <w:tcPr>
            <w:tcW w:w="4675" w:type="dxa"/>
            <w:vMerge/>
            <w:tcBorders>
              <w:top w:val="single" w:sz="4" w:space="0" w:color="0070C0"/>
              <w:left w:val="single" w:sz="4" w:space="0" w:color="0070C0"/>
              <w:bottom w:val="single" w:sz="4" w:space="0" w:color="0070C0"/>
              <w:right w:val="single" w:sz="4" w:space="0" w:color="0070C0"/>
            </w:tcBorders>
            <w:vAlign w:val="center"/>
          </w:tcPr>
          <w:p w14:paraId="27269474" w14:textId="77777777" w:rsidR="008F6786" w:rsidRPr="00613C1C" w:rsidRDefault="008F6786"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0E19F1D2" w14:textId="77777777" w:rsidR="008F6786" w:rsidRPr="00613C1C" w:rsidRDefault="008F6786" w:rsidP="002566F1">
            <w:pPr>
              <w:rPr>
                <w:szCs w:val="20"/>
              </w:rPr>
            </w:pPr>
            <w:r w:rsidRPr="00613C1C">
              <w:rPr>
                <w:rFonts w:eastAsia="Times New Roman"/>
                <w:color w:val="000000"/>
                <w:szCs w:val="20"/>
              </w:rPr>
              <w:t>Somerset County,</w:t>
            </w:r>
            <w:r w:rsidR="00DF1597" w:rsidRPr="00613C1C">
              <w:rPr>
                <w:rFonts w:eastAsia="Times New Roman"/>
                <w:color w:val="000000"/>
                <w:szCs w:val="20"/>
              </w:rPr>
              <w:t xml:space="preserve"> NJ</w:t>
            </w:r>
          </w:p>
        </w:tc>
      </w:tr>
      <w:tr w:rsidR="008F6786" w14:paraId="39AD46E0" w14:textId="77777777" w:rsidTr="002566F1">
        <w:trPr>
          <w:trHeight w:val="259"/>
        </w:trPr>
        <w:tc>
          <w:tcPr>
            <w:tcW w:w="4675" w:type="dxa"/>
            <w:vMerge/>
            <w:tcBorders>
              <w:top w:val="single" w:sz="4" w:space="0" w:color="0070C0"/>
              <w:left w:val="single" w:sz="4" w:space="0" w:color="0070C0"/>
              <w:bottom w:val="single" w:sz="4" w:space="0" w:color="0070C0"/>
              <w:right w:val="single" w:sz="4" w:space="0" w:color="0070C0"/>
            </w:tcBorders>
            <w:vAlign w:val="center"/>
          </w:tcPr>
          <w:p w14:paraId="1383AA9E" w14:textId="77777777" w:rsidR="008F6786" w:rsidRPr="00613C1C" w:rsidRDefault="008F6786"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3D351D2E" w14:textId="77777777" w:rsidR="008F6786" w:rsidRPr="00613C1C" w:rsidRDefault="008F6786" w:rsidP="002566F1">
            <w:pPr>
              <w:rPr>
                <w:szCs w:val="20"/>
              </w:rPr>
            </w:pPr>
            <w:r w:rsidRPr="00613C1C">
              <w:rPr>
                <w:rFonts w:eastAsia="Times New Roman"/>
                <w:color w:val="000000"/>
                <w:szCs w:val="20"/>
              </w:rPr>
              <w:t>Sussex County,</w:t>
            </w:r>
            <w:r w:rsidR="00DF1597" w:rsidRPr="00613C1C">
              <w:rPr>
                <w:rFonts w:eastAsia="Times New Roman"/>
                <w:color w:val="000000"/>
                <w:szCs w:val="20"/>
              </w:rPr>
              <w:t xml:space="preserve"> NJ</w:t>
            </w:r>
          </w:p>
        </w:tc>
      </w:tr>
      <w:tr w:rsidR="008F6786" w14:paraId="4DFDF787" w14:textId="77777777" w:rsidTr="002566F1">
        <w:trPr>
          <w:trHeight w:val="259"/>
        </w:trPr>
        <w:tc>
          <w:tcPr>
            <w:tcW w:w="4675" w:type="dxa"/>
            <w:vMerge/>
            <w:tcBorders>
              <w:top w:val="single" w:sz="4" w:space="0" w:color="0070C0"/>
              <w:left w:val="single" w:sz="4" w:space="0" w:color="0070C0"/>
              <w:bottom w:val="single" w:sz="4" w:space="0" w:color="0070C0"/>
              <w:right w:val="single" w:sz="4" w:space="0" w:color="0070C0"/>
            </w:tcBorders>
            <w:vAlign w:val="center"/>
          </w:tcPr>
          <w:p w14:paraId="4784DF0F" w14:textId="77777777" w:rsidR="008F6786" w:rsidRPr="00613C1C" w:rsidRDefault="008F6786"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4F6E1A90" w14:textId="77777777" w:rsidR="008F6786" w:rsidRPr="00613C1C" w:rsidRDefault="008F6786" w:rsidP="002566F1">
            <w:pPr>
              <w:rPr>
                <w:szCs w:val="20"/>
              </w:rPr>
            </w:pPr>
            <w:r w:rsidRPr="00613C1C">
              <w:rPr>
                <w:rFonts w:eastAsia="Times New Roman"/>
                <w:color w:val="000000"/>
                <w:szCs w:val="20"/>
              </w:rPr>
              <w:t>Union County,</w:t>
            </w:r>
            <w:r w:rsidR="00DF1597" w:rsidRPr="00613C1C">
              <w:rPr>
                <w:rFonts w:eastAsia="Times New Roman"/>
                <w:color w:val="000000"/>
                <w:szCs w:val="20"/>
              </w:rPr>
              <w:t xml:space="preserve"> NJ</w:t>
            </w:r>
          </w:p>
        </w:tc>
      </w:tr>
      <w:tr w:rsidR="008F6786" w14:paraId="4C67D3A0" w14:textId="77777777" w:rsidTr="002566F1">
        <w:trPr>
          <w:trHeight w:val="259"/>
        </w:trPr>
        <w:tc>
          <w:tcPr>
            <w:tcW w:w="4675" w:type="dxa"/>
            <w:vMerge/>
            <w:tcBorders>
              <w:top w:val="single" w:sz="4" w:space="0" w:color="0070C0"/>
              <w:left w:val="single" w:sz="4" w:space="0" w:color="0070C0"/>
              <w:bottom w:val="single" w:sz="4" w:space="0" w:color="0070C0"/>
              <w:right w:val="single" w:sz="4" w:space="0" w:color="0070C0"/>
            </w:tcBorders>
            <w:vAlign w:val="center"/>
          </w:tcPr>
          <w:p w14:paraId="230DE17E" w14:textId="77777777" w:rsidR="008F6786" w:rsidRPr="00613C1C" w:rsidRDefault="008F6786"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66906461" w14:textId="77777777" w:rsidR="008F6786" w:rsidRPr="00613C1C" w:rsidRDefault="008F6786" w:rsidP="002566F1">
            <w:pPr>
              <w:rPr>
                <w:szCs w:val="20"/>
              </w:rPr>
            </w:pPr>
            <w:r w:rsidRPr="00613C1C">
              <w:rPr>
                <w:rFonts w:eastAsia="Times New Roman"/>
                <w:color w:val="000000"/>
                <w:szCs w:val="20"/>
              </w:rPr>
              <w:t>Pike County, Pennsylvania</w:t>
            </w:r>
          </w:p>
        </w:tc>
      </w:tr>
      <w:tr w:rsidR="008F6786" w14:paraId="194ACC3F" w14:textId="77777777" w:rsidTr="002566F1">
        <w:trPr>
          <w:trHeight w:val="259"/>
        </w:trPr>
        <w:tc>
          <w:tcPr>
            <w:tcW w:w="4675" w:type="dxa"/>
            <w:vMerge/>
            <w:tcBorders>
              <w:top w:val="single" w:sz="4" w:space="0" w:color="0070C0"/>
              <w:left w:val="single" w:sz="4" w:space="0" w:color="0070C0"/>
              <w:bottom w:val="single" w:sz="4" w:space="0" w:color="0070C0"/>
              <w:right w:val="single" w:sz="4" w:space="0" w:color="0070C0"/>
            </w:tcBorders>
            <w:vAlign w:val="center"/>
          </w:tcPr>
          <w:p w14:paraId="462E7AAA" w14:textId="77777777" w:rsidR="008F6786" w:rsidRPr="00613C1C" w:rsidRDefault="008F6786"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0024A7ED" w14:textId="77777777" w:rsidR="008F6786" w:rsidRPr="00613C1C" w:rsidRDefault="008F6786" w:rsidP="002566F1">
            <w:pPr>
              <w:rPr>
                <w:szCs w:val="20"/>
              </w:rPr>
            </w:pPr>
            <w:r w:rsidRPr="00613C1C">
              <w:rPr>
                <w:rFonts w:eastAsia="Times New Roman"/>
                <w:color w:val="000000"/>
                <w:szCs w:val="20"/>
              </w:rPr>
              <w:t>Bergen County,</w:t>
            </w:r>
            <w:r w:rsidR="00DF1597" w:rsidRPr="00613C1C">
              <w:rPr>
                <w:rFonts w:eastAsia="Times New Roman"/>
                <w:color w:val="000000"/>
                <w:szCs w:val="20"/>
              </w:rPr>
              <w:t xml:space="preserve"> NJ</w:t>
            </w:r>
          </w:p>
        </w:tc>
      </w:tr>
      <w:tr w:rsidR="008F6786" w14:paraId="24215345" w14:textId="77777777" w:rsidTr="002566F1">
        <w:trPr>
          <w:trHeight w:val="259"/>
        </w:trPr>
        <w:tc>
          <w:tcPr>
            <w:tcW w:w="4675" w:type="dxa"/>
            <w:vMerge/>
            <w:tcBorders>
              <w:top w:val="single" w:sz="4" w:space="0" w:color="0070C0"/>
              <w:left w:val="single" w:sz="4" w:space="0" w:color="0070C0"/>
              <w:bottom w:val="single" w:sz="4" w:space="0" w:color="0070C0"/>
              <w:right w:val="single" w:sz="4" w:space="0" w:color="0070C0"/>
            </w:tcBorders>
            <w:vAlign w:val="center"/>
          </w:tcPr>
          <w:p w14:paraId="658A599D" w14:textId="77777777" w:rsidR="008F6786" w:rsidRPr="00613C1C" w:rsidRDefault="008F6786"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079CC43F" w14:textId="77777777" w:rsidR="008F6786" w:rsidRPr="00613C1C" w:rsidRDefault="008F6786" w:rsidP="002566F1">
            <w:pPr>
              <w:rPr>
                <w:szCs w:val="20"/>
              </w:rPr>
            </w:pPr>
            <w:r w:rsidRPr="00613C1C">
              <w:rPr>
                <w:rFonts w:eastAsia="Times New Roman"/>
                <w:color w:val="000000"/>
                <w:szCs w:val="20"/>
              </w:rPr>
              <w:t>Hudson County,</w:t>
            </w:r>
            <w:r w:rsidR="00DF1597" w:rsidRPr="00613C1C">
              <w:rPr>
                <w:rFonts w:eastAsia="Times New Roman"/>
                <w:color w:val="000000"/>
                <w:szCs w:val="20"/>
              </w:rPr>
              <w:t xml:space="preserve"> NJ</w:t>
            </w:r>
          </w:p>
        </w:tc>
      </w:tr>
      <w:tr w:rsidR="008F6786" w14:paraId="683E4FA0" w14:textId="77777777" w:rsidTr="002566F1">
        <w:trPr>
          <w:trHeight w:val="259"/>
        </w:trPr>
        <w:tc>
          <w:tcPr>
            <w:tcW w:w="4675" w:type="dxa"/>
            <w:vMerge/>
            <w:tcBorders>
              <w:top w:val="single" w:sz="4" w:space="0" w:color="0070C0"/>
              <w:left w:val="single" w:sz="4" w:space="0" w:color="0070C0"/>
              <w:bottom w:val="single" w:sz="4" w:space="0" w:color="0070C0"/>
              <w:right w:val="single" w:sz="4" w:space="0" w:color="0070C0"/>
            </w:tcBorders>
            <w:vAlign w:val="center"/>
          </w:tcPr>
          <w:p w14:paraId="2D844241" w14:textId="77777777" w:rsidR="008F6786" w:rsidRPr="00613C1C" w:rsidRDefault="008F6786"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45EE7654" w14:textId="77777777" w:rsidR="008F6786" w:rsidRPr="00613C1C" w:rsidRDefault="008F6786" w:rsidP="002566F1">
            <w:pPr>
              <w:rPr>
                <w:szCs w:val="20"/>
              </w:rPr>
            </w:pPr>
            <w:r w:rsidRPr="00613C1C">
              <w:rPr>
                <w:rFonts w:eastAsia="Times New Roman"/>
                <w:color w:val="000000"/>
                <w:szCs w:val="20"/>
              </w:rPr>
              <w:t>Middlesex County,</w:t>
            </w:r>
            <w:r w:rsidR="00DF1597" w:rsidRPr="00613C1C">
              <w:rPr>
                <w:rFonts w:eastAsia="Times New Roman"/>
                <w:color w:val="000000"/>
                <w:szCs w:val="20"/>
              </w:rPr>
              <w:t xml:space="preserve"> NJ</w:t>
            </w:r>
          </w:p>
        </w:tc>
      </w:tr>
      <w:tr w:rsidR="008F6786" w14:paraId="1DAE2ED4" w14:textId="77777777" w:rsidTr="002566F1">
        <w:trPr>
          <w:trHeight w:val="259"/>
        </w:trPr>
        <w:tc>
          <w:tcPr>
            <w:tcW w:w="4675" w:type="dxa"/>
            <w:vMerge/>
            <w:tcBorders>
              <w:top w:val="single" w:sz="4" w:space="0" w:color="0070C0"/>
              <w:left w:val="single" w:sz="4" w:space="0" w:color="0070C0"/>
              <w:bottom w:val="single" w:sz="4" w:space="0" w:color="0070C0"/>
              <w:right w:val="single" w:sz="4" w:space="0" w:color="0070C0"/>
            </w:tcBorders>
            <w:vAlign w:val="center"/>
          </w:tcPr>
          <w:p w14:paraId="3981A888" w14:textId="77777777" w:rsidR="008F6786" w:rsidRPr="00613C1C" w:rsidRDefault="008F6786"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3E2B4977" w14:textId="77777777" w:rsidR="008F6786" w:rsidRPr="00613C1C" w:rsidRDefault="008F6786" w:rsidP="002566F1">
            <w:pPr>
              <w:rPr>
                <w:szCs w:val="20"/>
              </w:rPr>
            </w:pPr>
            <w:r w:rsidRPr="00613C1C">
              <w:rPr>
                <w:rFonts w:eastAsia="Times New Roman"/>
                <w:color w:val="000000"/>
                <w:szCs w:val="20"/>
              </w:rPr>
              <w:t>Monmouth County,</w:t>
            </w:r>
            <w:r w:rsidR="00DF1597" w:rsidRPr="00613C1C">
              <w:rPr>
                <w:rFonts w:eastAsia="Times New Roman"/>
                <w:color w:val="000000"/>
                <w:szCs w:val="20"/>
              </w:rPr>
              <w:t xml:space="preserve"> NJ</w:t>
            </w:r>
          </w:p>
        </w:tc>
      </w:tr>
      <w:tr w:rsidR="008F6786" w14:paraId="5F3A61C2" w14:textId="77777777" w:rsidTr="002566F1">
        <w:trPr>
          <w:trHeight w:val="259"/>
        </w:trPr>
        <w:tc>
          <w:tcPr>
            <w:tcW w:w="4675" w:type="dxa"/>
            <w:vMerge/>
            <w:tcBorders>
              <w:top w:val="single" w:sz="4" w:space="0" w:color="0070C0"/>
              <w:left w:val="single" w:sz="4" w:space="0" w:color="0070C0"/>
              <w:bottom w:val="single" w:sz="4" w:space="0" w:color="0070C0"/>
              <w:right w:val="single" w:sz="4" w:space="0" w:color="0070C0"/>
            </w:tcBorders>
            <w:vAlign w:val="center"/>
          </w:tcPr>
          <w:p w14:paraId="3E473144" w14:textId="77777777" w:rsidR="008F6786" w:rsidRPr="00613C1C" w:rsidRDefault="008F6786"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4C39C4A9" w14:textId="77777777" w:rsidR="008F6786" w:rsidRPr="00613C1C" w:rsidRDefault="008F6786" w:rsidP="002566F1">
            <w:pPr>
              <w:rPr>
                <w:szCs w:val="20"/>
              </w:rPr>
            </w:pPr>
            <w:r w:rsidRPr="00613C1C">
              <w:rPr>
                <w:rFonts w:eastAsia="Times New Roman"/>
                <w:color w:val="000000"/>
                <w:szCs w:val="20"/>
              </w:rPr>
              <w:t>Ocean County,</w:t>
            </w:r>
            <w:r w:rsidR="00DF1597" w:rsidRPr="00613C1C">
              <w:rPr>
                <w:rFonts w:eastAsia="Times New Roman"/>
                <w:color w:val="000000"/>
                <w:szCs w:val="20"/>
              </w:rPr>
              <w:t xml:space="preserve"> NJ</w:t>
            </w:r>
          </w:p>
        </w:tc>
      </w:tr>
      <w:tr w:rsidR="008F6786" w14:paraId="59D23331" w14:textId="77777777" w:rsidTr="002566F1">
        <w:trPr>
          <w:trHeight w:val="259"/>
        </w:trPr>
        <w:tc>
          <w:tcPr>
            <w:tcW w:w="4675" w:type="dxa"/>
            <w:vMerge/>
            <w:tcBorders>
              <w:top w:val="single" w:sz="4" w:space="0" w:color="0070C0"/>
              <w:left w:val="single" w:sz="4" w:space="0" w:color="0070C0"/>
              <w:bottom w:val="single" w:sz="4" w:space="0" w:color="0070C0"/>
              <w:right w:val="single" w:sz="4" w:space="0" w:color="0070C0"/>
            </w:tcBorders>
            <w:vAlign w:val="center"/>
          </w:tcPr>
          <w:p w14:paraId="5DC52B90" w14:textId="77777777" w:rsidR="008F6786" w:rsidRPr="00613C1C" w:rsidRDefault="008F6786"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70251637" w14:textId="77777777" w:rsidR="008F6786" w:rsidRPr="00613C1C" w:rsidRDefault="008F6786" w:rsidP="002566F1">
            <w:pPr>
              <w:rPr>
                <w:szCs w:val="20"/>
              </w:rPr>
            </w:pPr>
            <w:r w:rsidRPr="00613C1C">
              <w:rPr>
                <w:rFonts w:eastAsia="Times New Roman"/>
                <w:color w:val="000000"/>
                <w:szCs w:val="20"/>
              </w:rPr>
              <w:t>Passaic County,</w:t>
            </w:r>
            <w:r w:rsidR="00DF1597" w:rsidRPr="00613C1C">
              <w:rPr>
                <w:rFonts w:eastAsia="Times New Roman"/>
                <w:color w:val="000000"/>
                <w:szCs w:val="20"/>
              </w:rPr>
              <w:t xml:space="preserve"> NJ</w:t>
            </w:r>
          </w:p>
        </w:tc>
      </w:tr>
      <w:tr w:rsidR="008F6786" w14:paraId="078AF23B" w14:textId="77777777" w:rsidTr="002566F1">
        <w:trPr>
          <w:trHeight w:val="259"/>
        </w:trPr>
        <w:tc>
          <w:tcPr>
            <w:tcW w:w="4675" w:type="dxa"/>
            <w:vMerge/>
            <w:tcBorders>
              <w:top w:val="single" w:sz="4" w:space="0" w:color="0070C0"/>
              <w:left w:val="single" w:sz="4" w:space="0" w:color="0070C0"/>
              <w:bottom w:val="single" w:sz="4" w:space="0" w:color="0070C0"/>
              <w:right w:val="single" w:sz="4" w:space="0" w:color="0070C0"/>
            </w:tcBorders>
            <w:vAlign w:val="center"/>
          </w:tcPr>
          <w:p w14:paraId="7002B856" w14:textId="77777777" w:rsidR="008F6786" w:rsidRPr="00613C1C" w:rsidRDefault="008F6786"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3366BDC5" w14:textId="77777777" w:rsidR="008F6786" w:rsidRPr="00613C1C" w:rsidRDefault="008F6786" w:rsidP="002566F1">
            <w:pPr>
              <w:rPr>
                <w:szCs w:val="20"/>
              </w:rPr>
            </w:pPr>
            <w:r w:rsidRPr="00613C1C">
              <w:rPr>
                <w:rFonts w:eastAsia="Times New Roman"/>
                <w:color w:val="000000"/>
                <w:szCs w:val="20"/>
              </w:rPr>
              <w:t>Bronx County,</w:t>
            </w:r>
            <w:r w:rsidR="00DF1597" w:rsidRPr="00613C1C">
              <w:rPr>
                <w:rFonts w:eastAsia="Times New Roman"/>
                <w:color w:val="000000"/>
                <w:szCs w:val="20"/>
              </w:rPr>
              <w:t xml:space="preserve"> NY</w:t>
            </w:r>
          </w:p>
        </w:tc>
      </w:tr>
      <w:tr w:rsidR="008F6786" w14:paraId="17F0E9B1" w14:textId="77777777" w:rsidTr="002566F1">
        <w:trPr>
          <w:trHeight w:val="259"/>
        </w:trPr>
        <w:tc>
          <w:tcPr>
            <w:tcW w:w="4675" w:type="dxa"/>
            <w:vMerge/>
            <w:tcBorders>
              <w:top w:val="single" w:sz="4" w:space="0" w:color="0070C0"/>
              <w:left w:val="single" w:sz="4" w:space="0" w:color="0070C0"/>
              <w:bottom w:val="single" w:sz="4" w:space="0" w:color="0070C0"/>
              <w:right w:val="single" w:sz="4" w:space="0" w:color="0070C0"/>
            </w:tcBorders>
            <w:vAlign w:val="center"/>
          </w:tcPr>
          <w:p w14:paraId="787B75BB" w14:textId="77777777" w:rsidR="008F6786" w:rsidRPr="00613C1C" w:rsidRDefault="008F6786"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33607EE5" w14:textId="77777777" w:rsidR="008F6786" w:rsidRPr="00613C1C" w:rsidRDefault="008F6786" w:rsidP="002566F1">
            <w:pPr>
              <w:rPr>
                <w:szCs w:val="20"/>
              </w:rPr>
            </w:pPr>
            <w:r w:rsidRPr="00613C1C">
              <w:rPr>
                <w:rFonts w:eastAsia="Times New Roman"/>
                <w:color w:val="000000"/>
                <w:szCs w:val="20"/>
              </w:rPr>
              <w:t>Kings County,</w:t>
            </w:r>
            <w:r w:rsidR="00DF1597" w:rsidRPr="00613C1C">
              <w:rPr>
                <w:rFonts w:eastAsia="Times New Roman"/>
                <w:color w:val="000000"/>
                <w:szCs w:val="20"/>
              </w:rPr>
              <w:t xml:space="preserve"> NY</w:t>
            </w:r>
          </w:p>
        </w:tc>
      </w:tr>
      <w:tr w:rsidR="008F6786" w14:paraId="50917CE2" w14:textId="77777777" w:rsidTr="002566F1">
        <w:trPr>
          <w:trHeight w:val="259"/>
        </w:trPr>
        <w:tc>
          <w:tcPr>
            <w:tcW w:w="4675" w:type="dxa"/>
            <w:vMerge/>
            <w:tcBorders>
              <w:top w:val="single" w:sz="4" w:space="0" w:color="0070C0"/>
              <w:left w:val="single" w:sz="4" w:space="0" w:color="0070C0"/>
              <w:bottom w:val="single" w:sz="4" w:space="0" w:color="0070C0"/>
              <w:right w:val="single" w:sz="4" w:space="0" w:color="0070C0"/>
            </w:tcBorders>
            <w:vAlign w:val="center"/>
          </w:tcPr>
          <w:p w14:paraId="1041DE41" w14:textId="77777777" w:rsidR="008F6786" w:rsidRPr="00613C1C" w:rsidRDefault="008F6786"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49F82ADF" w14:textId="77777777" w:rsidR="008F6786" w:rsidRPr="00613C1C" w:rsidRDefault="00DF1597" w:rsidP="002566F1">
            <w:pPr>
              <w:rPr>
                <w:szCs w:val="20"/>
              </w:rPr>
            </w:pPr>
            <w:r w:rsidRPr="00613C1C">
              <w:rPr>
                <w:rFonts w:eastAsia="Times New Roman"/>
                <w:color w:val="000000"/>
                <w:szCs w:val="20"/>
              </w:rPr>
              <w:t xml:space="preserve"> NY</w:t>
            </w:r>
            <w:r w:rsidR="008F6786" w:rsidRPr="00613C1C">
              <w:rPr>
                <w:rFonts w:eastAsia="Times New Roman"/>
                <w:color w:val="000000"/>
                <w:szCs w:val="20"/>
              </w:rPr>
              <w:t xml:space="preserve"> County,</w:t>
            </w:r>
            <w:r w:rsidRPr="00613C1C">
              <w:rPr>
                <w:rFonts w:eastAsia="Times New Roman"/>
                <w:color w:val="000000"/>
                <w:szCs w:val="20"/>
              </w:rPr>
              <w:t xml:space="preserve"> NY</w:t>
            </w:r>
          </w:p>
        </w:tc>
      </w:tr>
      <w:tr w:rsidR="008F6786" w14:paraId="416782E4" w14:textId="77777777" w:rsidTr="002566F1">
        <w:trPr>
          <w:trHeight w:val="259"/>
        </w:trPr>
        <w:tc>
          <w:tcPr>
            <w:tcW w:w="4675" w:type="dxa"/>
            <w:vMerge/>
            <w:tcBorders>
              <w:top w:val="single" w:sz="4" w:space="0" w:color="0070C0"/>
              <w:left w:val="single" w:sz="4" w:space="0" w:color="0070C0"/>
              <w:bottom w:val="single" w:sz="4" w:space="0" w:color="0070C0"/>
              <w:right w:val="single" w:sz="4" w:space="0" w:color="0070C0"/>
            </w:tcBorders>
            <w:vAlign w:val="center"/>
          </w:tcPr>
          <w:p w14:paraId="7870DC10" w14:textId="77777777" w:rsidR="008F6786" w:rsidRPr="00613C1C" w:rsidRDefault="008F6786"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1CB75C95" w14:textId="77777777" w:rsidR="008F6786" w:rsidRPr="00613C1C" w:rsidRDefault="008F6786" w:rsidP="002566F1">
            <w:pPr>
              <w:rPr>
                <w:szCs w:val="20"/>
              </w:rPr>
            </w:pPr>
            <w:r w:rsidRPr="00613C1C">
              <w:rPr>
                <w:rFonts w:eastAsia="Times New Roman"/>
                <w:color w:val="000000"/>
                <w:szCs w:val="20"/>
              </w:rPr>
              <w:t>Orange County,</w:t>
            </w:r>
            <w:r w:rsidR="00DF1597" w:rsidRPr="00613C1C">
              <w:rPr>
                <w:rFonts w:eastAsia="Times New Roman"/>
                <w:color w:val="000000"/>
                <w:szCs w:val="20"/>
              </w:rPr>
              <w:t xml:space="preserve"> NY</w:t>
            </w:r>
          </w:p>
        </w:tc>
      </w:tr>
      <w:tr w:rsidR="008F6786" w14:paraId="1D147EFF" w14:textId="77777777" w:rsidTr="002566F1">
        <w:trPr>
          <w:trHeight w:val="259"/>
        </w:trPr>
        <w:tc>
          <w:tcPr>
            <w:tcW w:w="4675" w:type="dxa"/>
            <w:vMerge/>
            <w:tcBorders>
              <w:top w:val="single" w:sz="4" w:space="0" w:color="0070C0"/>
              <w:left w:val="single" w:sz="4" w:space="0" w:color="0070C0"/>
              <w:bottom w:val="single" w:sz="4" w:space="0" w:color="0070C0"/>
              <w:right w:val="single" w:sz="4" w:space="0" w:color="0070C0"/>
            </w:tcBorders>
            <w:vAlign w:val="center"/>
          </w:tcPr>
          <w:p w14:paraId="3B153899" w14:textId="77777777" w:rsidR="008F6786" w:rsidRPr="00613C1C" w:rsidRDefault="008F6786"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38292245" w14:textId="77777777" w:rsidR="008F6786" w:rsidRPr="00613C1C" w:rsidRDefault="008F6786" w:rsidP="002566F1">
            <w:pPr>
              <w:rPr>
                <w:szCs w:val="20"/>
              </w:rPr>
            </w:pPr>
            <w:r w:rsidRPr="00613C1C">
              <w:rPr>
                <w:rFonts w:eastAsia="Times New Roman"/>
                <w:color w:val="000000"/>
                <w:szCs w:val="20"/>
              </w:rPr>
              <w:t>Queens County,</w:t>
            </w:r>
            <w:r w:rsidR="00DF1597" w:rsidRPr="00613C1C">
              <w:rPr>
                <w:rFonts w:eastAsia="Times New Roman"/>
                <w:color w:val="000000"/>
                <w:szCs w:val="20"/>
              </w:rPr>
              <w:t xml:space="preserve"> NY</w:t>
            </w:r>
          </w:p>
        </w:tc>
      </w:tr>
      <w:tr w:rsidR="008F6786" w14:paraId="44EB61E4" w14:textId="77777777" w:rsidTr="002566F1">
        <w:trPr>
          <w:trHeight w:val="259"/>
        </w:trPr>
        <w:tc>
          <w:tcPr>
            <w:tcW w:w="4675" w:type="dxa"/>
            <w:vMerge/>
            <w:tcBorders>
              <w:top w:val="single" w:sz="4" w:space="0" w:color="0070C0"/>
              <w:left w:val="single" w:sz="4" w:space="0" w:color="0070C0"/>
              <w:bottom w:val="single" w:sz="4" w:space="0" w:color="0070C0"/>
              <w:right w:val="single" w:sz="4" w:space="0" w:color="0070C0"/>
            </w:tcBorders>
            <w:vAlign w:val="center"/>
          </w:tcPr>
          <w:p w14:paraId="3658AC84" w14:textId="77777777" w:rsidR="008F6786" w:rsidRPr="00613C1C" w:rsidRDefault="008F6786"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02DF206B" w14:textId="77777777" w:rsidR="008F6786" w:rsidRPr="00613C1C" w:rsidRDefault="008F6786" w:rsidP="002566F1">
            <w:pPr>
              <w:rPr>
                <w:szCs w:val="20"/>
              </w:rPr>
            </w:pPr>
            <w:r w:rsidRPr="00613C1C">
              <w:rPr>
                <w:rFonts w:eastAsia="Times New Roman"/>
                <w:color w:val="000000"/>
                <w:szCs w:val="20"/>
              </w:rPr>
              <w:t>Richmond County,</w:t>
            </w:r>
            <w:r w:rsidR="00DF1597" w:rsidRPr="00613C1C">
              <w:rPr>
                <w:rFonts w:eastAsia="Times New Roman"/>
                <w:color w:val="000000"/>
                <w:szCs w:val="20"/>
              </w:rPr>
              <w:t xml:space="preserve"> NY</w:t>
            </w:r>
          </w:p>
        </w:tc>
      </w:tr>
      <w:tr w:rsidR="008F6786" w14:paraId="4FC838A4" w14:textId="77777777" w:rsidTr="002566F1">
        <w:trPr>
          <w:trHeight w:val="259"/>
        </w:trPr>
        <w:tc>
          <w:tcPr>
            <w:tcW w:w="4675" w:type="dxa"/>
            <w:vMerge/>
            <w:tcBorders>
              <w:top w:val="single" w:sz="4" w:space="0" w:color="0070C0"/>
              <w:left w:val="single" w:sz="4" w:space="0" w:color="0070C0"/>
              <w:bottom w:val="single" w:sz="4" w:space="0" w:color="0070C0"/>
              <w:right w:val="single" w:sz="4" w:space="0" w:color="0070C0"/>
            </w:tcBorders>
            <w:vAlign w:val="center"/>
          </w:tcPr>
          <w:p w14:paraId="15174A70" w14:textId="77777777" w:rsidR="008F6786" w:rsidRPr="00613C1C" w:rsidRDefault="008F6786"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398F76AA" w14:textId="77777777" w:rsidR="008F6786" w:rsidRPr="00613C1C" w:rsidRDefault="008F6786" w:rsidP="002566F1">
            <w:pPr>
              <w:rPr>
                <w:szCs w:val="20"/>
              </w:rPr>
            </w:pPr>
            <w:r w:rsidRPr="00613C1C">
              <w:rPr>
                <w:rFonts w:eastAsia="Times New Roman"/>
                <w:color w:val="000000"/>
                <w:szCs w:val="20"/>
              </w:rPr>
              <w:t>Rockland County,</w:t>
            </w:r>
            <w:r w:rsidR="00DF1597" w:rsidRPr="00613C1C">
              <w:rPr>
                <w:rFonts w:eastAsia="Times New Roman"/>
                <w:color w:val="000000"/>
                <w:szCs w:val="20"/>
              </w:rPr>
              <w:t xml:space="preserve"> NY</w:t>
            </w:r>
          </w:p>
        </w:tc>
      </w:tr>
      <w:tr w:rsidR="008F6786" w14:paraId="0EF62EA7" w14:textId="77777777" w:rsidTr="002566F1">
        <w:trPr>
          <w:trHeight w:val="259"/>
        </w:trPr>
        <w:tc>
          <w:tcPr>
            <w:tcW w:w="4675" w:type="dxa"/>
            <w:vMerge/>
            <w:tcBorders>
              <w:top w:val="single" w:sz="4" w:space="0" w:color="0070C0"/>
              <w:left w:val="single" w:sz="4" w:space="0" w:color="0070C0"/>
              <w:bottom w:val="single" w:sz="4" w:space="0" w:color="0070C0"/>
              <w:right w:val="single" w:sz="4" w:space="0" w:color="0070C0"/>
            </w:tcBorders>
            <w:vAlign w:val="center"/>
          </w:tcPr>
          <w:p w14:paraId="4F31C019" w14:textId="77777777" w:rsidR="008F6786" w:rsidRPr="00613C1C" w:rsidRDefault="008F6786"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42A354BA" w14:textId="77777777" w:rsidR="008F6786" w:rsidRPr="00613C1C" w:rsidRDefault="008F6786" w:rsidP="002566F1">
            <w:pPr>
              <w:rPr>
                <w:szCs w:val="20"/>
              </w:rPr>
            </w:pPr>
            <w:r w:rsidRPr="00613C1C">
              <w:rPr>
                <w:rFonts w:eastAsia="Times New Roman"/>
                <w:color w:val="000000"/>
                <w:szCs w:val="20"/>
              </w:rPr>
              <w:t xml:space="preserve">Westchester County, </w:t>
            </w:r>
            <w:r w:rsidR="00DF1597" w:rsidRPr="00613C1C">
              <w:rPr>
                <w:rFonts w:eastAsia="Times New Roman"/>
                <w:color w:val="000000"/>
                <w:szCs w:val="20"/>
              </w:rPr>
              <w:t>NY</w:t>
            </w:r>
          </w:p>
        </w:tc>
      </w:tr>
      <w:tr w:rsidR="008F6786" w14:paraId="00C7BEB6" w14:textId="77777777" w:rsidTr="002566F1">
        <w:trPr>
          <w:trHeight w:val="259"/>
        </w:trPr>
        <w:tc>
          <w:tcPr>
            <w:tcW w:w="4675" w:type="dxa"/>
            <w:vMerge w:val="restart"/>
            <w:tcBorders>
              <w:top w:val="single" w:sz="4" w:space="0" w:color="0070C0"/>
              <w:left w:val="single" w:sz="4" w:space="0" w:color="0070C0"/>
              <w:bottom w:val="single" w:sz="4" w:space="0" w:color="0070C0"/>
              <w:right w:val="single" w:sz="4" w:space="0" w:color="0070C0"/>
            </w:tcBorders>
            <w:vAlign w:val="center"/>
          </w:tcPr>
          <w:p w14:paraId="1568704C" w14:textId="77777777" w:rsidR="008F6786" w:rsidRPr="00613C1C" w:rsidRDefault="008F6786" w:rsidP="002566F1">
            <w:pPr>
              <w:ind w:left="27"/>
              <w:textAlignment w:val="center"/>
              <w:rPr>
                <w:rFonts w:eastAsia="Times New Roman"/>
                <w:color w:val="000000"/>
                <w:szCs w:val="20"/>
              </w:rPr>
            </w:pPr>
            <w:r w:rsidRPr="00613C1C">
              <w:rPr>
                <w:rFonts w:eastAsia="Times New Roman"/>
                <w:color w:val="000000"/>
                <w:szCs w:val="20"/>
              </w:rPr>
              <w:t>Los Angeles-Long Beach-Anaheim, CA</w:t>
            </w:r>
          </w:p>
        </w:tc>
        <w:tc>
          <w:tcPr>
            <w:tcW w:w="4675" w:type="dxa"/>
            <w:tcBorders>
              <w:top w:val="single" w:sz="4" w:space="0" w:color="0070C0"/>
              <w:left w:val="single" w:sz="4" w:space="0" w:color="0070C0"/>
              <w:bottom w:val="single" w:sz="4" w:space="0" w:color="0070C0"/>
              <w:right w:val="single" w:sz="4" w:space="0" w:color="0070C0"/>
            </w:tcBorders>
            <w:vAlign w:val="center"/>
          </w:tcPr>
          <w:p w14:paraId="62A8CCDA" w14:textId="77777777" w:rsidR="008F6786" w:rsidRPr="00613C1C" w:rsidRDefault="008F6786" w:rsidP="002566F1">
            <w:pPr>
              <w:rPr>
                <w:szCs w:val="20"/>
              </w:rPr>
            </w:pPr>
            <w:r w:rsidRPr="00613C1C">
              <w:rPr>
                <w:rFonts w:eastAsia="Times New Roman"/>
                <w:color w:val="000000"/>
                <w:szCs w:val="20"/>
              </w:rPr>
              <w:t>Orange County</w:t>
            </w:r>
            <w:r w:rsidR="00DF1597" w:rsidRPr="00613C1C">
              <w:rPr>
                <w:rFonts w:eastAsia="Times New Roman"/>
                <w:color w:val="000000"/>
                <w:szCs w:val="20"/>
              </w:rPr>
              <w:t>, CA</w:t>
            </w:r>
          </w:p>
        </w:tc>
      </w:tr>
      <w:tr w:rsidR="008F6786" w14:paraId="10598493" w14:textId="77777777" w:rsidTr="002566F1">
        <w:trPr>
          <w:trHeight w:val="259"/>
        </w:trPr>
        <w:tc>
          <w:tcPr>
            <w:tcW w:w="4675" w:type="dxa"/>
            <w:vMerge/>
            <w:tcBorders>
              <w:top w:val="single" w:sz="4" w:space="0" w:color="0070C0"/>
              <w:left w:val="single" w:sz="4" w:space="0" w:color="0070C0"/>
              <w:bottom w:val="single" w:sz="4" w:space="0" w:color="0070C0"/>
              <w:right w:val="single" w:sz="4" w:space="0" w:color="0070C0"/>
            </w:tcBorders>
            <w:vAlign w:val="center"/>
          </w:tcPr>
          <w:p w14:paraId="09EBF4BB" w14:textId="77777777" w:rsidR="008F6786" w:rsidRPr="00613C1C" w:rsidRDefault="008F6786"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3C186EA5" w14:textId="77777777" w:rsidR="008F6786" w:rsidRPr="00613C1C" w:rsidRDefault="008F6786" w:rsidP="002566F1">
            <w:pPr>
              <w:rPr>
                <w:szCs w:val="20"/>
              </w:rPr>
            </w:pPr>
            <w:r w:rsidRPr="00613C1C">
              <w:rPr>
                <w:rFonts w:eastAsia="Times New Roman"/>
                <w:color w:val="000000"/>
                <w:szCs w:val="20"/>
              </w:rPr>
              <w:t>Los Angeles County</w:t>
            </w:r>
            <w:r w:rsidR="00DF1597" w:rsidRPr="00613C1C">
              <w:rPr>
                <w:rFonts w:eastAsia="Times New Roman"/>
                <w:color w:val="000000"/>
                <w:szCs w:val="20"/>
              </w:rPr>
              <w:t>, CA</w:t>
            </w:r>
          </w:p>
        </w:tc>
      </w:tr>
      <w:tr w:rsidR="001512C6" w14:paraId="2F0E3178" w14:textId="77777777" w:rsidTr="00E50005">
        <w:trPr>
          <w:trHeight w:val="259"/>
        </w:trPr>
        <w:tc>
          <w:tcPr>
            <w:tcW w:w="4675" w:type="dxa"/>
            <w:vMerge w:val="restart"/>
            <w:tcBorders>
              <w:top w:val="single" w:sz="4" w:space="0" w:color="0070C0"/>
              <w:left w:val="single" w:sz="4" w:space="0" w:color="0070C0"/>
              <w:right w:val="single" w:sz="4" w:space="0" w:color="0070C0"/>
            </w:tcBorders>
            <w:vAlign w:val="center"/>
          </w:tcPr>
          <w:p w14:paraId="553FC847" w14:textId="58946F94" w:rsidR="001512C6" w:rsidRPr="00613C1C" w:rsidRDefault="001512C6" w:rsidP="002566F1">
            <w:pPr>
              <w:ind w:left="27"/>
              <w:rPr>
                <w:szCs w:val="20"/>
              </w:rPr>
            </w:pPr>
            <w:r w:rsidRPr="00613C1C">
              <w:rPr>
                <w:rFonts w:eastAsia="Times New Roman"/>
                <w:color w:val="000000"/>
                <w:szCs w:val="20"/>
              </w:rPr>
              <w:t>Chicago-Naperville-Elgin, IL-IN-WI</w:t>
            </w:r>
          </w:p>
        </w:tc>
        <w:tc>
          <w:tcPr>
            <w:tcW w:w="4675" w:type="dxa"/>
            <w:tcBorders>
              <w:top w:val="single" w:sz="4" w:space="0" w:color="0070C0"/>
              <w:left w:val="single" w:sz="4" w:space="0" w:color="0070C0"/>
              <w:bottom w:val="single" w:sz="4" w:space="0" w:color="0070C0"/>
              <w:right w:val="single" w:sz="4" w:space="0" w:color="0070C0"/>
            </w:tcBorders>
            <w:vAlign w:val="center"/>
          </w:tcPr>
          <w:p w14:paraId="0AF33392" w14:textId="77777777" w:rsidR="001512C6" w:rsidRPr="00613C1C" w:rsidRDefault="001512C6" w:rsidP="002566F1">
            <w:pPr>
              <w:rPr>
                <w:szCs w:val="20"/>
              </w:rPr>
            </w:pPr>
            <w:r w:rsidRPr="00613C1C">
              <w:rPr>
                <w:rFonts w:eastAsia="Times New Roman"/>
                <w:color w:val="000000"/>
                <w:szCs w:val="20"/>
              </w:rPr>
              <w:t>Cook County, IL</w:t>
            </w:r>
          </w:p>
        </w:tc>
      </w:tr>
      <w:tr w:rsidR="001512C6" w14:paraId="6B16B096" w14:textId="77777777" w:rsidTr="00E50005">
        <w:trPr>
          <w:trHeight w:val="259"/>
        </w:trPr>
        <w:tc>
          <w:tcPr>
            <w:tcW w:w="4675" w:type="dxa"/>
            <w:vMerge/>
            <w:tcBorders>
              <w:left w:val="single" w:sz="4" w:space="0" w:color="0070C0"/>
              <w:right w:val="single" w:sz="4" w:space="0" w:color="0070C0"/>
            </w:tcBorders>
            <w:vAlign w:val="center"/>
          </w:tcPr>
          <w:p w14:paraId="4E8CA2BB" w14:textId="1E94452F" w:rsidR="001512C6" w:rsidRPr="00613C1C" w:rsidRDefault="001512C6" w:rsidP="002566F1">
            <w:pPr>
              <w:ind w:left="27"/>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044BCD7C" w14:textId="77777777" w:rsidR="001512C6" w:rsidRPr="00613C1C" w:rsidRDefault="001512C6" w:rsidP="002566F1">
            <w:pPr>
              <w:rPr>
                <w:szCs w:val="20"/>
              </w:rPr>
            </w:pPr>
            <w:r w:rsidRPr="00613C1C">
              <w:rPr>
                <w:rFonts w:eastAsia="Times New Roman"/>
                <w:color w:val="000000"/>
                <w:szCs w:val="20"/>
              </w:rPr>
              <w:t>DuPage County, IL</w:t>
            </w:r>
          </w:p>
        </w:tc>
      </w:tr>
      <w:tr w:rsidR="001512C6" w14:paraId="14E2E565" w14:textId="77777777" w:rsidTr="00E50005">
        <w:trPr>
          <w:trHeight w:val="259"/>
        </w:trPr>
        <w:tc>
          <w:tcPr>
            <w:tcW w:w="4675" w:type="dxa"/>
            <w:vMerge/>
            <w:tcBorders>
              <w:left w:val="single" w:sz="4" w:space="0" w:color="0070C0"/>
              <w:right w:val="single" w:sz="4" w:space="0" w:color="0070C0"/>
            </w:tcBorders>
            <w:vAlign w:val="center"/>
          </w:tcPr>
          <w:p w14:paraId="60816094" w14:textId="701915DD" w:rsidR="001512C6" w:rsidRPr="00613C1C" w:rsidRDefault="001512C6" w:rsidP="002566F1">
            <w:pPr>
              <w:ind w:left="27"/>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5E62F1CB" w14:textId="77777777" w:rsidR="001512C6" w:rsidRPr="00613C1C" w:rsidRDefault="001512C6" w:rsidP="002566F1">
            <w:pPr>
              <w:rPr>
                <w:szCs w:val="20"/>
              </w:rPr>
            </w:pPr>
            <w:r w:rsidRPr="00613C1C">
              <w:rPr>
                <w:rFonts w:eastAsia="Times New Roman"/>
                <w:color w:val="000000"/>
                <w:szCs w:val="20"/>
              </w:rPr>
              <w:t>Grundy County, IL</w:t>
            </w:r>
          </w:p>
        </w:tc>
      </w:tr>
      <w:tr w:rsidR="001512C6" w14:paraId="48952B6D" w14:textId="77777777" w:rsidTr="00E50005">
        <w:trPr>
          <w:trHeight w:val="259"/>
        </w:trPr>
        <w:tc>
          <w:tcPr>
            <w:tcW w:w="4675" w:type="dxa"/>
            <w:vMerge/>
            <w:tcBorders>
              <w:left w:val="single" w:sz="4" w:space="0" w:color="0070C0"/>
              <w:right w:val="single" w:sz="4" w:space="0" w:color="0070C0"/>
            </w:tcBorders>
            <w:vAlign w:val="center"/>
          </w:tcPr>
          <w:p w14:paraId="5F8715B4" w14:textId="4B5E2F33" w:rsidR="001512C6" w:rsidRPr="00613C1C" w:rsidRDefault="001512C6" w:rsidP="002566F1">
            <w:pPr>
              <w:ind w:left="27"/>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5C587534" w14:textId="77777777" w:rsidR="001512C6" w:rsidRPr="00613C1C" w:rsidRDefault="001512C6" w:rsidP="002566F1">
            <w:pPr>
              <w:rPr>
                <w:szCs w:val="20"/>
              </w:rPr>
            </w:pPr>
            <w:r w:rsidRPr="00613C1C">
              <w:rPr>
                <w:rFonts w:eastAsia="Times New Roman"/>
                <w:color w:val="000000"/>
                <w:szCs w:val="20"/>
              </w:rPr>
              <w:t>Kendall County, IL</w:t>
            </w:r>
          </w:p>
        </w:tc>
      </w:tr>
      <w:tr w:rsidR="001512C6" w14:paraId="1E59DFAA" w14:textId="77777777" w:rsidTr="00E50005">
        <w:trPr>
          <w:trHeight w:val="259"/>
        </w:trPr>
        <w:tc>
          <w:tcPr>
            <w:tcW w:w="4675" w:type="dxa"/>
            <w:vMerge/>
            <w:tcBorders>
              <w:left w:val="single" w:sz="4" w:space="0" w:color="0070C0"/>
              <w:right w:val="single" w:sz="4" w:space="0" w:color="0070C0"/>
            </w:tcBorders>
            <w:vAlign w:val="center"/>
          </w:tcPr>
          <w:p w14:paraId="1DAFBEC7" w14:textId="202AC482" w:rsidR="001512C6" w:rsidRPr="00613C1C" w:rsidRDefault="001512C6" w:rsidP="002566F1">
            <w:pPr>
              <w:ind w:left="27"/>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7A36AB63" w14:textId="77777777" w:rsidR="001512C6" w:rsidRPr="00613C1C" w:rsidRDefault="001512C6" w:rsidP="002566F1">
            <w:pPr>
              <w:rPr>
                <w:szCs w:val="20"/>
              </w:rPr>
            </w:pPr>
            <w:r w:rsidRPr="00613C1C">
              <w:rPr>
                <w:rFonts w:eastAsia="Times New Roman"/>
                <w:color w:val="000000"/>
                <w:szCs w:val="20"/>
              </w:rPr>
              <w:t>McHenry County, IL</w:t>
            </w:r>
          </w:p>
        </w:tc>
      </w:tr>
      <w:tr w:rsidR="001512C6" w14:paraId="195BB366" w14:textId="77777777" w:rsidTr="00E50005">
        <w:trPr>
          <w:trHeight w:val="259"/>
        </w:trPr>
        <w:tc>
          <w:tcPr>
            <w:tcW w:w="4675" w:type="dxa"/>
            <w:vMerge/>
            <w:tcBorders>
              <w:left w:val="single" w:sz="4" w:space="0" w:color="0070C0"/>
              <w:right w:val="single" w:sz="4" w:space="0" w:color="0070C0"/>
            </w:tcBorders>
            <w:vAlign w:val="center"/>
          </w:tcPr>
          <w:p w14:paraId="78E64968" w14:textId="22A99F06" w:rsidR="001512C6" w:rsidRPr="00613C1C" w:rsidRDefault="001512C6" w:rsidP="002566F1">
            <w:pPr>
              <w:ind w:left="27"/>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359B1404" w14:textId="77777777" w:rsidR="001512C6" w:rsidRPr="00613C1C" w:rsidRDefault="001512C6" w:rsidP="002566F1">
            <w:pPr>
              <w:rPr>
                <w:szCs w:val="20"/>
              </w:rPr>
            </w:pPr>
            <w:r w:rsidRPr="00613C1C">
              <w:rPr>
                <w:rFonts w:eastAsia="Times New Roman"/>
                <w:color w:val="000000"/>
                <w:szCs w:val="20"/>
              </w:rPr>
              <w:t>Will County, IL</w:t>
            </w:r>
          </w:p>
        </w:tc>
      </w:tr>
      <w:tr w:rsidR="001512C6" w14:paraId="677B1D98" w14:textId="77777777" w:rsidTr="00E50005">
        <w:trPr>
          <w:trHeight w:val="259"/>
        </w:trPr>
        <w:tc>
          <w:tcPr>
            <w:tcW w:w="4675" w:type="dxa"/>
            <w:vMerge/>
            <w:tcBorders>
              <w:left w:val="single" w:sz="4" w:space="0" w:color="0070C0"/>
              <w:right w:val="single" w:sz="4" w:space="0" w:color="0070C0"/>
            </w:tcBorders>
            <w:vAlign w:val="center"/>
          </w:tcPr>
          <w:p w14:paraId="6DFE10A4" w14:textId="77777777" w:rsidR="001512C6" w:rsidRPr="00613C1C" w:rsidRDefault="001512C6"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46D15372" w14:textId="77777777" w:rsidR="001512C6" w:rsidRPr="00613C1C" w:rsidRDefault="001512C6" w:rsidP="002566F1">
            <w:pPr>
              <w:rPr>
                <w:szCs w:val="20"/>
              </w:rPr>
            </w:pPr>
            <w:r w:rsidRPr="00613C1C">
              <w:rPr>
                <w:rFonts w:eastAsia="Times New Roman"/>
                <w:color w:val="000000"/>
                <w:szCs w:val="20"/>
              </w:rPr>
              <w:t>DeKalb County, IL</w:t>
            </w:r>
          </w:p>
        </w:tc>
      </w:tr>
      <w:tr w:rsidR="001512C6" w14:paraId="2BC126D1" w14:textId="77777777" w:rsidTr="00E50005">
        <w:trPr>
          <w:trHeight w:val="259"/>
        </w:trPr>
        <w:tc>
          <w:tcPr>
            <w:tcW w:w="4675" w:type="dxa"/>
            <w:vMerge/>
            <w:tcBorders>
              <w:left w:val="single" w:sz="4" w:space="0" w:color="0070C0"/>
              <w:right w:val="single" w:sz="4" w:space="0" w:color="0070C0"/>
            </w:tcBorders>
            <w:vAlign w:val="center"/>
          </w:tcPr>
          <w:p w14:paraId="792B409C" w14:textId="77777777" w:rsidR="001512C6" w:rsidRPr="00613C1C" w:rsidRDefault="001512C6"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0B5A8C33" w14:textId="77777777" w:rsidR="001512C6" w:rsidRPr="00613C1C" w:rsidRDefault="001512C6" w:rsidP="002566F1">
            <w:pPr>
              <w:rPr>
                <w:szCs w:val="20"/>
              </w:rPr>
            </w:pPr>
            <w:r w:rsidRPr="00613C1C">
              <w:rPr>
                <w:rFonts w:eastAsia="Times New Roman"/>
                <w:color w:val="000000"/>
                <w:szCs w:val="20"/>
              </w:rPr>
              <w:t>Kane County, IL</w:t>
            </w:r>
          </w:p>
        </w:tc>
      </w:tr>
      <w:tr w:rsidR="001512C6" w14:paraId="45EFE3EF" w14:textId="77777777" w:rsidTr="00E50005">
        <w:trPr>
          <w:trHeight w:val="259"/>
        </w:trPr>
        <w:tc>
          <w:tcPr>
            <w:tcW w:w="4675" w:type="dxa"/>
            <w:vMerge/>
            <w:tcBorders>
              <w:left w:val="single" w:sz="4" w:space="0" w:color="0070C0"/>
              <w:right w:val="single" w:sz="4" w:space="0" w:color="0070C0"/>
            </w:tcBorders>
            <w:vAlign w:val="center"/>
          </w:tcPr>
          <w:p w14:paraId="2BFAF2CC" w14:textId="77777777" w:rsidR="001512C6" w:rsidRPr="00613C1C" w:rsidRDefault="001512C6"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554151E7" w14:textId="77777777" w:rsidR="001512C6" w:rsidRPr="00613C1C" w:rsidRDefault="001512C6" w:rsidP="002566F1">
            <w:pPr>
              <w:rPr>
                <w:szCs w:val="20"/>
              </w:rPr>
            </w:pPr>
            <w:r w:rsidRPr="00613C1C">
              <w:rPr>
                <w:rFonts w:eastAsia="Times New Roman"/>
                <w:color w:val="000000"/>
                <w:szCs w:val="20"/>
              </w:rPr>
              <w:t>Jasper County, IN</w:t>
            </w:r>
          </w:p>
        </w:tc>
      </w:tr>
      <w:tr w:rsidR="001512C6" w14:paraId="1E32D129" w14:textId="77777777" w:rsidTr="00E50005">
        <w:trPr>
          <w:trHeight w:val="259"/>
        </w:trPr>
        <w:tc>
          <w:tcPr>
            <w:tcW w:w="4675" w:type="dxa"/>
            <w:vMerge/>
            <w:tcBorders>
              <w:left w:val="single" w:sz="4" w:space="0" w:color="0070C0"/>
              <w:right w:val="single" w:sz="4" w:space="0" w:color="0070C0"/>
            </w:tcBorders>
            <w:vAlign w:val="center"/>
          </w:tcPr>
          <w:p w14:paraId="1F081993" w14:textId="77777777" w:rsidR="001512C6" w:rsidRPr="00613C1C" w:rsidRDefault="001512C6"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14C9D666" w14:textId="77777777" w:rsidR="001512C6" w:rsidRPr="00613C1C" w:rsidRDefault="001512C6" w:rsidP="002566F1">
            <w:pPr>
              <w:rPr>
                <w:szCs w:val="20"/>
              </w:rPr>
            </w:pPr>
            <w:r w:rsidRPr="00613C1C">
              <w:rPr>
                <w:rFonts w:eastAsia="Times New Roman"/>
                <w:color w:val="000000"/>
                <w:szCs w:val="20"/>
              </w:rPr>
              <w:t>Lake County, IN</w:t>
            </w:r>
          </w:p>
        </w:tc>
      </w:tr>
      <w:tr w:rsidR="001512C6" w14:paraId="1103BD7F" w14:textId="77777777" w:rsidTr="00E50005">
        <w:trPr>
          <w:trHeight w:val="259"/>
        </w:trPr>
        <w:tc>
          <w:tcPr>
            <w:tcW w:w="4675" w:type="dxa"/>
            <w:vMerge/>
            <w:tcBorders>
              <w:left w:val="single" w:sz="4" w:space="0" w:color="0070C0"/>
              <w:right w:val="single" w:sz="4" w:space="0" w:color="0070C0"/>
            </w:tcBorders>
            <w:vAlign w:val="center"/>
          </w:tcPr>
          <w:p w14:paraId="1E8EDE06" w14:textId="77777777" w:rsidR="001512C6" w:rsidRPr="00613C1C" w:rsidRDefault="001512C6"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69E854A2" w14:textId="77777777" w:rsidR="001512C6" w:rsidRPr="00613C1C" w:rsidRDefault="001512C6" w:rsidP="002566F1">
            <w:pPr>
              <w:rPr>
                <w:szCs w:val="20"/>
              </w:rPr>
            </w:pPr>
            <w:r w:rsidRPr="00613C1C">
              <w:rPr>
                <w:rFonts w:eastAsia="Times New Roman"/>
                <w:color w:val="000000"/>
                <w:szCs w:val="20"/>
              </w:rPr>
              <w:t>Newton County, IN</w:t>
            </w:r>
          </w:p>
        </w:tc>
      </w:tr>
      <w:tr w:rsidR="001512C6" w14:paraId="51786E2C" w14:textId="77777777" w:rsidTr="00E50005">
        <w:trPr>
          <w:trHeight w:val="259"/>
        </w:trPr>
        <w:tc>
          <w:tcPr>
            <w:tcW w:w="4675" w:type="dxa"/>
            <w:vMerge/>
            <w:tcBorders>
              <w:left w:val="single" w:sz="4" w:space="0" w:color="0070C0"/>
              <w:right w:val="single" w:sz="4" w:space="0" w:color="0070C0"/>
            </w:tcBorders>
            <w:vAlign w:val="center"/>
          </w:tcPr>
          <w:p w14:paraId="5789612A" w14:textId="77777777" w:rsidR="001512C6" w:rsidRPr="00613C1C" w:rsidRDefault="001512C6"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4C6172A8" w14:textId="77777777" w:rsidR="001512C6" w:rsidRPr="00613C1C" w:rsidRDefault="001512C6" w:rsidP="002566F1">
            <w:pPr>
              <w:rPr>
                <w:szCs w:val="20"/>
              </w:rPr>
            </w:pPr>
            <w:r w:rsidRPr="00613C1C">
              <w:rPr>
                <w:rFonts w:eastAsia="Times New Roman"/>
                <w:color w:val="000000"/>
                <w:szCs w:val="20"/>
              </w:rPr>
              <w:t>Porter County, IN</w:t>
            </w:r>
          </w:p>
        </w:tc>
      </w:tr>
      <w:tr w:rsidR="001512C6" w14:paraId="0AC760A9" w14:textId="77777777" w:rsidTr="00E50005">
        <w:trPr>
          <w:trHeight w:val="259"/>
        </w:trPr>
        <w:tc>
          <w:tcPr>
            <w:tcW w:w="4675" w:type="dxa"/>
            <w:vMerge/>
            <w:tcBorders>
              <w:left w:val="single" w:sz="4" w:space="0" w:color="0070C0"/>
              <w:right w:val="single" w:sz="4" w:space="0" w:color="0070C0"/>
            </w:tcBorders>
            <w:vAlign w:val="center"/>
          </w:tcPr>
          <w:p w14:paraId="14277158" w14:textId="77777777" w:rsidR="001512C6" w:rsidRPr="00613C1C" w:rsidRDefault="001512C6"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4833EAE6" w14:textId="77777777" w:rsidR="001512C6" w:rsidRPr="00613C1C" w:rsidRDefault="001512C6" w:rsidP="002566F1">
            <w:pPr>
              <w:rPr>
                <w:szCs w:val="20"/>
              </w:rPr>
            </w:pPr>
            <w:r w:rsidRPr="00613C1C">
              <w:rPr>
                <w:rFonts w:eastAsia="Times New Roman"/>
                <w:color w:val="000000"/>
                <w:szCs w:val="20"/>
              </w:rPr>
              <w:t>Lake County, IL</w:t>
            </w:r>
          </w:p>
        </w:tc>
      </w:tr>
      <w:tr w:rsidR="001512C6" w14:paraId="053B3877" w14:textId="77777777" w:rsidTr="00E50005">
        <w:trPr>
          <w:trHeight w:val="259"/>
        </w:trPr>
        <w:tc>
          <w:tcPr>
            <w:tcW w:w="4675" w:type="dxa"/>
            <w:vMerge/>
            <w:tcBorders>
              <w:left w:val="single" w:sz="4" w:space="0" w:color="0070C0"/>
              <w:bottom w:val="single" w:sz="4" w:space="0" w:color="0070C0"/>
              <w:right w:val="single" w:sz="4" w:space="0" w:color="0070C0"/>
            </w:tcBorders>
            <w:vAlign w:val="center"/>
          </w:tcPr>
          <w:p w14:paraId="1DD3E47A" w14:textId="77777777" w:rsidR="001512C6" w:rsidRPr="00613C1C" w:rsidRDefault="001512C6"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64F0CED2" w14:textId="77777777" w:rsidR="001512C6" w:rsidRPr="00613C1C" w:rsidRDefault="001512C6" w:rsidP="002566F1">
            <w:pPr>
              <w:rPr>
                <w:szCs w:val="20"/>
              </w:rPr>
            </w:pPr>
            <w:r w:rsidRPr="00613C1C">
              <w:rPr>
                <w:rFonts w:eastAsia="Times New Roman"/>
                <w:color w:val="000000"/>
                <w:szCs w:val="20"/>
              </w:rPr>
              <w:t>Kenosha County, WI</w:t>
            </w:r>
          </w:p>
        </w:tc>
      </w:tr>
      <w:tr w:rsidR="00FE7283" w14:paraId="15DE1873" w14:textId="77777777" w:rsidTr="002566F1">
        <w:trPr>
          <w:trHeight w:val="259"/>
        </w:trPr>
        <w:tc>
          <w:tcPr>
            <w:tcW w:w="4675" w:type="dxa"/>
            <w:vMerge w:val="restart"/>
            <w:tcBorders>
              <w:top w:val="single" w:sz="4" w:space="0" w:color="0070C0"/>
              <w:left w:val="single" w:sz="4" w:space="0" w:color="0070C0"/>
              <w:bottom w:val="single" w:sz="4" w:space="0" w:color="0070C0"/>
              <w:right w:val="single" w:sz="4" w:space="0" w:color="0070C0"/>
            </w:tcBorders>
            <w:vAlign w:val="center"/>
          </w:tcPr>
          <w:p w14:paraId="4BF1EF77" w14:textId="77777777" w:rsidR="00FE7283" w:rsidRPr="00613C1C" w:rsidRDefault="00FE7283" w:rsidP="002566F1">
            <w:pPr>
              <w:ind w:left="27"/>
              <w:rPr>
                <w:szCs w:val="20"/>
              </w:rPr>
            </w:pPr>
            <w:r w:rsidRPr="00613C1C">
              <w:rPr>
                <w:rFonts w:eastAsia="Times New Roman"/>
                <w:color w:val="000000"/>
                <w:szCs w:val="20"/>
              </w:rPr>
              <w:t>Dallas-Fort Worth-Arlington, TX</w:t>
            </w:r>
          </w:p>
        </w:tc>
        <w:tc>
          <w:tcPr>
            <w:tcW w:w="4675" w:type="dxa"/>
            <w:tcBorders>
              <w:top w:val="single" w:sz="4" w:space="0" w:color="0070C0"/>
              <w:left w:val="single" w:sz="4" w:space="0" w:color="0070C0"/>
              <w:bottom w:val="single" w:sz="4" w:space="0" w:color="0070C0"/>
              <w:right w:val="single" w:sz="4" w:space="0" w:color="0070C0"/>
            </w:tcBorders>
            <w:vAlign w:val="center"/>
          </w:tcPr>
          <w:p w14:paraId="1B7C97F3" w14:textId="77777777" w:rsidR="00FE7283" w:rsidRPr="00613C1C" w:rsidRDefault="00FE7283" w:rsidP="002566F1">
            <w:pPr>
              <w:rPr>
                <w:rFonts w:eastAsia="Times New Roman"/>
                <w:color w:val="000000"/>
                <w:szCs w:val="20"/>
              </w:rPr>
            </w:pPr>
            <w:r w:rsidRPr="00613C1C">
              <w:rPr>
                <w:rFonts w:eastAsia="Times New Roman"/>
                <w:color w:val="000000"/>
                <w:szCs w:val="20"/>
              </w:rPr>
              <w:t xml:space="preserve">Collin </w:t>
            </w:r>
            <w:r w:rsidR="00DF1597" w:rsidRPr="00613C1C">
              <w:rPr>
                <w:rFonts w:eastAsia="Times New Roman"/>
                <w:color w:val="000000"/>
                <w:szCs w:val="20"/>
              </w:rPr>
              <w:t>County, TX</w:t>
            </w:r>
          </w:p>
        </w:tc>
      </w:tr>
      <w:tr w:rsidR="00FE7283" w14:paraId="34056524" w14:textId="77777777" w:rsidTr="002566F1">
        <w:trPr>
          <w:trHeight w:val="259"/>
        </w:trPr>
        <w:tc>
          <w:tcPr>
            <w:tcW w:w="4675" w:type="dxa"/>
            <w:vMerge/>
            <w:tcBorders>
              <w:top w:val="single" w:sz="4" w:space="0" w:color="0070C0"/>
              <w:left w:val="single" w:sz="4" w:space="0" w:color="0070C0"/>
              <w:bottom w:val="single" w:sz="4" w:space="0" w:color="0070C0"/>
              <w:right w:val="single" w:sz="4" w:space="0" w:color="0070C0"/>
            </w:tcBorders>
            <w:vAlign w:val="center"/>
          </w:tcPr>
          <w:p w14:paraId="045CBF16" w14:textId="77777777" w:rsidR="00FE7283" w:rsidRPr="00613C1C" w:rsidRDefault="00FE7283"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751B5128" w14:textId="77777777" w:rsidR="00FE7283" w:rsidRPr="00613C1C" w:rsidRDefault="00FE7283" w:rsidP="002566F1">
            <w:pPr>
              <w:rPr>
                <w:rFonts w:eastAsia="Times New Roman"/>
                <w:color w:val="000000"/>
                <w:szCs w:val="20"/>
              </w:rPr>
            </w:pPr>
            <w:r w:rsidRPr="00613C1C">
              <w:rPr>
                <w:rFonts w:eastAsia="Times New Roman"/>
                <w:color w:val="000000"/>
                <w:szCs w:val="20"/>
              </w:rPr>
              <w:t xml:space="preserve">Dallas </w:t>
            </w:r>
            <w:r w:rsidR="00DF1597" w:rsidRPr="00613C1C">
              <w:rPr>
                <w:rFonts w:eastAsia="Times New Roman"/>
                <w:color w:val="000000"/>
                <w:szCs w:val="20"/>
              </w:rPr>
              <w:t>County, TX</w:t>
            </w:r>
          </w:p>
        </w:tc>
      </w:tr>
      <w:tr w:rsidR="00FE7283" w14:paraId="7E720E51" w14:textId="77777777" w:rsidTr="002566F1">
        <w:trPr>
          <w:trHeight w:val="259"/>
        </w:trPr>
        <w:tc>
          <w:tcPr>
            <w:tcW w:w="4675" w:type="dxa"/>
            <w:vMerge/>
            <w:tcBorders>
              <w:top w:val="single" w:sz="4" w:space="0" w:color="0070C0"/>
              <w:left w:val="single" w:sz="4" w:space="0" w:color="0070C0"/>
              <w:bottom w:val="single" w:sz="4" w:space="0" w:color="0070C0"/>
              <w:right w:val="single" w:sz="4" w:space="0" w:color="0070C0"/>
            </w:tcBorders>
            <w:vAlign w:val="center"/>
          </w:tcPr>
          <w:p w14:paraId="4E05E86C" w14:textId="77777777" w:rsidR="00FE7283" w:rsidRPr="00613C1C" w:rsidRDefault="00FE7283"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53B268FA" w14:textId="77777777" w:rsidR="00FE7283" w:rsidRPr="00613C1C" w:rsidRDefault="00FE7283" w:rsidP="002566F1">
            <w:pPr>
              <w:rPr>
                <w:rFonts w:eastAsia="Times New Roman"/>
                <w:color w:val="000000"/>
                <w:szCs w:val="20"/>
              </w:rPr>
            </w:pPr>
            <w:r w:rsidRPr="00613C1C">
              <w:rPr>
                <w:rFonts w:eastAsia="Times New Roman"/>
                <w:color w:val="000000"/>
                <w:szCs w:val="20"/>
              </w:rPr>
              <w:t xml:space="preserve">Denton </w:t>
            </w:r>
            <w:r w:rsidR="00DF1597" w:rsidRPr="00613C1C">
              <w:rPr>
                <w:rFonts w:eastAsia="Times New Roman"/>
                <w:color w:val="000000"/>
                <w:szCs w:val="20"/>
              </w:rPr>
              <w:t>County, TX</w:t>
            </w:r>
          </w:p>
        </w:tc>
      </w:tr>
      <w:tr w:rsidR="00FE7283" w14:paraId="69D382FE" w14:textId="77777777" w:rsidTr="002566F1">
        <w:trPr>
          <w:trHeight w:val="259"/>
        </w:trPr>
        <w:tc>
          <w:tcPr>
            <w:tcW w:w="4675" w:type="dxa"/>
            <w:vMerge/>
            <w:tcBorders>
              <w:top w:val="single" w:sz="4" w:space="0" w:color="0070C0"/>
              <w:left w:val="single" w:sz="4" w:space="0" w:color="0070C0"/>
              <w:bottom w:val="single" w:sz="4" w:space="0" w:color="0070C0"/>
              <w:right w:val="single" w:sz="4" w:space="0" w:color="0070C0"/>
            </w:tcBorders>
            <w:vAlign w:val="center"/>
          </w:tcPr>
          <w:p w14:paraId="789C2EE9" w14:textId="77777777" w:rsidR="00FE7283" w:rsidRPr="00613C1C" w:rsidRDefault="00FE7283"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1AC099A8" w14:textId="77777777" w:rsidR="00FE7283" w:rsidRPr="00613C1C" w:rsidRDefault="00FE7283" w:rsidP="002566F1">
            <w:pPr>
              <w:rPr>
                <w:rFonts w:eastAsia="Times New Roman"/>
                <w:color w:val="000000"/>
                <w:szCs w:val="20"/>
              </w:rPr>
            </w:pPr>
            <w:r w:rsidRPr="00613C1C">
              <w:rPr>
                <w:rFonts w:eastAsia="Times New Roman"/>
                <w:color w:val="000000"/>
                <w:szCs w:val="20"/>
              </w:rPr>
              <w:t xml:space="preserve">Ellis </w:t>
            </w:r>
            <w:r w:rsidR="00DF1597" w:rsidRPr="00613C1C">
              <w:rPr>
                <w:rFonts w:eastAsia="Times New Roman"/>
                <w:color w:val="000000"/>
                <w:szCs w:val="20"/>
              </w:rPr>
              <w:t>County, TX</w:t>
            </w:r>
          </w:p>
        </w:tc>
      </w:tr>
      <w:tr w:rsidR="00FE7283" w14:paraId="5EEA7BB6" w14:textId="77777777" w:rsidTr="002566F1">
        <w:trPr>
          <w:trHeight w:val="259"/>
        </w:trPr>
        <w:tc>
          <w:tcPr>
            <w:tcW w:w="4675" w:type="dxa"/>
            <w:vMerge/>
            <w:tcBorders>
              <w:top w:val="single" w:sz="4" w:space="0" w:color="0070C0"/>
              <w:left w:val="single" w:sz="4" w:space="0" w:color="0070C0"/>
              <w:bottom w:val="single" w:sz="4" w:space="0" w:color="0070C0"/>
              <w:right w:val="single" w:sz="4" w:space="0" w:color="0070C0"/>
            </w:tcBorders>
            <w:vAlign w:val="center"/>
          </w:tcPr>
          <w:p w14:paraId="7255369E" w14:textId="77777777" w:rsidR="00FE7283" w:rsidRPr="00613C1C" w:rsidRDefault="00FE7283"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4A1D3E43" w14:textId="77777777" w:rsidR="00FE7283" w:rsidRPr="00613C1C" w:rsidRDefault="00FE7283" w:rsidP="002566F1">
            <w:pPr>
              <w:rPr>
                <w:rFonts w:eastAsia="Times New Roman"/>
                <w:color w:val="000000"/>
                <w:szCs w:val="20"/>
              </w:rPr>
            </w:pPr>
            <w:r w:rsidRPr="00613C1C">
              <w:rPr>
                <w:rFonts w:eastAsia="Times New Roman"/>
                <w:color w:val="000000"/>
                <w:szCs w:val="20"/>
              </w:rPr>
              <w:t xml:space="preserve">Hunt </w:t>
            </w:r>
            <w:r w:rsidR="00DF1597" w:rsidRPr="00613C1C">
              <w:rPr>
                <w:rFonts w:eastAsia="Times New Roman"/>
                <w:color w:val="000000"/>
                <w:szCs w:val="20"/>
              </w:rPr>
              <w:t>County, TX</w:t>
            </w:r>
          </w:p>
        </w:tc>
      </w:tr>
      <w:tr w:rsidR="00FE7283" w14:paraId="03608DF3" w14:textId="77777777" w:rsidTr="002566F1">
        <w:trPr>
          <w:trHeight w:val="259"/>
        </w:trPr>
        <w:tc>
          <w:tcPr>
            <w:tcW w:w="4675" w:type="dxa"/>
            <w:vMerge/>
            <w:tcBorders>
              <w:top w:val="single" w:sz="4" w:space="0" w:color="0070C0"/>
              <w:left w:val="single" w:sz="4" w:space="0" w:color="0070C0"/>
              <w:bottom w:val="single" w:sz="4" w:space="0" w:color="0070C0"/>
              <w:right w:val="single" w:sz="4" w:space="0" w:color="0070C0"/>
            </w:tcBorders>
            <w:vAlign w:val="center"/>
          </w:tcPr>
          <w:p w14:paraId="6498DA1E" w14:textId="77777777" w:rsidR="00FE7283" w:rsidRPr="00613C1C" w:rsidRDefault="00FE7283"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56F4AB68" w14:textId="77777777" w:rsidR="00FE7283" w:rsidRPr="00613C1C" w:rsidRDefault="00FE7283" w:rsidP="002566F1">
            <w:pPr>
              <w:rPr>
                <w:rFonts w:eastAsia="Times New Roman"/>
                <w:color w:val="000000"/>
                <w:szCs w:val="20"/>
              </w:rPr>
            </w:pPr>
            <w:r w:rsidRPr="00613C1C">
              <w:rPr>
                <w:rFonts w:eastAsia="Times New Roman"/>
                <w:color w:val="000000"/>
                <w:szCs w:val="20"/>
              </w:rPr>
              <w:t xml:space="preserve">Kaufman </w:t>
            </w:r>
            <w:r w:rsidR="00DF1597" w:rsidRPr="00613C1C">
              <w:rPr>
                <w:rFonts w:eastAsia="Times New Roman"/>
                <w:color w:val="000000"/>
                <w:szCs w:val="20"/>
              </w:rPr>
              <w:t>County, TX</w:t>
            </w:r>
          </w:p>
        </w:tc>
      </w:tr>
      <w:tr w:rsidR="00FE7283" w14:paraId="39DA6AE2" w14:textId="77777777" w:rsidTr="002566F1">
        <w:trPr>
          <w:trHeight w:val="259"/>
        </w:trPr>
        <w:tc>
          <w:tcPr>
            <w:tcW w:w="4675" w:type="dxa"/>
            <w:vMerge/>
            <w:tcBorders>
              <w:top w:val="single" w:sz="4" w:space="0" w:color="0070C0"/>
              <w:left w:val="single" w:sz="4" w:space="0" w:color="0070C0"/>
              <w:bottom w:val="single" w:sz="4" w:space="0" w:color="0070C0"/>
              <w:right w:val="single" w:sz="4" w:space="0" w:color="0070C0"/>
            </w:tcBorders>
            <w:vAlign w:val="center"/>
          </w:tcPr>
          <w:p w14:paraId="2A325C99" w14:textId="77777777" w:rsidR="00FE7283" w:rsidRPr="00613C1C" w:rsidRDefault="00FE7283"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691731B2" w14:textId="77777777" w:rsidR="00FE7283" w:rsidRPr="00613C1C" w:rsidRDefault="00FE7283" w:rsidP="002566F1">
            <w:pPr>
              <w:rPr>
                <w:rFonts w:eastAsia="Times New Roman"/>
                <w:color w:val="000000"/>
                <w:szCs w:val="20"/>
              </w:rPr>
            </w:pPr>
            <w:r w:rsidRPr="00613C1C">
              <w:rPr>
                <w:rFonts w:eastAsia="Times New Roman"/>
                <w:color w:val="000000"/>
                <w:szCs w:val="20"/>
              </w:rPr>
              <w:t xml:space="preserve">Rockwall </w:t>
            </w:r>
            <w:r w:rsidR="00DF1597" w:rsidRPr="00613C1C">
              <w:rPr>
                <w:rFonts w:eastAsia="Times New Roman"/>
                <w:color w:val="000000"/>
                <w:szCs w:val="20"/>
              </w:rPr>
              <w:t>County, TX</w:t>
            </w:r>
          </w:p>
        </w:tc>
      </w:tr>
      <w:tr w:rsidR="00FE7283" w14:paraId="6D026461" w14:textId="77777777" w:rsidTr="002566F1">
        <w:trPr>
          <w:trHeight w:val="259"/>
        </w:trPr>
        <w:tc>
          <w:tcPr>
            <w:tcW w:w="4675" w:type="dxa"/>
            <w:vMerge/>
            <w:tcBorders>
              <w:top w:val="single" w:sz="4" w:space="0" w:color="0070C0"/>
              <w:left w:val="single" w:sz="4" w:space="0" w:color="0070C0"/>
              <w:bottom w:val="single" w:sz="4" w:space="0" w:color="0070C0"/>
              <w:right w:val="single" w:sz="4" w:space="0" w:color="0070C0"/>
            </w:tcBorders>
            <w:vAlign w:val="center"/>
          </w:tcPr>
          <w:p w14:paraId="0B432530" w14:textId="77777777" w:rsidR="00FE7283" w:rsidRPr="00613C1C" w:rsidRDefault="00FE7283"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29F6680C" w14:textId="77777777" w:rsidR="00FE7283" w:rsidRPr="00613C1C" w:rsidRDefault="00FE7283" w:rsidP="002566F1">
            <w:pPr>
              <w:rPr>
                <w:rFonts w:eastAsia="Times New Roman"/>
                <w:color w:val="000000"/>
                <w:szCs w:val="20"/>
              </w:rPr>
            </w:pPr>
            <w:r w:rsidRPr="00613C1C">
              <w:rPr>
                <w:rFonts w:eastAsia="Times New Roman"/>
                <w:color w:val="000000"/>
                <w:szCs w:val="20"/>
              </w:rPr>
              <w:t xml:space="preserve">Hood </w:t>
            </w:r>
            <w:r w:rsidR="00DF1597" w:rsidRPr="00613C1C">
              <w:rPr>
                <w:rFonts w:eastAsia="Times New Roman"/>
                <w:color w:val="000000"/>
                <w:szCs w:val="20"/>
              </w:rPr>
              <w:t>County, TX</w:t>
            </w:r>
          </w:p>
        </w:tc>
      </w:tr>
      <w:tr w:rsidR="00FE7283" w14:paraId="65500FE7" w14:textId="77777777" w:rsidTr="002566F1">
        <w:trPr>
          <w:trHeight w:val="259"/>
        </w:trPr>
        <w:tc>
          <w:tcPr>
            <w:tcW w:w="4675" w:type="dxa"/>
            <w:vMerge/>
            <w:tcBorders>
              <w:top w:val="single" w:sz="4" w:space="0" w:color="0070C0"/>
              <w:left w:val="single" w:sz="4" w:space="0" w:color="0070C0"/>
              <w:bottom w:val="single" w:sz="4" w:space="0" w:color="0070C0"/>
              <w:right w:val="single" w:sz="4" w:space="0" w:color="0070C0"/>
            </w:tcBorders>
            <w:vAlign w:val="center"/>
          </w:tcPr>
          <w:p w14:paraId="0FD1DD25" w14:textId="77777777" w:rsidR="00FE7283" w:rsidRPr="00613C1C" w:rsidRDefault="00FE7283"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011D8A52" w14:textId="77777777" w:rsidR="00FE7283" w:rsidRPr="00613C1C" w:rsidRDefault="00FE7283" w:rsidP="002566F1">
            <w:pPr>
              <w:rPr>
                <w:rFonts w:eastAsia="Times New Roman"/>
                <w:color w:val="000000"/>
                <w:szCs w:val="20"/>
              </w:rPr>
            </w:pPr>
            <w:r w:rsidRPr="00613C1C">
              <w:rPr>
                <w:rFonts w:eastAsia="Times New Roman"/>
                <w:color w:val="000000"/>
                <w:szCs w:val="20"/>
              </w:rPr>
              <w:t xml:space="preserve">Johnson </w:t>
            </w:r>
            <w:r w:rsidR="00DF1597" w:rsidRPr="00613C1C">
              <w:rPr>
                <w:rFonts w:eastAsia="Times New Roman"/>
                <w:color w:val="000000"/>
                <w:szCs w:val="20"/>
              </w:rPr>
              <w:t>County, TX</w:t>
            </w:r>
          </w:p>
        </w:tc>
      </w:tr>
      <w:tr w:rsidR="00FE7283" w14:paraId="3BD28A93" w14:textId="77777777" w:rsidTr="002566F1">
        <w:trPr>
          <w:trHeight w:val="259"/>
        </w:trPr>
        <w:tc>
          <w:tcPr>
            <w:tcW w:w="4675" w:type="dxa"/>
            <w:vMerge/>
            <w:tcBorders>
              <w:top w:val="single" w:sz="4" w:space="0" w:color="0070C0"/>
              <w:left w:val="single" w:sz="4" w:space="0" w:color="0070C0"/>
              <w:bottom w:val="single" w:sz="4" w:space="0" w:color="0070C0"/>
              <w:right w:val="single" w:sz="4" w:space="0" w:color="0070C0"/>
            </w:tcBorders>
            <w:vAlign w:val="center"/>
          </w:tcPr>
          <w:p w14:paraId="4B7EFFE3" w14:textId="77777777" w:rsidR="00FE7283" w:rsidRPr="00613C1C" w:rsidRDefault="00FE7283"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622B8D24" w14:textId="77777777" w:rsidR="00FE7283" w:rsidRPr="00613C1C" w:rsidRDefault="00FE7283" w:rsidP="002566F1">
            <w:pPr>
              <w:rPr>
                <w:rFonts w:eastAsia="Times New Roman"/>
                <w:color w:val="000000"/>
                <w:szCs w:val="20"/>
              </w:rPr>
            </w:pPr>
            <w:r w:rsidRPr="00613C1C">
              <w:rPr>
                <w:rFonts w:eastAsia="Times New Roman"/>
                <w:color w:val="000000"/>
                <w:szCs w:val="20"/>
              </w:rPr>
              <w:t xml:space="preserve">Parker </w:t>
            </w:r>
            <w:r w:rsidR="00DF1597" w:rsidRPr="00613C1C">
              <w:rPr>
                <w:rFonts w:eastAsia="Times New Roman"/>
                <w:color w:val="000000"/>
                <w:szCs w:val="20"/>
              </w:rPr>
              <w:t>County, TX</w:t>
            </w:r>
          </w:p>
        </w:tc>
      </w:tr>
      <w:tr w:rsidR="00FE7283" w14:paraId="7EE42DAD" w14:textId="77777777" w:rsidTr="002566F1">
        <w:trPr>
          <w:trHeight w:val="259"/>
        </w:trPr>
        <w:tc>
          <w:tcPr>
            <w:tcW w:w="4675" w:type="dxa"/>
            <w:vMerge/>
            <w:tcBorders>
              <w:top w:val="single" w:sz="4" w:space="0" w:color="0070C0"/>
              <w:left w:val="single" w:sz="4" w:space="0" w:color="0070C0"/>
              <w:bottom w:val="single" w:sz="4" w:space="0" w:color="0070C0"/>
              <w:right w:val="single" w:sz="4" w:space="0" w:color="0070C0"/>
            </w:tcBorders>
            <w:vAlign w:val="center"/>
          </w:tcPr>
          <w:p w14:paraId="171B03D8" w14:textId="77777777" w:rsidR="00FE7283" w:rsidRPr="00613C1C" w:rsidRDefault="00FE7283"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026F322A" w14:textId="77777777" w:rsidR="00FE7283" w:rsidRPr="00613C1C" w:rsidRDefault="00FE7283" w:rsidP="002566F1">
            <w:pPr>
              <w:rPr>
                <w:rFonts w:eastAsia="Times New Roman"/>
                <w:color w:val="000000"/>
                <w:szCs w:val="20"/>
              </w:rPr>
            </w:pPr>
            <w:r w:rsidRPr="00613C1C">
              <w:rPr>
                <w:rFonts w:eastAsia="Times New Roman"/>
                <w:color w:val="000000"/>
                <w:szCs w:val="20"/>
              </w:rPr>
              <w:t xml:space="preserve">Somervell </w:t>
            </w:r>
            <w:r w:rsidR="00DF1597" w:rsidRPr="00613C1C">
              <w:rPr>
                <w:rFonts w:eastAsia="Times New Roman"/>
                <w:color w:val="000000"/>
                <w:szCs w:val="20"/>
              </w:rPr>
              <w:t>County, TX</w:t>
            </w:r>
          </w:p>
        </w:tc>
      </w:tr>
      <w:tr w:rsidR="00FE7283" w14:paraId="508AECD2" w14:textId="77777777" w:rsidTr="002566F1">
        <w:trPr>
          <w:trHeight w:val="259"/>
        </w:trPr>
        <w:tc>
          <w:tcPr>
            <w:tcW w:w="4675" w:type="dxa"/>
            <w:vMerge/>
            <w:tcBorders>
              <w:top w:val="single" w:sz="4" w:space="0" w:color="0070C0"/>
              <w:left w:val="single" w:sz="4" w:space="0" w:color="0070C0"/>
              <w:bottom w:val="single" w:sz="4" w:space="0" w:color="0070C0"/>
              <w:right w:val="single" w:sz="4" w:space="0" w:color="0070C0"/>
            </w:tcBorders>
            <w:vAlign w:val="center"/>
          </w:tcPr>
          <w:p w14:paraId="12B93D70" w14:textId="77777777" w:rsidR="00FE7283" w:rsidRPr="00613C1C" w:rsidRDefault="00FE7283"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6776B858" w14:textId="77777777" w:rsidR="00FE7283" w:rsidRPr="00613C1C" w:rsidRDefault="00FE7283" w:rsidP="002566F1">
            <w:pPr>
              <w:rPr>
                <w:rFonts w:eastAsia="Times New Roman"/>
                <w:color w:val="000000"/>
                <w:szCs w:val="20"/>
              </w:rPr>
            </w:pPr>
            <w:r w:rsidRPr="00613C1C">
              <w:rPr>
                <w:rFonts w:eastAsia="Times New Roman"/>
                <w:color w:val="000000"/>
                <w:szCs w:val="20"/>
              </w:rPr>
              <w:t xml:space="preserve">Tarrant </w:t>
            </w:r>
            <w:r w:rsidR="00DF1597" w:rsidRPr="00613C1C">
              <w:rPr>
                <w:rFonts w:eastAsia="Times New Roman"/>
                <w:color w:val="000000"/>
                <w:szCs w:val="20"/>
              </w:rPr>
              <w:t>County, TX</w:t>
            </w:r>
          </w:p>
        </w:tc>
      </w:tr>
      <w:tr w:rsidR="00FE7283" w14:paraId="1FBC6A74" w14:textId="77777777" w:rsidTr="002566F1">
        <w:trPr>
          <w:trHeight w:val="259"/>
        </w:trPr>
        <w:tc>
          <w:tcPr>
            <w:tcW w:w="4675" w:type="dxa"/>
            <w:vMerge/>
            <w:tcBorders>
              <w:top w:val="single" w:sz="4" w:space="0" w:color="0070C0"/>
              <w:left w:val="single" w:sz="4" w:space="0" w:color="0070C0"/>
              <w:bottom w:val="single" w:sz="4" w:space="0" w:color="0070C0"/>
              <w:right w:val="single" w:sz="4" w:space="0" w:color="0070C0"/>
            </w:tcBorders>
            <w:vAlign w:val="center"/>
          </w:tcPr>
          <w:p w14:paraId="7CAC20DB" w14:textId="77777777" w:rsidR="00FE7283" w:rsidRPr="00613C1C" w:rsidRDefault="00FE7283" w:rsidP="002566F1">
            <w:pPr>
              <w:rPr>
                <w:szCs w:val="20"/>
              </w:rPr>
            </w:pPr>
          </w:p>
        </w:tc>
        <w:tc>
          <w:tcPr>
            <w:tcW w:w="4675" w:type="dxa"/>
            <w:tcBorders>
              <w:top w:val="single" w:sz="4" w:space="0" w:color="0070C0"/>
              <w:left w:val="single" w:sz="4" w:space="0" w:color="0070C0"/>
              <w:bottom w:val="single" w:sz="4" w:space="0" w:color="0070C0"/>
              <w:right w:val="single" w:sz="4" w:space="0" w:color="0070C0"/>
            </w:tcBorders>
            <w:vAlign w:val="center"/>
          </w:tcPr>
          <w:p w14:paraId="72757953" w14:textId="77777777" w:rsidR="00FE7283" w:rsidRPr="00613C1C" w:rsidRDefault="00FE7283" w:rsidP="002566F1">
            <w:pPr>
              <w:rPr>
                <w:rFonts w:eastAsia="Times New Roman"/>
                <w:color w:val="000000"/>
                <w:szCs w:val="20"/>
              </w:rPr>
            </w:pPr>
            <w:r w:rsidRPr="00613C1C">
              <w:rPr>
                <w:rFonts w:eastAsia="Times New Roman"/>
                <w:color w:val="000000"/>
                <w:szCs w:val="20"/>
              </w:rPr>
              <w:t xml:space="preserve">Wise </w:t>
            </w:r>
            <w:r w:rsidR="00DF1597" w:rsidRPr="00613C1C">
              <w:rPr>
                <w:rFonts w:eastAsia="Times New Roman"/>
                <w:color w:val="000000"/>
                <w:szCs w:val="20"/>
              </w:rPr>
              <w:t>County, TX</w:t>
            </w:r>
          </w:p>
        </w:tc>
      </w:tr>
    </w:tbl>
    <w:p w14:paraId="1A4C9D04" w14:textId="77777777" w:rsidR="00FE7283" w:rsidRPr="00AC4CF8" w:rsidRDefault="00FE7283" w:rsidP="00FE7283">
      <w:pPr>
        <w:pStyle w:val="Heading4"/>
      </w:pPr>
      <w:r w:rsidRPr="00AC4CF8">
        <w:t>County/Municipal</w:t>
      </w:r>
    </w:p>
    <w:p w14:paraId="083050C3" w14:textId="42469107" w:rsidR="00613C1C" w:rsidRDefault="00FE7283" w:rsidP="00613C1C">
      <w:pPr>
        <w:spacing w:before="240" w:after="240" w:line="276" w:lineRule="auto"/>
        <w:rPr>
          <w:rFonts w:eastAsia="Times New Roman"/>
          <w:color w:val="000000"/>
        </w:rPr>
      </w:pPr>
      <w:r w:rsidRPr="00FE7283">
        <w:rPr>
          <w:rFonts w:eastAsia="Times New Roman"/>
        </w:rPr>
        <w:t xml:space="preserve">The county/municipal </w:t>
      </w:r>
      <w:r>
        <w:rPr>
          <w:rFonts w:eastAsia="Times New Roman"/>
        </w:rPr>
        <w:t xml:space="preserve">geographic </w:t>
      </w:r>
      <w:r w:rsidR="00DF1597">
        <w:rPr>
          <w:rFonts w:eastAsia="Times New Roman"/>
        </w:rPr>
        <w:t>scale</w:t>
      </w:r>
      <w:r>
        <w:rPr>
          <w:rFonts w:eastAsia="Times New Roman"/>
        </w:rPr>
        <w:t xml:space="preserve"> was defined as a</w:t>
      </w:r>
      <w:r w:rsidRPr="00FE7283">
        <w:rPr>
          <w:rFonts w:eastAsia="Times New Roman"/>
        </w:rPr>
        <w:t xml:space="preserve"> compl</w:t>
      </w:r>
      <w:r w:rsidR="00A05A7F">
        <w:rPr>
          <w:rFonts w:eastAsia="Times New Roman"/>
        </w:rPr>
        <w:t>e</w:t>
      </w:r>
      <w:r w:rsidRPr="00FE7283">
        <w:rPr>
          <w:rFonts w:eastAsia="Times New Roman"/>
        </w:rPr>
        <w:t xml:space="preserve">ment </w:t>
      </w:r>
      <w:r w:rsidR="00A05A7F">
        <w:rPr>
          <w:rFonts w:eastAsia="Times New Roman"/>
        </w:rPr>
        <w:t>to</w:t>
      </w:r>
      <w:r w:rsidR="00A05A7F" w:rsidRPr="00FE7283">
        <w:rPr>
          <w:rFonts w:eastAsia="Times New Roman"/>
        </w:rPr>
        <w:t xml:space="preserve"> </w:t>
      </w:r>
      <w:r w:rsidRPr="00FE7283">
        <w:rPr>
          <w:rFonts w:eastAsia="Times New Roman"/>
        </w:rPr>
        <w:t xml:space="preserve">the metropolitan area. In this case, </w:t>
      </w:r>
      <w:r>
        <w:rPr>
          <w:rFonts w:eastAsia="Times New Roman"/>
        </w:rPr>
        <w:t>the</w:t>
      </w:r>
      <w:r w:rsidRPr="00FE7283">
        <w:rPr>
          <w:rFonts w:eastAsia="Times New Roman"/>
        </w:rPr>
        <w:t xml:space="preserve"> regional definition includes primarily rural areas with a small town/city core. Accordingly, Census Micropolitan Statistical Areas</w:t>
      </w:r>
      <w:r>
        <w:rPr>
          <w:rFonts w:eastAsia="Times New Roman"/>
        </w:rPr>
        <w:t xml:space="preserve"> were used to define this geographic area. A</w:t>
      </w:r>
      <w:r w:rsidRPr="00FE7283">
        <w:rPr>
          <w:rFonts w:eastAsia="Times New Roman"/>
        </w:rPr>
        <w:t xml:space="preserve"> sample of 33 counties that are considered "</w:t>
      </w:r>
      <w:r w:rsidR="00A05A7F">
        <w:rPr>
          <w:rFonts w:eastAsia="Times New Roman"/>
        </w:rPr>
        <w:t>c</w:t>
      </w:r>
      <w:r w:rsidRPr="00FE7283">
        <w:rPr>
          <w:rFonts w:eastAsia="Times New Roman"/>
        </w:rPr>
        <w:t xml:space="preserve">entral" (rather than "outlying") to capture the </w:t>
      </w:r>
      <w:r w:rsidR="00A05A7F">
        <w:rPr>
          <w:rFonts w:eastAsia="Times New Roman"/>
        </w:rPr>
        <w:t>m</w:t>
      </w:r>
      <w:r w:rsidRPr="00FE7283">
        <w:rPr>
          <w:rFonts w:eastAsia="Times New Roman"/>
        </w:rPr>
        <w:t>unicipal character of the regions</w:t>
      </w:r>
      <w:r>
        <w:rPr>
          <w:rFonts w:eastAsia="Times New Roman"/>
        </w:rPr>
        <w:t xml:space="preserve"> was used</w:t>
      </w:r>
      <w:r w:rsidRPr="00FE7283">
        <w:rPr>
          <w:rFonts w:eastAsia="Times New Roman"/>
        </w:rPr>
        <w:t>. The underlying counties are</w:t>
      </w:r>
      <w:r w:rsidR="00613C1C">
        <w:rPr>
          <w:rFonts w:eastAsia="Times New Roman"/>
        </w:rPr>
        <w:t xml:space="preserve"> listed in </w:t>
      </w:r>
      <w:r w:rsidR="00833B69">
        <w:rPr>
          <w:rFonts w:eastAsia="Times New Roman"/>
        </w:rPr>
        <w:fldChar w:fldCharType="begin"/>
      </w:r>
      <w:r w:rsidR="00613C1C">
        <w:rPr>
          <w:rFonts w:eastAsia="Times New Roman"/>
        </w:rPr>
        <w:instrText xml:space="preserve"> REF _Ref459533304 \h </w:instrText>
      </w:r>
      <w:r w:rsidR="00833B69">
        <w:rPr>
          <w:rFonts w:eastAsia="Times New Roman"/>
        </w:rPr>
      </w:r>
      <w:r w:rsidR="00833B69">
        <w:rPr>
          <w:rFonts w:eastAsia="Times New Roman"/>
        </w:rPr>
        <w:fldChar w:fldCharType="separate"/>
      </w:r>
      <w:r w:rsidR="00C42F38">
        <w:t xml:space="preserve">Table </w:t>
      </w:r>
      <w:r w:rsidR="00C42F38">
        <w:rPr>
          <w:noProof/>
        </w:rPr>
        <w:t>14</w:t>
      </w:r>
      <w:r w:rsidR="00833B69">
        <w:rPr>
          <w:rFonts w:eastAsia="Times New Roman"/>
        </w:rPr>
        <w:fldChar w:fldCharType="end"/>
      </w:r>
      <w:r w:rsidR="00613C1C">
        <w:rPr>
          <w:rFonts w:eastAsia="Times New Roman"/>
        </w:rPr>
        <w:t xml:space="preserve">. As with other definitions, MOVES was run for </w:t>
      </w:r>
      <w:r w:rsidR="00613C1C" w:rsidRPr="002E4D87">
        <w:rPr>
          <w:rFonts w:eastAsia="Times New Roman"/>
        </w:rPr>
        <w:t>each of th</w:t>
      </w:r>
      <w:r w:rsidR="00613C1C">
        <w:rPr>
          <w:rFonts w:eastAsia="Times New Roman"/>
        </w:rPr>
        <w:t>e</w:t>
      </w:r>
      <w:r w:rsidR="00613C1C" w:rsidRPr="002E4D87">
        <w:rPr>
          <w:rFonts w:eastAsia="Times New Roman"/>
        </w:rPr>
        <w:t>se listed counties. Regional parameters, such as vehicle population</w:t>
      </w:r>
      <w:r w:rsidR="00613C1C">
        <w:rPr>
          <w:rFonts w:eastAsia="Times New Roman"/>
        </w:rPr>
        <w:t xml:space="preserve"> and VMT</w:t>
      </w:r>
      <w:r w:rsidR="00613C1C" w:rsidRPr="002E4D87">
        <w:rPr>
          <w:rFonts w:eastAsia="Times New Roman"/>
        </w:rPr>
        <w:t xml:space="preserve">, are determined as the total of all counties divided by 33. All four truck types are considered in this geographic </w:t>
      </w:r>
      <w:r w:rsidR="00613C1C">
        <w:rPr>
          <w:rFonts w:eastAsia="Times New Roman"/>
        </w:rPr>
        <w:t>scale</w:t>
      </w:r>
      <w:r w:rsidR="00613C1C" w:rsidRPr="002E4D87">
        <w:rPr>
          <w:rFonts w:eastAsia="Times New Roman"/>
        </w:rPr>
        <w:t>.</w:t>
      </w:r>
    </w:p>
    <w:p w14:paraId="4097060E" w14:textId="77777777" w:rsidR="00613C1C" w:rsidRDefault="00613C1C" w:rsidP="00613C1C">
      <w:pPr>
        <w:pStyle w:val="TableCaption"/>
      </w:pPr>
      <w:bookmarkStart w:id="60" w:name="_Ref459533304"/>
      <w:bookmarkStart w:id="61" w:name="_Toc482973594"/>
      <w:r>
        <w:t xml:space="preserve">Table </w:t>
      </w:r>
      <w:r w:rsidR="00833B69">
        <w:fldChar w:fldCharType="begin"/>
      </w:r>
      <w:r>
        <w:instrText xml:space="preserve"> SEQ Table \* ARABIC </w:instrText>
      </w:r>
      <w:r w:rsidR="00833B69">
        <w:fldChar w:fldCharType="separate"/>
      </w:r>
      <w:r w:rsidR="00305706">
        <w:t>14</w:t>
      </w:r>
      <w:r w:rsidR="00833B69">
        <w:fldChar w:fldCharType="end"/>
      </w:r>
      <w:bookmarkEnd w:id="60"/>
      <w:r>
        <w:t>. Counties Used in the MOVES Modeling Supporting the Tool’s “County/Municipal” Geograhic Scale</w:t>
      </w:r>
      <w:bookmarkEnd w:id="61"/>
    </w:p>
    <w:tbl>
      <w:tblPr>
        <w:tblStyle w:val="TemplateTable"/>
        <w:tblW w:w="0" w:type="auto"/>
        <w:tblCellMar>
          <w:top w:w="0" w:type="dxa"/>
          <w:bottom w:w="0" w:type="dxa"/>
        </w:tblCellMar>
        <w:tblLook w:val="04A0" w:firstRow="1" w:lastRow="0" w:firstColumn="1" w:lastColumn="0" w:noHBand="0" w:noVBand="1"/>
      </w:tblPr>
      <w:tblGrid>
        <w:gridCol w:w="3116"/>
        <w:gridCol w:w="3117"/>
        <w:gridCol w:w="3117"/>
      </w:tblGrid>
      <w:tr w:rsidR="00613C1C" w14:paraId="59D93B42" w14:textId="77777777" w:rsidTr="002566F1">
        <w:trPr>
          <w:cnfStyle w:val="100000000000" w:firstRow="1" w:lastRow="0" w:firstColumn="0" w:lastColumn="0" w:oddVBand="0" w:evenVBand="0" w:oddHBand="0" w:evenHBand="0" w:firstRowFirstColumn="0" w:firstRowLastColumn="0" w:lastRowFirstColumn="0" w:lastRowLastColumn="0"/>
          <w:trHeight w:val="259"/>
        </w:trPr>
        <w:tc>
          <w:tcPr>
            <w:tcW w:w="9350" w:type="dxa"/>
            <w:gridSpan w:val="3"/>
            <w:tcBorders>
              <w:bottom w:val="single" w:sz="4" w:space="0" w:color="0070C0"/>
            </w:tcBorders>
          </w:tcPr>
          <w:p w14:paraId="7CD03048" w14:textId="77777777" w:rsidR="00613C1C" w:rsidRPr="002E4D87" w:rsidRDefault="00613C1C" w:rsidP="00613C1C">
            <w:pPr>
              <w:pStyle w:val="TableColumnHeading"/>
            </w:pPr>
            <w:r>
              <w:t>Counties</w:t>
            </w:r>
          </w:p>
        </w:tc>
      </w:tr>
      <w:tr w:rsidR="00613C1C" w14:paraId="4D84202E" w14:textId="77777777" w:rsidTr="002566F1">
        <w:trPr>
          <w:trHeight w:val="259"/>
        </w:trPr>
        <w:tc>
          <w:tcPr>
            <w:tcW w:w="3116" w:type="dxa"/>
            <w:tcBorders>
              <w:top w:val="single" w:sz="4" w:space="0" w:color="0070C0"/>
              <w:left w:val="single" w:sz="4" w:space="0" w:color="0070C0"/>
              <w:bottom w:val="single" w:sz="4" w:space="0" w:color="0070C0"/>
              <w:right w:val="single" w:sz="4" w:space="0" w:color="0070C0"/>
            </w:tcBorders>
          </w:tcPr>
          <w:p w14:paraId="7DC32B9D" w14:textId="77777777" w:rsidR="00613C1C" w:rsidRDefault="00613C1C" w:rsidP="00613C1C">
            <w:pPr>
              <w:pStyle w:val="TableCellText"/>
            </w:pPr>
            <w:r w:rsidRPr="00B661EB">
              <w:t>Marshall County, AL</w:t>
            </w:r>
          </w:p>
        </w:tc>
        <w:tc>
          <w:tcPr>
            <w:tcW w:w="3117" w:type="dxa"/>
            <w:tcBorders>
              <w:top w:val="single" w:sz="4" w:space="0" w:color="0070C0"/>
              <w:left w:val="single" w:sz="4" w:space="0" w:color="0070C0"/>
              <w:bottom w:val="single" w:sz="4" w:space="0" w:color="0070C0"/>
              <w:right w:val="single" w:sz="4" w:space="0" w:color="0070C0"/>
            </w:tcBorders>
          </w:tcPr>
          <w:p w14:paraId="436D21AB" w14:textId="77777777" w:rsidR="00613C1C" w:rsidRDefault="00613C1C" w:rsidP="00613C1C">
            <w:pPr>
              <w:pStyle w:val="TableCellText"/>
            </w:pPr>
            <w:r w:rsidRPr="00B661EB">
              <w:t>Lenawee County, MI</w:t>
            </w:r>
          </w:p>
        </w:tc>
        <w:tc>
          <w:tcPr>
            <w:tcW w:w="3117" w:type="dxa"/>
            <w:tcBorders>
              <w:top w:val="single" w:sz="4" w:space="0" w:color="0070C0"/>
              <w:left w:val="single" w:sz="4" w:space="0" w:color="0070C0"/>
              <w:bottom w:val="single" w:sz="4" w:space="0" w:color="0070C0"/>
              <w:right w:val="single" w:sz="4" w:space="0" w:color="0070C0"/>
            </w:tcBorders>
          </w:tcPr>
          <w:p w14:paraId="4CB16BDF" w14:textId="77777777" w:rsidR="00613C1C" w:rsidRDefault="00613C1C" w:rsidP="00613C1C">
            <w:pPr>
              <w:pStyle w:val="TableCellText"/>
            </w:pPr>
            <w:r w:rsidRPr="00B661EB">
              <w:t>Carter County, OK</w:t>
            </w:r>
          </w:p>
        </w:tc>
      </w:tr>
      <w:tr w:rsidR="00613C1C" w14:paraId="27191098" w14:textId="77777777" w:rsidTr="002566F1">
        <w:trPr>
          <w:trHeight w:val="259"/>
        </w:trPr>
        <w:tc>
          <w:tcPr>
            <w:tcW w:w="3116" w:type="dxa"/>
            <w:tcBorders>
              <w:top w:val="single" w:sz="4" w:space="0" w:color="0070C0"/>
              <w:left w:val="single" w:sz="4" w:space="0" w:color="0070C0"/>
              <w:bottom w:val="single" w:sz="4" w:space="0" w:color="0070C0"/>
              <w:right w:val="single" w:sz="4" w:space="0" w:color="0070C0"/>
            </w:tcBorders>
          </w:tcPr>
          <w:p w14:paraId="60D35A34" w14:textId="77777777" w:rsidR="00613C1C" w:rsidRDefault="00613C1C" w:rsidP="00613C1C">
            <w:pPr>
              <w:pStyle w:val="TableCellText"/>
            </w:pPr>
            <w:r w:rsidRPr="00B661EB">
              <w:t>Clark County, AR</w:t>
            </w:r>
          </w:p>
        </w:tc>
        <w:tc>
          <w:tcPr>
            <w:tcW w:w="3117" w:type="dxa"/>
            <w:tcBorders>
              <w:top w:val="single" w:sz="4" w:space="0" w:color="0070C0"/>
              <w:left w:val="single" w:sz="4" w:space="0" w:color="0070C0"/>
              <w:bottom w:val="single" w:sz="4" w:space="0" w:color="0070C0"/>
              <w:right w:val="single" w:sz="4" w:space="0" w:color="0070C0"/>
            </w:tcBorders>
          </w:tcPr>
          <w:p w14:paraId="27386066" w14:textId="77777777" w:rsidR="00613C1C" w:rsidRDefault="00613C1C" w:rsidP="00613C1C">
            <w:pPr>
              <w:pStyle w:val="TableCellText"/>
            </w:pPr>
            <w:r w:rsidRPr="00B661EB">
              <w:t>Douglas County, MN</w:t>
            </w:r>
          </w:p>
        </w:tc>
        <w:tc>
          <w:tcPr>
            <w:tcW w:w="3117" w:type="dxa"/>
            <w:tcBorders>
              <w:top w:val="single" w:sz="4" w:space="0" w:color="0070C0"/>
              <w:left w:val="single" w:sz="4" w:space="0" w:color="0070C0"/>
              <w:bottom w:val="single" w:sz="4" w:space="0" w:color="0070C0"/>
              <w:right w:val="single" w:sz="4" w:space="0" w:color="0070C0"/>
            </w:tcBorders>
          </w:tcPr>
          <w:p w14:paraId="38D6E4EC" w14:textId="77777777" w:rsidR="00613C1C" w:rsidRDefault="00613C1C" w:rsidP="00613C1C">
            <w:pPr>
              <w:pStyle w:val="TableCellText"/>
            </w:pPr>
            <w:r w:rsidRPr="00B661EB">
              <w:t>Jackson County, OK</w:t>
            </w:r>
          </w:p>
        </w:tc>
      </w:tr>
      <w:tr w:rsidR="00613C1C" w14:paraId="5F67446E" w14:textId="77777777" w:rsidTr="002566F1">
        <w:trPr>
          <w:trHeight w:val="259"/>
        </w:trPr>
        <w:tc>
          <w:tcPr>
            <w:tcW w:w="3116" w:type="dxa"/>
            <w:tcBorders>
              <w:top w:val="single" w:sz="4" w:space="0" w:color="0070C0"/>
              <w:left w:val="single" w:sz="4" w:space="0" w:color="0070C0"/>
              <w:bottom w:val="single" w:sz="4" w:space="0" w:color="0070C0"/>
              <w:right w:val="single" w:sz="4" w:space="0" w:color="0070C0"/>
            </w:tcBorders>
          </w:tcPr>
          <w:p w14:paraId="079E6F6A" w14:textId="77777777" w:rsidR="00613C1C" w:rsidRDefault="00613C1C" w:rsidP="00613C1C">
            <w:pPr>
              <w:pStyle w:val="TableCellText"/>
            </w:pPr>
            <w:r w:rsidRPr="00B661EB">
              <w:t>DeSoto County, FL</w:t>
            </w:r>
          </w:p>
        </w:tc>
        <w:tc>
          <w:tcPr>
            <w:tcW w:w="3117" w:type="dxa"/>
            <w:tcBorders>
              <w:top w:val="single" w:sz="4" w:space="0" w:color="0070C0"/>
              <w:left w:val="single" w:sz="4" w:space="0" w:color="0070C0"/>
              <w:bottom w:val="single" w:sz="4" w:space="0" w:color="0070C0"/>
              <w:right w:val="single" w:sz="4" w:space="0" w:color="0070C0"/>
            </w:tcBorders>
          </w:tcPr>
          <w:p w14:paraId="6424E0F7" w14:textId="77777777" w:rsidR="00613C1C" w:rsidRDefault="00613C1C" w:rsidP="00613C1C">
            <w:pPr>
              <w:pStyle w:val="TableCellText"/>
            </w:pPr>
            <w:r w:rsidRPr="00B661EB">
              <w:t>Freeborn County, MN</w:t>
            </w:r>
          </w:p>
        </w:tc>
        <w:tc>
          <w:tcPr>
            <w:tcW w:w="3117" w:type="dxa"/>
            <w:tcBorders>
              <w:top w:val="single" w:sz="4" w:space="0" w:color="0070C0"/>
              <w:left w:val="single" w:sz="4" w:space="0" w:color="0070C0"/>
              <w:bottom w:val="single" w:sz="4" w:space="0" w:color="0070C0"/>
              <w:right w:val="single" w:sz="4" w:space="0" w:color="0070C0"/>
            </w:tcBorders>
          </w:tcPr>
          <w:p w14:paraId="75D74B0E" w14:textId="77777777" w:rsidR="00613C1C" w:rsidRDefault="00613C1C" w:rsidP="00613C1C">
            <w:pPr>
              <w:pStyle w:val="TableCellText"/>
            </w:pPr>
            <w:r w:rsidRPr="00B661EB">
              <w:t>Pontotoc County, OK</w:t>
            </w:r>
          </w:p>
        </w:tc>
      </w:tr>
      <w:tr w:rsidR="00613C1C" w14:paraId="6092D8BB" w14:textId="77777777" w:rsidTr="002566F1">
        <w:trPr>
          <w:trHeight w:val="259"/>
        </w:trPr>
        <w:tc>
          <w:tcPr>
            <w:tcW w:w="3116" w:type="dxa"/>
            <w:tcBorders>
              <w:top w:val="single" w:sz="4" w:space="0" w:color="0070C0"/>
              <w:left w:val="single" w:sz="4" w:space="0" w:color="0070C0"/>
              <w:bottom w:val="single" w:sz="4" w:space="0" w:color="0070C0"/>
              <w:right w:val="single" w:sz="4" w:space="0" w:color="0070C0"/>
            </w:tcBorders>
          </w:tcPr>
          <w:p w14:paraId="17B922FB" w14:textId="77777777" w:rsidR="00613C1C" w:rsidRDefault="00613C1C" w:rsidP="00613C1C">
            <w:pPr>
              <w:pStyle w:val="TableCellText"/>
            </w:pPr>
            <w:r w:rsidRPr="00B661EB">
              <w:t>Sumter County, GA</w:t>
            </w:r>
          </w:p>
        </w:tc>
        <w:tc>
          <w:tcPr>
            <w:tcW w:w="3117" w:type="dxa"/>
            <w:tcBorders>
              <w:top w:val="single" w:sz="4" w:space="0" w:color="0070C0"/>
              <w:left w:val="single" w:sz="4" w:space="0" w:color="0070C0"/>
              <w:bottom w:val="single" w:sz="4" w:space="0" w:color="0070C0"/>
              <w:right w:val="single" w:sz="4" w:space="0" w:color="0070C0"/>
            </w:tcBorders>
          </w:tcPr>
          <w:p w14:paraId="347FA3B1" w14:textId="77777777" w:rsidR="00613C1C" w:rsidRDefault="00613C1C" w:rsidP="00613C1C">
            <w:pPr>
              <w:pStyle w:val="TableCellText"/>
            </w:pPr>
            <w:r w:rsidRPr="00B661EB">
              <w:t>Mower County, MN</w:t>
            </w:r>
          </w:p>
        </w:tc>
        <w:tc>
          <w:tcPr>
            <w:tcW w:w="3117" w:type="dxa"/>
            <w:tcBorders>
              <w:top w:val="single" w:sz="4" w:space="0" w:color="0070C0"/>
              <w:left w:val="single" w:sz="4" w:space="0" w:color="0070C0"/>
              <w:bottom w:val="single" w:sz="4" w:space="0" w:color="0070C0"/>
              <w:right w:val="single" w:sz="4" w:space="0" w:color="0070C0"/>
            </w:tcBorders>
          </w:tcPr>
          <w:p w14:paraId="1FB79319" w14:textId="77777777" w:rsidR="00613C1C" w:rsidRDefault="00613C1C" w:rsidP="00613C1C">
            <w:pPr>
              <w:pStyle w:val="TableCellText"/>
            </w:pPr>
            <w:r w:rsidRPr="00B661EB">
              <w:t>Clatsop County, OR</w:t>
            </w:r>
          </w:p>
        </w:tc>
      </w:tr>
      <w:tr w:rsidR="00613C1C" w14:paraId="263CF434" w14:textId="77777777" w:rsidTr="002566F1">
        <w:trPr>
          <w:trHeight w:val="259"/>
        </w:trPr>
        <w:tc>
          <w:tcPr>
            <w:tcW w:w="3116" w:type="dxa"/>
            <w:tcBorders>
              <w:top w:val="single" w:sz="4" w:space="0" w:color="0070C0"/>
              <w:left w:val="single" w:sz="4" w:space="0" w:color="0070C0"/>
              <w:bottom w:val="single" w:sz="4" w:space="0" w:color="0070C0"/>
              <w:right w:val="single" w:sz="4" w:space="0" w:color="0070C0"/>
            </w:tcBorders>
          </w:tcPr>
          <w:p w14:paraId="7C91760A" w14:textId="77777777" w:rsidR="00613C1C" w:rsidRDefault="00613C1C" w:rsidP="00613C1C">
            <w:pPr>
              <w:pStyle w:val="TableCellText"/>
            </w:pPr>
            <w:r w:rsidRPr="00B661EB">
              <w:t>DeKalb County, IN</w:t>
            </w:r>
          </w:p>
        </w:tc>
        <w:tc>
          <w:tcPr>
            <w:tcW w:w="3117" w:type="dxa"/>
            <w:tcBorders>
              <w:top w:val="single" w:sz="4" w:space="0" w:color="0070C0"/>
              <w:left w:val="single" w:sz="4" w:space="0" w:color="0070C0"/>
              <w:bottom w:val="single" w:sz="4" w:space="0" w:color="0070C0"/>
              <w:right w:val="single" w:sz="4" w:space="0" w:color="0070C0"/>
            </w:tcBorders>
          </w:tcPr>
          <w:p w14:paraId="736A645A" w14:textId="77777777" w:rsidR="00613C1C" w:rsidRDefault="00613C1C" w:rsidP="00613C1C">
            <w:pPr>
              <w:pStyle w:val="TableCellText"/>
            </w:pPr>
            <w:r w:rsidRPr="00B661EB">
              <w:t>Stanly County, NC</w:t>
            </w:r>
          </w:p>
        </w:tc>
        <w:tc>
          <w:tcPr>
            <w:tcW w:w="3117" w:type="dxa"/>
            <w:tcBorders>
              <w:top w:val="single" w:sz="4" w:space="0" w:color="0070C0"/>
              <w:left w:val="single" w:sz="4" w:space="0" w:color="0070C0"/>
              <w:bottom w:val="single" w:sz="4" w:space="0" w:color="0070C0"/>
              <w:right w:val="single" w:sz="4" w:space="0" w:color="0070C0"/>
            </w:tcBorders>
          </w:tcPr>
          <w:p w14:paraId="5398C150" w14:textId="77777777" w:rsidR="00613C1C" w:rsidRDefault="00613C1C" w:rsidP="00613C1C">
            <w:pPr>
              <w:pStyle w:val="TableCellText"/>
            </w:pPr>
            <w:r w:rsidRPr="00B661EB">
              <w:t>Adjuntas Municipio, PR</w:t>
            </w:r>
          </w:p>
        </w:tc>
      </w:tr>
      <w:tr w:rsidR="00613C1C" w14:paraId="111CBCC4" w14:textId="77777777" w:rsidTr="002566F1">
        <w:trPr>
          <w:trHeight w:val="259"/>
        </w:trPr>
        <w:tc>
          <w:tcPr>
            <w:tcW w:w="3116" w:type="dxa"/>
            <w:tcBorders>
              <w:top w:val="single" w:sz="4" w:space="0" w:color="0070C0"/>
              <w:left w:val="single" w:sz="4" w:space="0" w:color="0070C0"/>
              <w:bottom w:val="single" w:sz="4" w:space="0" w:color="0070C0"/>
              <w:right w:val="single" w:sz="4" w:space="0" w:color="0070C0"/>
            </w:tcBorders>
          </w:tcPr>
          <w:p w14:paraId="0B713613" w14:textId="77777777" w:rsidR="00613C1C" w:rsidRDefault="00613C1C" w:rsidP="00613C1C">
            <w:pPr>
              <w:pStyle w:val="TableCellText"/>
            </w:pPr>
            <w:r w:rsidRPr="00B661EB">
              <w:t>Steuben County, IN</w:t>
            </w:r>
          </w:p>
        </w:tc>
        <w:tc>
          <w:tcPr>
            <w:tcW w:w="3117" w:type="dxa"/>
            <w:tcBorders>
              <w:top w:val="single" w:sz="4" w:space="0" w:color="0070C0"/>
              <w:left w:val="single" w:sz="4" w:space="0" w:color="0070C0"/>
              <w:bottom w:val="single" w:sz="4" w:space="0" w:color="0070C0"/>
              <w:right w:val="single" w:sz="4" w:space="0" w:color="0070C0"/>
            </w:tcBorders>
          </w:tcPr>
          <w:p w14:paraId="11343FD0" w14:textId="77777777" w:rsidR="00613C1C" w:rsidRDefault="00613C1C" w:rsidP="00613C1C">
            <w:pPr>
              <w:pStyle w:val="TableCellText"/>
            </w:pPr>
            <w:r w:rsidRPr="00B661EB">
              <w:t>Otero County, NM</w:t>
            </w:r>
          </w:p>
        </w:tc>
        <w:tc>
          <w:tcPr>
            <w:tcW w:w="3117" w:type="dxa"/>
            <w:tcBorders>
              <w:top w:val="single" w:sz="4" w:space="0" w:color="0070C0"/>
              <w:left w:val="single" w:sz="4" w:space="0" w:color="0070C0"/>
              <w:bottom w:val="single" w:sz="4" w:space="0" w:color="0070C0"/>
              <w:right w:val="single" w:sz="4" w:space="0" w:color="0070C0"/>
            </w:tcBorders>
          </w:tcPr>
          <w:p w14:paraId="1C80B7ED" w14:textId="77777777" w:rsidR="00613C1C" w:rsidRDefault="00613C1C" w:rsidP="00613C1C">
            <w:pPr>
              <w:pStyle w:val="TableCellText"/>
            </w:pPr>
            <w:r w:rsidRPr="00B661EB">
              <w:t>Brown County, SD</w:t>
            </w:r>
          </w:p>
        </w:tc>
      </w:tr>
      <w:tr w:rsidR="00613C1C" w14:paraId="0DEDA7E5" w14:textId="77777777" w:rsidTr="002566F1">
        <w:trPr>
          <w:trHeight w:val="259"/>
        </w:trPr>
        <w:tc>
          <w:tcPr>
            <w:tcW w:w="3116" w:type="dxa"/>
            <w:tcBorders>
              <w:top w:val="single" w:sz="4" w:space="0" w:color="0070C0"/>
              <w:left w:val="single" w:sz="4" w:space="0" w:color="0070C0"/>
              <w:bottom w:val="single" w:sz="4" w:space="0" w:color="0070C0"/>
              <w:right w:val="single" w:sz="4" w:space="0" w:color="0070C0"/>
            </w:tcBorders>
          </w:tcPr>
          <w:p w14:paraId="1682717D" w14:textId="77777777" w:rsidR="00613C1C" w:rsidRDefault="00613C1C" w:rsidP="00613C1C">
            <w:pPr>
              <w:pStyle w:val="TableCellText"/>
            </w:pPr>
            <w:r w:rsidRPr="00B661EB">
              <w:t>Atchison County, KS</w:t>
            </w:r>
          </w:p>
        </w:tc>
        <w:tc>
          <w:tcPr>
            <w:tcW w:w="3117" w:type="dxa"/>
            <w:tcBorders>
              <w:top w:val="single" w:sz="4" w:space="0" w:color="0070C0"/>
              <w:left w:val="single" w:sz="4" w:space="0" w:color="0070C0"/>
              <w:bottom w:val="single" w:sz="4" w:space="0" w:color="0070C0"/>
              <w:right w:val="single" w:sz="4" w:space="0" w:color="0070C0"/>
            </w:tcBorders>
          </w:tcPr>
          <w:p w14:paraId="25488A6D" w14:textId="77777777" w:rsidR="00613C1C" w:rsidRDefault="00613C1C" w:rsidP="00613C1C">
            <w:pPr>
              <w:pStyle w:val="TableCellText"/>
            </w:pPr>
            <w:r w:rsidRPr="00B661EB">
              <w:t>Cayuga County, NY</w:t>
            </w:r>
          </w:p>
        </w:tc>
        <w:tc>
          <w:tcPr>
            <w:tcW w:w="3117" w:type="dxa"/>
            <w:tcBorders>
              <w:top w:val="single" w:sz="4" w:space="0" w:color="0070C0"/>
              <w:left w:val="single" w:sz="4" w:space="0" w:color="0070C0"/>
              <w:bottom w:val="single" w:sz="4" w:space="0" w:color="0070C0"/>
              <w:right w:val="single" w:sz="4" w:space="0" w:color="0070C0"/>
            </w:tcBorders>
          </w:tcPr>
          <w:p w14:paraId="6AF32C0C" w14:textId="77777777" w:rsidR="00613C1C" w:rsidRDefault="00613C1C" w:rsidP="00613C1C">
            <w:pPr>
              <w:pStyle w:val="TableCellText"/>
            </w:pPr>
            <w:r w:rsidRPr="00B661EB">
              <w:t>McMinn County, TN</w:t>
            </w:r>
          </w:p>
        </w:tc>
      </w:tr>
      <w:tr w:rsidR="00613C1C" w14:paraId="3E8A3F66" w14:textId="77777777" w:rsidTr="002566F1">
        <w:trPr>
          <w:trHeight w:val="259"/>
        </w:trPr>
        <w:tc>
          <w:tcPr>
            <w:tcW w:w="3116" w:type="dxa"/>
            <w:tcBorders>
              <w:top w:val="single" w:sz="4" w:space="0" w:color="0070C0"/>
              <w:left w:val="single" w:sz="4" w:space="0" w:color="0070C0"/>
              <w:bottom w:val="single" w:sz="4" w:space="0" w:color="0070C0"/>
              <w:right w:val="single" w:sz="4" w:space="0" w:color="0070C0"/>
            </w:tcBorders>
          </w:tcPr>
          <w:p w14:paraId="714EC671" w14:textId="77777777" w:rsidR="00613C1C" w:rsidRDefault="00613C1C" w:rsidP="00613C1C">
            <w:pPr>
              <w:pStyle w:val="TableCellText"/>
            </w:pPr>
            <w:r w:rsidRPr="00B661EB">
              <w:t>Cowley County, KS</w:t>
            </w:r>
          </w:p>
        </w:tc>
        <w:tc>
          <w:tcPr>
            <w:tcW w:w="3117" w:type="dxa"/>
            <w:tcBorders>
              <w:top w:val="single" w:sz="4" w:space="0" w:color="0070C0"/>
              <w:left w:val="single" w:sz="4" w:space="0" w:color="0070C0"/>
              <w:bottom w:val="single" w:sz="4" w:space="0" w:color="0070C0"/>
              <w:right w:val="single" w:sz="4" w:space="0" w:color="0070C0"/>
            </w:tcBorders>
          </w:tcPr>
          <w:p w14:paraId="761FDD7A" w14:textId="77777777" w:rsidR="00613C1C" w:rsidRDefault="00613C1C" w:rsidP="00613C1C">
            <w:pPr>
              <w:pStyle w:val="TableCellText"/>
            </w:pPr>
            <w:r w:rsidRPr="00B661EB">
              <w:t>Montgomery County, NY</w:t>
            </w:r>
          </w:p>
        </w:tc>
        <w:tc>
          <w:tcPr>
            <w:tcW w:w="3117" w:type="dxa"/>
            <w:tcBorders>
              <w:top w:val="single" w:sz="4" w:space="0" w:color="0070C0"/>
              <w:left w:val="single" w:sz="4" w:space="0" w:color="0070C0"/>
              <w:bottom w:val="single" w:sz="4" w:space="0" w:color="0070C0"/>
              <w:right w:val="single" w:sz="4" w:space="0" w:color="0070C0"/>
            </w:tcBorders>
          </w:tcPr>
          <w:p w14:paraId="3F80780C" w14:textId="77777777" w:rsidR="00613C1C" w:rsidRDefault="00613C1C" w:rsidP="00613C1C">
            <w:pPr>
              <w:pStyle w:val="TableCellText"/>
            </w:pPr>
            <w:r w:rsidRPr="00B661EB">
              <w:t>Andrews County, TX</w:t>
            </w:r>
          </w:p>
        </w:tc>
      </w:tr>
      <w:tr w:rsidR="00613C1C" w14:paraId="6025113D" w14:textId="77777777" w:rsidTr="002566F1">
        <w:trPr>
          <w:trHeight w:val="259"/>
        </w:trPr>
        <w:tc>
          <w:tcPr>
            <w:tcW w:w="3116" w:type="dxa"/>
            <w:tcBorders>
              <w:top w:val="single" w:sz="4" w:space="0" w:color="0070C0"/>
              <w:left w:val="single" w:sz="4" w:space="0" w:color="0070C0"/>
              <w:bottom w:val="single" w:sz="4" w:space="0" w:color="0070C0"/>
              <w:right w:val="single" w:sz="4" w:space="0" w:color="0070C0"/>
            </w:tcBorders>
          </w:tcPr>
          <w:p w14:paraId="58AEFA21" w14:textId="77777777" w:rsidR="00613C1C" w:rsidRDefault="00613C1C" w:rsidP="00613C1C">
            <w:pPr>
              <w:pStyle w:val="TableCellText"/>
            </w:pPr>
            <w:r w:rsidRPr="00B661EB">
              <w:t>Kennebec County, ME</w:t>
            </w:r>
          </w:p>
        </w:tc>
        <w:tc>
          <w:tcPr>
            <w:tcW w:w="3117" w:type="dxa"/>
            <w:tcBorders>
              <w:top w:val="single" w:sz="4" w:space="0" w:color="0070C0"/>
              <w:left w:val="single" w:sz="4" w:space="0" w:color="0070C0"/>
              <w:bottom w:val="single" w:sz="4" w:space="0" w:color="0070C0"/>
              <w:right w:val="single" w:sz="4" w:space="0" w:color="0070C0"/>
            </w:tcBorders>
          </w:tcPr>
          <w:p w14:paraId="4BBEA82B" w14:textId="77777777" w:rsidR="00613C1C" w:rsidRDefault="00613C1C" w:rsidP="00613C1C">
            <w:pPr>
              <w:pStyle w:val="TableCellText"/>
            </w:pPr>
            <w:r w:rsidRPr="00B661EB">
              <w:t>Ashland County, OH</w:t>
            </w:r>
          </w:p>
        </w:tc>
        <w:tc>
          <w:tcPr>
            <w:tcW w:w="3117" w:type="dxa"/>
            <w:tcBorders>
              <w:top w:val="single" w:sz="4" w:space="0" w:color="0070C0"/>
              <w:left w:val="single" w:sz="4" w:space="0" w:color="0070C0"/>
              <w:bottom w:val="single" w:sz="4" w:space="0" w:color="0070C0"/>
              <w:right w:val="single" w:sz="4" w:space="0" w:color="0070C0"/>
            </w:tcBorders>
          </w:tcPr>
          <w:p w14:paraId="6C464DD7" w14:textId="77777777" w:rsidR="00613C1C" w:rsidRDefault="00613C1C" w:rsidP="00613C1C">
            <w:pPr>
              <w:pStyle w:val="TableCellText"/>
            </w:pPr>
            <w:r w:rsidRPr="00B661EB">
              <w:t>Henderson County, TX</w:t>
            </w:r>
          </w:p>
        </w:tc>
      </w:tr>
      <w:tr w:rsidR="00613C1C" w14:paraId="3D4C9778" w14:textId="77777777" w:rsidTr="002566F1">
        <w:trPr>
          <w:trHeight w:val="259"/>
        </w:trPr>
        <w:tc>
          <w:tcPr>
            <w:tcW w:w="3116" w:type="dxa"/>
            <w:tcBorders>
              <w:top w:val="single" w:sz="4" w:space="0" w:color="0070C0"/>
              <w:left w:val="single" w:sz="4" w:space="0" w:color="0070C0"/>
              <w:bottom w:val="single" w:sz="4" w:space="0" w:color="0070C0"/>
              <w:right w:val="single" w:sz="4" w:space="0" w:color="0070C0"/>
            </w:tcBorders>
          </w:tcPr>
          <w:p w14:paraId="09132CCD" w14:textId="77777777" w:rsidR="00613C1C" w:rsidRDefault="00613C1C" w:rsidP="00613C1C">
            <w:pPr>
              <w:pStyle w:val="TableCellText"/>
            </w:pPr>
            <w:r w:rsidRPr="00B661EB">
              <w:t>Alpena County, MI</w:t>
            </w:r>
          </w:p>
        </w:tc>
        <w:tc>
          <w:tcPr>
            <w:tcW w:w="3117" w:type="dxa"/>
            <w:tcBorders>
              <w:top w:val="single" w:sz="4" w:space="0" w:color="0070C0"/>
              <w:left w:val="single" w:sz="4" w:space="0" w:color="0070C0"/>
              <w:bottom w:val="single" w:sz="4" w:space="0" w:color="0070C0"/>
              <w:right w:val="single" w:sz="4" w:space="0" w:color="0070C0"/>
            </w:tcBorders>
          </w:tcPr>
          <w:p w14:paraId="3FAA6D92" w14:textId="77777777" w:rsidR="00613C1C" w:rsidRDefault="00613C1C" w:rsidP="00613C1C">
            <w:pPr>
              <w:pStyle w:val="TableCellText"/>
            </w:pPr>
            <w:r w:rsidRPr="00B661EB">
              <w:t>Ashtabula County, OH</w:t>
            </w:r>
          </w:p>
        </w:tc>
        <w:tc>
          <w:tcPr>
            <w:tcW w:w="3117" w:type="dxa"/>
            <w:tcBorders>
              <w:top w:val="single" w:sz="4" w:space="0" w:color="0070C0"/>
              <w:left w:val="single" w:sz="4" w:space="0" w:color="0070C0"/>
              <w:bottom w:val="single" w:sz="4" w:space="0" w:color="0070C0"/>
              <w:right w:val="single" w:sz="4" w:space="0" w:color="0070C0"/>
            </w:tcBorders>
          </w:tcPr>
          <w:p w14:paraId="083A3D41" w14:textId="77777777" w:rsidR="00613C1C" w:rsidRDefault="00613C1C" w:rsidP="00613C1C">
            <w:pPr>
              <w:pStyle w:val="TableCellText"/>
            </w:pPr>
            <w:r w:rsidRPr="00B661EB">
              <w:t>Jim Wells County, TX</w:t>
            </w:r>
          </w:p>
        </w:tc>
      </w:tr>
      <w:tr w:rsidR="00613C1C" w14:paraId="0C3FEA90" w14:textId="77777777" w:rsidTr="002566F1">
        <w:trPr>
          <w:trHeight w:val="259"/>
        </w:trPr>
        <w:tc>
          <w:tcPr>
            <w:tcW w:w="3116" w:type="dxa"/>
            <w:tcBorders>
              <w:top w:val="single" w:sz="4" w:space="0" w:color="0070C0"/>
              <w:left w:val="single" w:sz="4" w:space="0" w:color="0070C0"/>
              <w:bottom w:val="single" w:sz="4" w:space="0" w:color="0070C0"/>
              <w:right w:val="single" w:sz="4" w:space="0" w:color="0070C0"/>
            </w:tcBorders>
          </w:tcPr>
          <w:p w14:paraId="3E5B9A8E" w14:textId="77777777" w:rsidR="00613C1C" w:rsidRDefault="00613C1C" w:rsidP="00613C1C">
            <w:pPr>
              <w:pStyle w:val="TableCellText"/>
            </w:pPr>
            <w:r w:rsidRPr="00B661EB">
              <w:t>Gratiot County, MI</w:t>
            </w:r>
          </w:p>
        </w:tc>
        <w:tc>
          <w:tcPr>
            <w:tcW w:w="3117" w:type="dxa"/>
            <w:tcBorders>
              <w:top w:val="single" w:sz="4" w:space="0" w:color="0070C0"/>
              <w:left w:val="single" w:sz="4" w:space="0" w:color="0070C0"/>
              <w:bottom w:val="single" w:sz="4" w:space="0" w:color="0070C0"/>
              <w:right w:val="single" w:sz="4" w:space="0" w:color="0070C0"/>
            </w:tcBorders>
          </w:tcPr>
          <w:p w14:paraId="5B4509C2" w14:textId="77777777" w:rsidR="00613C1C" w:rsidRDefault="00613C1C" w:rsidP="00613C1C">
            <w:pPr>
              <w:pStyle w:val="TableCellText"/>
            </w:pPr>
            <w:r w:rsidRPr="00B661EB">
              <w:t>Athens County, OH</w:t>
            </w:r>
          </w:p>
        </w:tc>
        <w:tc>
          <w:tcPr>
            <w:tcW w:w="3117" w:type="dxa"/>
            <w:tcBorders>
              <w:top w:val="single" w:sz="4" w:space="0" w:color="0070C0"/>
              <w:left w:val="single" w:sz="4" w:space="0" w:color="0070C0"/>
              <w:bottom w:val="single" w:sz="4" w:space="0" w:color="0070C0"/>
              <w:right w:val="single" w:sz="4" w:space="0" w:color="0070C0"/>
            </w:tcBorders>
          </w:tcPr>
          <w:p w14:paraId="02943EF5" w14:textId="77777777" w:rsidR="00613C1C" w:rsidRDefault="00613C1C" w:rsidP="00613C1C">
            <w:pPr>
              <w:pStyle w:val="TableCellText"/>
            </w:pPr>
            <w:r w:rsidRPr="00B661EB">
              <w:t>Grays Harbor County, WA</w:t>
            </w:r>
          </w:p>
        </w:tc>
      </w:tr>
    </w:tbl>
    <w:p w14:paraId="0B165A94" w14:textId="77777777" w:rsidR="00B0776A" w:rsidRDefault="00B0776A" w:rsidP="00613C1C">
      <w:pPr>
        <w:pStyle w:val="Heading4"/>
      </w:pPr>
      <w:r w:rsidRPr="00AC4CF8">
        <w:t>Facility</w:t>
      </w:r>
    </w:p>
    <w:p w14:paraId="739D9614" w14:textId="2836A118" w:rsidR="002F042A" w:rsidRDefault="002F042A" w:rsidP="002F042A">
      <w:r>
        <w:t>The facility category is divided into two subtypes, namely distribution centers and ports</w:t>
      </w:r>
    </w:p>
    <w:p w14:paraId="7F93624B" w14:textId="77777777" w:rsidR="002F042A" w:rsidRDefault="002F042A" w:rsidP="002F042A">
      <w:pPr>
        <w:pStyle w:val="Heading5"/>
      </w:pPr>
      <w:r>
        <w:t>Distribution Center</w:t>
      </w:r>
    </w:p>
    <w:p w14:paraId="542ED93F" w14:textId="7469043B" w:rsidR="002F042A" w:rsidRPr="002F042A" w:rsidRDefault="002F042A" w:rsidP="002F042A">
      <w:pPr>
        <w:spacing w:before="240" w:after="240" w:line="276" w:lineRule="auto"/>
        <w:rPr>
          <w:rFonts w:eastAsia="Times New Roman"/>
        </w:rPr>
      </w:pPr>
      <w:r w:rsidRPr="002F042A">
        <w:rPr>
          <w:rFonts w:eastAsia="Times New Roman"/>
        </w:rPr>
        <w:t xml:space="preserve">For the first facility type, distribution centers were modeled only with short- and </w:t>
      </w:r>
      <w:r w:rsidR="006771E4">
        <w:rPr>
          <w:rFonts w:eastAsia="Times New Roman"/>
        </w:rPr>
        <w:t>long haul</w:t>
      </w:r>
      <w:r w:rsidRPr="002F042A">
        <w:rPr>
          <w:rFonts w:eastAsia="Times New Roman"/>
        </w:rPr>
        <w:t xml:space="preserve"> combination trucks. There was no direct modeling of population or mileage accumulation for this facility type, since those </w:t>
      </w:r>
      <w:r w:rsidR="00A05A7F">
        <w:rPr>
          <w:rFonts w:eastAsia="Times New Roman"/>
        </w:rPr>
        <w:t>cannot</w:t>
      </w:r>
      <w:r w:rsidR="00A05A7F" w:rsidRPr="002F042A">
        <w:rPr>
          <w:rFonts w:eastAsia="Times New Roman"/>
        </w:rPr>
        <w:t xml:space="preserve"> </w:t>
      </w:r>
      <w:r w:rsidRPr="002F042A">
        <w:rPr>
          <w:rFonts w:eastAsia="Times New Roman"/>
        </w:rPr>
        <w:t>be normalized to a specific facility. Instead fixed values</w:t>
      </w:r>
      <w:r>
        <w:rPr>
          <w:rFonts w:eastAsia="Times New Roman"/>
        </w:rPr>
        <w:t xml:space="preserve"> were proposed </w:t>
      </w:r>
      <w:r w:rsidR="00D9240D">
        <w:rPr>
          <w:rFonts w:eastAsia="Times New Roman"/>
        </w:rPr>
        <w:t>for population</w:t>
      </w:r>
      <w:r w:rsidR="00A05A7F">
        <w:rPr>
          <w:rFonts w:eastAsia="Times New Roman"/>
        </w:rPr>
        <w:t>s</w:t>
      </w:r>
      <w:r w:rsidR="00D9240D">
        <w:rPr>
          <w:rFonts w:eastAsia="Times New Roman"/>
        </w:rPr>
        <w:t xml:space="preserve"> </w:t>
      </w:r>
      <w:r>
        <w:rPr>
          <w:rFonts w:eastAsia="Times New Roman"/>
        </w:rPr>
        <w:t xml:space="preserve">that </w:t>
      </w:r>
      <w:r>
        <w:rPr>
          <w:rFonts w:eastAsia="Times New Roman"/>
        </w:rPr>
        <w:lastRenderedPageBreak/>
        <w:t xml:space="preserve">are </w:t>
      </w:r>
      <w:r w:rsidRPr="002F042A">
        <w:rPr>
          <w:rFonts w:eastAsia="Times New Roman"/>
        </w:rPr>
        <w:t xml:space="preserve">representative of a typical </w:t>
      </w:r>
      <w:r>
        <w:rPr>
          <w:rFonts w:eastAsia="Times New Roman"/>
        </w:rPr>
        <w:t>distribution center.</w:t>
      </w:r>
      <w:r w:rsidR="00330080">
        <w:rPr>
          <w:rFonts w:eastAsia="Times New Roman"/>
        </w:rPr>
        <w:t xml:space="preserve"> </w:t>
      </w:r>
      <w:r w:rsidRPr="002F042A">
        <w:rPr>
          <w:rFonts w:eastAsia="Times New Roman"/>
        </w:rPr>
        <w:t xml:space="preserve">All activity in the MOVES modeling is assigned to the urban unrestricted road type. </w:t>
      </w:r>
      <w:r w:rsidR="002566F1">
        <w:rPr>
          <w:rFonts w:eastAsia="Times New Roman"/>
        </w:rPr>
        <w:t>Only combination</w:t>
      </w:r>
      <w:r w:rsidR="00A05A7F">
        <w:rPr>
          <w:rFonts w:eastAsia="Times New Roman"/>
        </w:rPr>
        <w:t xml:space="preserve"> </w:t>
      </w:r>
      <w:r w:rsidR="002566F1">
        <w:rPr>
          <w:rFonts w:eastAsia="Times New Roman"/>
        </w:rPr>
        <w:t>unit short and long haul trucks are allowed with this choice.</w:t>
      </w:r>
      <w:r w:rsidR="007B50C6">
        <w:rPr>
          <w:rFonts w:eastAsia="Times New Roman"/>
        </w:rPr>
        <w:t xml:space="preserve"> For more local distribution centers, the County geographic designation</w:t>
      </w:r>
      <w:r w:rsidR="00A05A7F">
        <w:rPr>
          <w:rFonts w:eastAsia="Times New Roman"/>
        </w:rPr>
        <w:t xml:space="preserve"> was used</w:t>
      </w:r>
      <w:r w:rsidR="007B50C6">
        <w:rPr>
          <w:rFonts w:eastAsia="Times New Roman"/>
        </w:rPr>
        <w:t>.</w:t>
      </w:r>
    </w:p>
    <w:p w14:paraId="2451256C" w14:textId="77777777" w:rsidR="002F042A" w:rsidRPr="002F042A" w:rsidRDefault="002F042A" w:rsidP="002F042A">
      <w:pPr>
        <w:pStyle w:val="Heading5"/>
      </w:pPr>
      <w:r w:rsidRPr="002F042A">
        <w:t>Port</w:t>
      </w:r>
    </w:p>
    <w:p w14:paraId="58156A6A" w14:textId="77777777" w:rsidR="002F042A" w:rsidRPr="00D9240D" w:rsidRDefault="002F042A" w:rsidP="00D9240D">
      <w:pPr>
        <w:spacing w:before="240" w:after="240" w:line="276" w:lineRule="auto"/>
        <w:rPr>
          <w:rFonts w:eastAsia="Times New Roman"/>
        </w:rPr>
      </w:pPr>
      <w:r w:rsidRPr="00D9240D">
        <w:rPr>
          <w:rFonts w:eastAsia="Times New Roman"/>
        </w:rPr>
        <w:t>The port facility was modeled only for Short Haul Diesel Combination Truck types, representative of drayage trucks. As for Distribution Centers, population default values</w:t>
      </w:r>
      <w:r w:rsidR="00D9240D" w:rsidRPr="00D9240D">
        <w:rPr>
          <w:rFonts w:eastAsia="Times New Roman"/>
        </w:rPr>
        <w:t xml:space="preserve"> were fixed based upon populations at a typical large port</w:t>
      </w:r>
      <w:r w:rsidRPr="00D9240D">
        <w:rPr>
          <w:rFonts w:eastAsia="Times New Roman"/>
        </w:rPr>
        <w:t xml:space="preserve">. </w:t>
      </w:r>
      <w:r w:rsidR="002566F1">
        <w:rPr>
          <w:rFonts w:eastAsia="Times New Roman"/>
        </w:rPr>
        <w:t>Only combination unit short haul trucks are allowed with this choice.</w:t>
      </w:r>
    </w:p>
    <w:p w14:paraId="48A0379A" w14:textId="7D09FEFE" w:rsidR="002F042A" w:rsidRPr="00D9240D" w:rsidRDefault="002F042A" w:rsidP="00D9240D">
      <w:pPr>
        <w:spacing w:before="240" w:after="240" w:line="276" w:lineRule="auto"/>
        <w:rPr>
          <w:rFonts w:eastAsia="Times New Roman"/>
        </w:rPr>
      </w:pPr>
      <w:r w:rsidRPr="00D9240D">
        <w:rPr>
          <w:rFonts w:eastAsia="Times New Roman"/>
        </w:rPr>
        <w:t xml:space="preserve">General emissions factor modeling is discussed below. However, to properly model Port facilities, specific parameters are required for modeling which are not captured in MOVES’ default parameters. </w:t>
      </w:r>
      <w:r w:rsidR="00D9240D">
        <w:rPr>
          <w:rFonts w:eastAsia="Times New Roman"/>
        </w:rPr>
        <w:t>D</w:t>
      </w:r>
      <w:r w:rsidRPr="00D9240D">
        <w:rPr>
          <w:rFonts w:eastAsia="Times New Roman"/>
        </w:rPr>
        <w:t>istinct drive cycle data representing the ports of Los Angeles and Long Beach</w:t>
      </w:r>
      <w:r w:rsidR="00D9240D">
        <w:rPr>
          <w:rFonts w:eastAsia="Times New Roman"/>
        </w:rPr>
        <w:t xml:space="preserve"> was used.</w:t>
      </w:r>
      <w:r w:rsidRPr="00D9240D">
        <w:rPr>
          <w:rFonts w:eastAsia="Times New Roman"/>
          <w:vertAlign w:val="superscript"/>
        </w:rPr>
        <w:footnoteReference w:id="5"/>
      </w:r>
      <w:r w:rsidRPr="00D9240D">
        <w:rPr>
          <w:rFonts w:eastAsia="Times New Roman"/>
        </w:rPr>
        <w:t xml:space="preserve"> This cycle is comprised of </w:t>
      </w:r>
      <w:r w:rsidR="00A05A7F">
        <w:rPr>
          <w:rFonts w:eastAsia="Times New Roman"/>
        </w:rPr>
        <w:t>three</w:t>
      </w:r>
      <w:r w:rsidR="00A05A7F" w:rsidRPr="00D9240D">
        <w:rPr>
          <w:rFonts w:eastAsia="Times New Roman"/>
        </w:rPr>
        <w:t xml:space="preserve"> </w:t>
      </w:r>
      <w:r w:rsidRPr="00D9240D">
        <w:rPr>
          <w:rFonts w:eastAsia="Times New Roman"/>
        </w:rPr>
        <w:t>categories of operations: near-dock (2-6 mi), local (&lt;20</w:t>
      </w:r>
      <w:r w:rsidR="00A05A7F">
        <w:rPr>
          <w:rFonts w:eastAsia="Times New Roman"/>
        </w:rPr>
        <w:t xml:space="preserve"> </w:t>
      </w:r>
      <w:r w:rsidRPr="00D9240D">
        <w:rPr>
          <w:rFonts w:eastAsia="Times New Roman"/>
        </w:rPr>
        <w:t>mi), and regional (20-120</w:t>
      </w:r>
      <w:r w:rsidR="00A05A7F">
        <w:rPr>
          <w:rFonts w:eastAsia="Times New Roman"/>
        </w:rPr>
        <w:t xml:space="preserve"> </w:t>
      </w:r>
      <w:r w:rsidRPr="00D9240D">
        <w:rPr>
          <w:rFonts w:eastAsia="Times New Roman"/>
        </w:rPr>
        <w:t>mi). The near-dock category includes Creep, Low Speed Transient, and Short High Speed Transient components. The local cycle consists of Creep, Low Speed Transient, and Long High Speed Transient components. The regional category includes Creep, Low Speed Transient, and High Speed Cruise components. Each is provided in detailed, second-by-second profiles of speed against time.</w:t>
      </w:r>
    </w:p>
    <w:p w14:paraId="4581F9A5" w14:textId="77777777" w:rsidR="002F042A" w:rsidRDefault="00D9240D" w:rsidP="00D9240D">
      <w:pPr>
        <w:spacing w:before="240" w:after="240" w:line="276" w:lineRule="auto"/>
        <w:rPr>
          <w:rFonts w:eastAsia="Times New Roman"/>
        </w:rPr>
      </w:pPr>
      <w:r>
        <w:rPr>
          <w:rFonts w:eastAsia="Times New Roman"/>
        </w:rPr>
        <w:t>P</w:t>
      </w:r>
      <w:r w:rsidR="002F042A" w:rsidRPr="00D9240D">
        <w:rPr>
          <w:rFonts w:eastAsia="Times New Roman"/>
        </w:rPr>
        <w:t>ort facilities</w:t>
      </w:r>
      <w:r>
        <w:rPr>
          <w:rFonts w:eastAsia="Times New Roman"/>
        </w:rPr>
        <w:t xml:space="preserve"> were modeled</w:t>
      </w:r>
      <w:r w:rsidR="002F042A" w:rsidRPr="00D9240D">
        <w:rPr>
          <w:rFonts w:eastAsia="Times New Roman"/>
        </w:rPr>
        <w:t xml:space="preserve"> in MOVES at a national scale, and introduced the specific drive cycle by determining and importing a new avgSpeedDist table to represent these facilities. </w:t>
      </w:r>
      <w:r>
        <w:rPr>
          <w:rFonts w:eastAsia="Times New Roman"/>
        </w:rPr>
        <w:t>That</w:t>
      </w:r>
      <w:r w:rsidR="002F042A" w:rsidRPr="00D9240D">
        <w:rPr>
          <w:rFonts w:eastAsia="Times New Roman"/>
        </w:rPr>
        <w:t xml:space="preserve"> table</w:t>
      </w:r>
      <w:r>
        <w:rPr>
          <w:rFonts w:eastAsia="Times New Roman"/>
        </w:rPr>
        <w:t xml:space="preserve"> was customized</w:t>
      </w:r>
      <w:r w:rsidR="002F042A" w:rsidRPr="00D9240D">
        <w:rPr>
          <w:rFonts w:eastAsia="Times New Roman"/>
        </w:rPr>
        <w:t xml:space="preserve"> by altering the default distribution of times in various speed bins to those derived from the second-by-second data for the select component cycles listed above appropriate for the tool’s scope. </w:t>
      </w:r>
      <w:r>
        <w:rPr>
          <w:rFonts w:eastAsia="Times New Roman"/>
        </w:rPr>
        <w:t>T</w:t>
      </w:r>
      <w:r w:rsidR="002F042A" w:rsidRPr="00D9240D">
        <w:rPr>
          <w:rFonts w:eastAsia="Times New Roman"/>
        </w:rPr>
        <w:t>he second-by-second drive cycles for a combination of the Creep, Low Speed Transient, Short High Speed Transient, and Long High Speed Transient component cycles</w:t>
      </w:r>
      <w:r w:rsidR="000D3739">
        <w:rPr>
          <w:rFonts w:eastAsia="Times New Roman"/>
        </w:rPr>
        <w:t xml:space="preserve"> (as shown in </w:t>
      </w:r>
      <w:r w:rsidR="00833B69">
        <w:rPr>
          <w:rFonts w:eastAsia="Times New Roman"/>
        </w:rPr>
        <w:fldChar w:fldCharType="begin"/>
      </w:r>
      <w:r w:rsidR="00BC7385">
        <w:rPr>
          <w:rFonts w:eastAsia="Times New Roman"/>
        </w:rPr>
        <w:instrText xml:space="preserve"> REF _Ref459993536 \h </w:instrText>
      </w:r>
      <w:r w:rsidR="00833B69">
        <w:rPr>
          <w:rFonts w:eastAsia="Times New Roman"/>
        </w:rPr>
      </w:r>
      <w:r w:rsidR="00833B69">
        <w:rPr>
          <w:rFonts w:eastAsia="Times New Roman"/>
        </w:rPr>
        <w:fldChar w:fldCharType="separate"/>
      </w:r>
      <w:r w:rsidR="00C42F38">
        <w:t xml:space="preserve">Figure </w:t>
      </w:r>
      <w:r w:rsidR="00C42F38">
        <w:rPr>
          <w:noProof/>
        </w:rPr>
        <w:t>2</w:t>
      </w:r>
      <w:r w:rsidR="00833B69">
        <w:rPr>
          <w:rFonts w:eastAsia="Times New Roman"/>
        </w:rPr>
        <w:fldChar w:fldCharType="end"/>
      </w:r>
      <w:r w:rsidR="000D3739">
        <w:rPr>
          <w:rFonts w:eastAsia="Times New Roman"/>
        </w:rPr>
        <w:t>)</w:t>
      </w:r>
      <w:r w:rsidR="002F042A" w:rsidRPr="00D9240D">
        <w:rPr>
          <w:rFonts w:eastAsia="Times New Roman"/>
        </w:rPr>
        <w:t xml:space="preserve"> that provided an approximately 20 mi total distance</w:t>
      </w:r>
      <w:r>
        <w:rPr>
          <w:rFonts w:eastAsia="Times New Roman"/>
        </w:rPr>
        <w:t xml:space="preserve"> were included</w:t>
      </w:r>
      <w:r w:rsidR="002F042A" w:rsidRPr="00D9240D">
        <w:rPr>
          <w:rFonts w:eastAsia="Times New Roman"/>
        </w:rPr>
        <w:t xml:space="preserve">. </w:t>
      </w:r>
      <w:r>
        <w:rPr>
          <w:rFonts w:eastAsia="Times New Roman"/>
        </w:rPr>
        <w:t>Twenty miles from port was deemed a typical distance from a port to a distribution center where cargo is unloaded and sorted for movements using long haul trucks</w:t>
      </w:r>
      <w:r w:rsidR="002F042A" w:rsidRPr="00D9240D">
        <w:rPr>
          <w:rFonts w:eastAsia="Times New Roman"/>
        </w:rPr>
        <w:t xml:space="preserve">. Once </w:t>
      </w:r>
      <w:r>
        <w:rPr>
          <w:rFonts w:eastAsia="Times New Roman"/>
        </w:rPr>
        <w:t>the</w:t>
      </w:r>
      <w:r w:rsidR="002F042A" w:rsidRPr="00D9240D">
        <w:rPr>
          <w:rFonts w:eastAsia="Times New Roman"/>
        </w:rPr>
        <w:t xml:space="preserve"> representative, composite drive cycle</w:t>
      </w:r>
      <w:r>
        <w:rPr>
          <w:rFonts w:eastAsia="Times New Roman"/>
        </w:rPr>
        <w:t xml:space="preserve"> was constructed</w:t>
      </w:r>
      <w:r w:rsidR="002F042A" w:rsidRPr="00D9240D">
        <w:rPr>
          <w:rFonts w:eastAsia="Times New Roman"/>
        </w:rPr>
        <w:t>, a histogram of the speed bins that corresponded to the required entries of the avgSpeedDist table for the selected vehicle and road types</w:t>
      </w:r>
      <w:r>
        <w:rPr>
          <w:rFonts w:eastAsia="Times New Roman"/>
        </w:rPr>
        <w:t xml:space="preserve"> was computed</w:t>
      </w:r>
      <w:r w:rsidR="002F042A" w:rsidRPr="00D9240D">
        <w:rPr>
          <w:rFonts w:eastAsia="Times New Roman"/>
        </w:rPr>
        <w:t xml:space="preserve"> and imported into MOVES.</w:t>
      </w:r>
      <w:r w:rsidR="00330080">
        <w:rPr>
          <w:rFonts w:eastAsia="Times New Roman"/>
        </w:rPr>
        <w:t xml:space="preserve"> </w:t>
      </w:r>
      <w:r w:rsidR="002F042A" w:rsidRPr="00D9240D">
        <w:rPr>
          <w:rFonts w:eastAsia="Times New Roman"/>
        </w:rPr>
        <w:t>Only urban unrestricted road types are considered here.</w:t>
      </w:r>
      <w:r w:rsidR="00330080">
        <w:rPr>
          <w:rFonts w:eastAsia="Times New Roman"/>
        </w:rPr>
        <w:t xml:space="preserve"> </w:t>
      </w:r>
      <w:r w:rsidR="000D3739">
        <w:rPr>
          <w:rFonts w:eastAsia="Times New Roman"/>
        </w:rPr>
        <w:t xml:space="preserve">The resulting driving cycle is shown </w:t>
      </w:r>
      <w:r w:rsidR="00613C1C">
        <w:rPr>
          <w:rFonts w:eastAsia="Times New Roman"/>
        </w:rPr>
        <w:t xml:space="preserve">in </w:t>
      </w:r>
      <w:r w:rsidR="00833B69">
        <w:rPr>
          <w:rFonts w:eastAsia="Times New Roman"/>
        </w:rPr>
        <w:fldChar w:fldCharType="begin"/>
      </w:r>
      <w:r w:rsidR="00BC7385">
        <w:rPr>
          <w:rFonts w:eastAsia="Times New Roman"/>
        </w:rPr>
        <w:instrText xml:space="preserve"> REF _Ref459993545 \h </w:instrText>
      </w:r>
      <w:r w:rsidR="00833B69">
        <w:rPr>
          <w:rFonts w:eastAsia="Times New Roman"/>
        </w:rPr>
      </w:r>
      <w:r w:rsidR="00833B69">
        <w:rPr>
          <w:rFonts w:eastAsia="Times New Roman"/>
        </w:rPr>
        <w:fldChar w:fldCharType="separate"/>
      </w:r>
      <w:r w:rsidR="00C42F38">
        <w:t xml:space="preserve">Figure </w:t>
      </w:r>
      <w:r w:rsidR="00C42F38">
        <w:rPr>
          <w:noProof/>
        </w:rPr>
        <w:t>3</w:t>
      </w:r>
      <w:r w:rsidR="00833B69">
        <w:rPr>
          <w:rFonts w:eastAsia="Times New Roman"/>
        </w:rPr>
        <w:fldChar w:fldCharType="end"/>
      </w:r>
      <w:r w:rsidR="000D3739">
        <w:rPr>
          <w:rFonts w:eastAsia="Times New Roman"/>
        </w:rPr>
        <w:t>.</w:t>
      </w:r>
    </w:p>
    <w:p w14:paraId="2652FB98" w14:textId="77777777" w:rsidR="00BC7385" w:rsidRPr="00D9240D" w:rsidRDefault="00BC7385" w:rsidP="00BC7385">
      <w:pPr>
        <w:pStyle w:val="FigureCaption"/>
        <w:spacing w:after="0"/>
        <w:rPr>
          <w:rFonts w:eastAsia="Times New Roman"/>
        </w:rPr>
      </w:pPr>
      <w:bookmarkStart w:id="62" w:name="_Ref459993536"/>
      <w:bookmarkStart w:id="63" w:name="_Toc482973610"/>
      <w:r>
        <w:lastRenderedPageBreak/>
        <w:t xml:space="preserve">Figure </w:t>
      </w:r>
      <w:r w:rsidR="00833B69">
        <w:fldChar w:fldCharType="begin"/>
      </w:r>
      <w:r w:rsidR="006578C8">
        <w:instrText xml:space="preserve"> SEQ Figure \* ARABIC </w:instrText>
      </w:r>
      <w:r w:rsidR="00833B69">
        <w:fldChar w:fldCharType="separate"/>
      </w:r>
      <w:r w:rsidR="00C42F38">
        <w:rPr>
          <w:noProof/>
        </w:rPr>
        <w:t>2</w:t>
      </w:r>
      <w:r w:rsidR="00833B69">
        <w:rPr>
          <w:noProof/>
        </w:rPr>
        <w:fldChar w:fldCharType="end"/>
      </w:r>
      <w:bookmarkEnd w:id="62"/>
      <w:r w:rsidR="00C43F06">
        <w:t>.</w:t>
      </w:r>
      <w:r>
        <w:t xml:space="preserve"> Second by Second Port Driving Cycle Components</w:t>
      </w:r>
      <w:bookmarkEnd w:id="63"/>
    </w:p>
    <w:p w14:paraId="588AC917" w14:textId="77777777" w:rsidR="002F042A" w:rsidRDefault="002F042A" w:rsidP="002F042A">
      <w:pPr>
        <w:pStyle w:val="NormalWeb"/>
        <w:spacing w:before="0" w:beforeAutospacing="0" w:after="0" w:afterAutospacing="0"/>
        <w:ind w:left="1080"/>
        <w:rPr>
          <w:rFonts w:ascii="Calibri" w:hAnsi="Calibri"/>
          <w:color w:val="000000"/>
          <w:sz w:val="30"/>
          <w:szCs w:val="30"/>
        </w:rPr>
      </w:pPr>
      <w:r>
        <w:rPr>
          <w:rFonts w:ascii="Calibri" w:hAnsi="Calibri"/>
          <w:color w:val="000000"/>
          <w:sz w:val="30"/>
          <w:szCs w:val="30"/>
        </w:rPr>
        <w:t> </w:t>
      </w:r>
      <w:r>
        <w:rPr>
          <w:rFonts w:ascii="Calibri" w:hAnsi="Calibri"/>
          <w:noProof/>
          <w:color w:val="000000"/>
          <w:sz w:val="22"/>
          <w:szCs w:val="22"/>
        </w:rPr>
        <w:drawing>
          <wp:inline distT="0" distB="0" distL="0" distR="0" wp14:anchorId="71FC527B" wp14:editId="77F53164">
            <wp:extent cx="4805680" cy="2790825"/>
            <wp:effectExtent l="0" t="0" r="0" b="9525"/>
            <wp:docPr id="14" name="Picture 14" descr="Machine generated alternative text:&#10;Short High Speed Transient &#10;Low Speed Transient &#10;Tim &#10;2500 &#10;20 &#10;Creep &#10;1000 &#10;Figure 10. Near-dock duty cych &#10;data each in &#10;1 soo &#10;Tin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Short High Speed Transient &#10;Low Speed Transient &#10;Tim &#10;2500 &#10;20 &#10;Creep &#10;1000 &#10;Figure 10. Near-dock duty cych &#10;data each in &#10;1 soo &#10;Tinp "/>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b="10104"/>
                    <a:stretch/>
                  </pic:blipFill>
                  <pic:spPr bwMode="auto">
                    <a:xfrm>
                      <a:off x="0" y="0"/>
                      <a:ext cx="4805680" cy="2790825"/>
                    </a:xfrm>
                    <a:prstGeom prst="rect">
                      <a:avLst/>
                    </a:prstGeom>
                    <a:noFill/>
                    <a:ln>
                      <a:noFill/>
                    </a:ln>
                    <a:extLst>
                      <a:ext uri="{53640926-AAD7-44D8-BBD7-CCE9431645EC}">
                        <a14:shadowObscured xmlns:a14="http://schemas.microsoft.com/office/drawing/2010/main"/>
                      </a:ext>
                    </a:extLst>
                  </pic:spPr>
                </pic:pic>
              </a:graphicData>
            </a:graphic>
          </wp:inline>
        </w:drawing>
      </w:r>
    </w:p>
    <w:p w14:paraId="5F514D26" w14:textId="77777777" w:rsidR="00BC7385" w:rsidRDefault="00BC7385" w:rsidP="00BC7385">
      <w:pPr>
        <w:pStyle w:val="FigureCaption"/>
        <w:spacing w:after="120"/>
        <w:rPr>
          <w:color w:val="000000"/>
          <w:sz w:val="30"/>
          <w:szCs w:val="30"/>
        </w:rPr>
      </w:pPr>
      <w:bookmarkStart w:id="64" w:name="_Ref459993545"/>
      <w:bookmarkStart w:id="65" w:name="_Toc482973611"/>
      <w:r>
        <w:t xml:space="preserve">Figure </w:t>
      </w:r>
      <w:r w:rsidR="00833B69">
        <w:fldChar w:fldCharType="begin"/>
      </w:r>
      <w:r w:rsidR="006578C8">
        <w:instrText xml:space="preserve"> SEQ Figure \* ARABIC </w:instrText>
      </w:r>
      <w:r w:rsidR="00833B69">
        <w:fldChar w:fldCharType="separate"/>
      </w:r>
      <w:r w:rsidR="00C42F38">
        <w:rPr>
          <w:noProof/>
        </w:rPr>
        <w:t>3</w:t>
      </w:r>
      <w:r w:rsidR="00833B69">
        <w:rPr>
          <w:noProof/>
        </w:rPr>
        <w:fldChar w:fldCharType="end"/>
      </w:r>
      <w:bookmarkEnd w:id="64"/>
      <w:r w:rsidR="00C43F06">
        <w:t>.</w:t>
      </w:r>
      <w:r>
        <w:t xml:space="preserve"> Port Driving Cycle used for Port Facility in Tool</w:t>
      </w:r>
      <w:bookmarkEnd w:id="65"/>
    </w:p>
    <w:p w14:paraId="4D0983D2" w14:textId="77777777" w:rsidR="002F042A" w:rsidRDefault="002F042A" w:rsidP="002F042A">
      <w:pPr>
        <w:pStyle w:val="NormalWeb"/>
        <w:spacing w:before="0" w:beforeAutospacing="0" w:after="0" w:afterAutospacing="0"/>
        <w:jc w:val="center"/>
        <w:rPr>
          <w:rFonts w:ascii="Calibri" w:hAnsi="Calibri"/>
          <w:color w:val="000000"/>
          <w:sz w:val="22"/>
          <w:szCs w:val="22"/>
        </w:rPr>
      </w:pPr>
      <w:r w:rsidRPr="00D93F4A">
        <w:rPr>
          <w:rFonts w:ascii="Calibri" w:hAnsi="Calibri"/>
          <w:noProof/>
          <w:color w:val="000000"/>
          <w:sz w:val="22"/>
          <w:szCs w:val="22"/>
        </w:rPr>
        <w:drawing>
          <wp:inline distT="0" distB="0" distL="0" distR="0" wp14:anchorId="1474BB26" wp14:editId="5D3C50FB">
            <wp:extent cx="5943600" cy="275336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2753360"/>
                    </a:xfrm>
                    <a:prstGeom prst="rect">
                      <a:avLst/>
                    </a:prstGeom>
                    <a:noFill/>
                    <a:ln>
                      <a:noFill/>
                    </a:ln>
                  </pic:spPr>
                </pic:pic>
              </a:graphicData>
            </a:graphic>
          </wp:inline>
        </w:drawing>
      </w:r>
    </w:p>
    <w:p w14:paraId="0112E10A" w14:textId="77777777" w:rsidR="00B0776A" w:rsidRDefault="00B0776A" w:rsidP="002E4D87">
      <w:pPr>
        <w:pStyle w:val="Heading4"/>
      </w:pPr>
      <w:r>
        <w:t>Off network</w:t>
      </w:r>
    </w:p>
    <w:p w14:paraId="4C4FF6A0" w14:textId="3CC64AA7" w:rsidR="00B0776A" w:rsidRPr="002E4D87" w:rsidRDefault="000D3739" w:rsidP="002E4D87">
      <w:pPr>
        <w:spacing w:before="240" w:after="240" w:line="276" w:lineRule="auto"/>
        <w:rPr>
          <w:rFonts w:eastAsia="Times New Roman"/>
        </w:rPr>
      </w:pPr>
      <w:r>
        <w:t xml:space="preserve">In addition to the five </w:t>
      </w:r>
      <w:r w:rsidR="00613C1C">
        <w:t xml:space="preserve">geographic scales </w:t>
      </w:r>
      <w:r>
        <w:t xml:space="preserve">(three primary </w:t>
      </w:r>
      <w:r w:rsidR="00613C1C">
        <w:t>regions</w:t>
      </w:r>
      <w:r>
        <w:t xml:space="preserve"> and two subregions)</w:t>
      </w:r>
      <w:r w:rsidR="00613C1C">
        <w:t xml:space="preserve"> modeled in MOVES, a sixth ca</w:t>
      </w:r>
      <w:r>
        <w:t xml:space="preserve">tegory </w:t>
      </w:r>
      <w:r w:rsidR="00613C1C">
        <w:t>wa</w:t>
      </w:r>
      <w:r>
        <w:t xml:space="preserve">s </w:t>
      </w:r>
      <w:r w:rsidR="00A05A7F">
        <w:t>used to determine</w:t>
      </w:r>
      <w:r>
        <w:t xml:space="preserve"> extended idle emissions. This category does not appear in the </w:t>
      </w:r>
      <w:r w:rsidR="00A05A7F">
        <w:t>T</w:t>
      </w:r>
      <w:r>
        <w:t>ool, but was used only for extraction of the extended idling factors.</w:t>
      </w:r>
      <w:r w:rsidR="00F52316">
        <w:t xml:space="preserve"> Only combination</w:t>
      </w:r>
      <w:r w:rsidR="00A05A7F">
        <w:t xml:space="preserve"> </w:t>
      </w:r>
      <w:r w:rsidR="00F52316">
        <w:t>unit long haul trucks calculate extended idle emissions in the Tool.</w:t>
      </w:r>
    </w:p>
    <w:p w14:paraId="32B54898" w14:textId="77777777" w:rsidR="000D3739" w:rsidRDefault="000D3739" w:rsidP="000D3739">
      <w:pPr>
        <w:pStyle w:val="Heading3"/>
      </w:pPr>
      <w:bookmarkStart w:id="66" w:name="_Toc482973564"/>
      <w:r>
        <w:lastRenderedPageBreak/>
        <w:t>Parameters Extracted from MOVES</w:t>
      </w:r>
      <w:bookmarkEnd w:id="66"/>
    </w:p>
    <w:p w14:paraId="6FAEC6CF" w14:textId="1E2ABE3D" w:rsidR="000D3739" w:rsidRDefault="000D3739" w:rsidP="00613C1C">
      <w:pPr>
        <w:spacing w:before="240" w:after="240" w:line="276" w:lineRule="auto"/>
      </w:pPr>
      <w:r>
        <w:t xml:space="preserve">Three main values were extracted from the MOVES </w:t>
      </w:r>
      <w:r w:rsidR="00A05A7F">
        <w:t xml:space="preserve">modeling </w:t>
      </w:r>
      <w:r>
        <w:t>runs. All analysis was done with the latest version of the model, MOVES2014a, and using default database</w:t>
      </w:r>
      <w:r w:rsidRPr="00D05E7F">
        <w:t xml:space="preserve"> </w:t>
      </w:r>
      <w:r>
        <w:t xml:space="preserve">version </w:t>
      </w:r>
      <w:r w:rsidRPr="00D05E7F">
        <w:t>20151028</w:t>
      </w:r>
      <w:r>
        <w:t xml:space="preserve">. In all cases other than port trucks, all analyses are based entirely on default inputs to the model from this version of the default database. </w:t>
      </w:r>
    </w:p>
    <w:p w14:paraId="1F0DDA01" w14:textId="77777777" w:rsidR="000D3739" w:rsidRDefault="000D3739" w:rsidP="000D3739">
      <w:pPr>
        <w:pStyle w:val="Heading4"/>
      </w:pPr>
      <w:r>
        <w:t>Emission factors</w:t>
      </w:r>
    </w:p>
    <w:p w14:paraId="717113EE" w14:textId="0220BC96" w:rsidR="000D3739" w:rsidRPr="009F7133" w:rsidRDefault="000D3739" w:rsidP="000D3739">
      <w:pPr>
        <w:spacing w:before="240" w:after="240" w:line="276" w:lineRule="auto"/>
      </w:pPr>
      <w:r>
        <w:t>All</w:t>
      </w:r>
      <w:r w:rsidRPr="005061DD">
        <w:t xml:space="preserve"> emission factors</w:t>
      </w:r>
      <w:r>
        <w:t xml:space="preserve"> were derived</w:t>
      </w:r>
      <w:r w:rsidRPr="005061DD">
        <w:t xml:space="preserve"> in grams per mile for NOx, PM</w:t>
      </w:r>
      <w:r w:rsidRPr="000D3739">
        <w:rPr>
          <w:vertAlign w:val="subscript"/>
        </w:rPr>
        <w:t>2.5</w:t>
      </w:r>
      <w:r w:rsidRPr="005061DD">
        <w:t>, and CO</w:t>
      </w:r>
      <w:r w:rsidRPr="000D3739">
        <w:rPr>
          <w:vertAlign w:val="subscript"/>
        </w:rPr>
        <w:t>2</w:t>
      </w:r>
      <w:r w:rsidRPr="005061DD">
        <w:t xml:space="preserve"> from the model</w:t>
      </w:r>
      <w:r>
        <w:t xml:space="preserve"> for the same regional definitions provided above</w:t>
      </w:r>
      <w:r w:rsidRPr="005061DD">
        <w:t>.</w:t>
      </w:r>
      <w:r w:rsidR="00330080">
        <w:t xml:space="preserve"> </w:t>
      </w:r>
      <w:r w:rsidRPr="005061DD">
        <w:t xml:space="preserve">Emission factors include both running and extended idle processes. APU emissions were also included. No refueling or evaporative emissions were included. </w:t>
      </w:r>
      <w:r w:rsidRPr="000D3739">
        <w:t>Note that CO</w:t>
      </w:r>
      <w:r w:rsidRPr="000D3739">
        <w:rPr>
          <w:vertAlign w:val="subscript"/>
        </w:rPr>
        <w:t>2</w:t>
      </w:r>
      <w:r w:rsidRPr="000D3739">
        <w:t xml:space="preserve"> </w:t>
      </w:r>
      <w:r w:rsidR="00373C56">
        <w:t xml:space="preserve">emission factors in the Tool were developed using </w:t>
      </w:r>
      <w:r w:rsidRPr="000D3739">
        <w:t>“Atmospheric CO</w:t>
      </w:r>
      <w:r w:rsidRPr="00613C1C">
        <w:rPr>
          <w:vertAlign w:val="subscript"/>
        </w:rPr>
        <w:t>2</w:t>
      </w:r>
      <w:r w:rsidRPr="000D3739">
        <w:t xml:space="preserve">”, not </w:t>
      </w:r>
      <w:r w:rsidR="00373C56">
        <w:t>“</w:t>
      </w:r>
      <w:r w:rsidRPr="000D3739">
        <w:t>CO</w:t>
      </w:r>
      <w:r w:rsidRPr="00613C1C">
        <w:rPr>
          <w:vertAlign w:val="subscript"/>
        </w:rPr>
        <w:t>2</w:t>
      </w:r>
      <w:r w:rsidRPr="000D3739">
        <w:t>e</w:t>
      </w:r>
      <w:r w:rsidR="00373C56">
        <w:t>” in MOVES</w:t>
      </w:r>
      <w:r w:rsidRPr="000D3739">
        <w:t xml:space="preserve">. Also, PM includes brake and tire wear. All processes include exhaust and crankcase emissions. Only diesel fuel was included for all vehicle types other than </w:t>
      </w:r>
      <w:r w:rsidR="00F52316">
        <w:t>single</w:t>
      </w:r>
      <w:r w:rsidR="007B1EA8">
        <w:t xml:space="preserve"> unit</w:t>
      </w:r>
      <w:r>
        <w:t xml:space="preserve"> short haul</w:t>
      </w:r>
      <w:r w:rsidRPr="000D3739">
        <w:t xml:space="preserve"> trucks, which is a mixture of gasoline and diesel fuels. </w:t>
      </w:r>
    </w:p>
    <w:p w14:paraId="1A167AD0" w14:textId="2A009A24" w:rsidR="000D3739" w:rsidRPr="000D3739" w:rsidRDefault="000D3739" w:rsidP="000D3739">
      <w:pPr>
        <w:spacing w:before="240" w:after="240" w:line="276" w:lineRule="auto"/>
      </w:pPr>
      <w:r w:rsidRPr="000D3739">
        <w:t xml:space="preserve">For all runs, the model simulations were made for the regional definitions provided in inventory mode. The emission factors were then extracted by normalizing the total emissions per total activity (distance or extended idle hours), to represent activity weighted emission factors. For all but long haul combination trucks, emission factors represent total emissions from all emission processes, normalized to distance. This produces emission factors with units of </w:t>
      </w:r>
      <w:r w:rsidR="00373C56">
        <w:t>grams per mile</w:t>
      </w:r>
      <w:r w:rsidRPr="000D3739">
        <w:t xml:space="preserve">. </w:t>
      </w:r>
      <w:r>
        <w:t>F</w:t>
      </w:r>
      <w:r w:rsidRPr="000D3739">
        <w:t xml:space="preserve">or the </w:t>
      </w:r>
      <w:r w:rsidR="006771E4">
        <w:t>long haul</w:t>
      </w:r>
      <w:r w:rsidRPr="000D3739">
        <w:t xml:space="preserve"> truck type, two emission factors were determined. All running, non-extended idle emissions (i.e., all processes but APU </w:t>
      </w:r>
      <w:r w:rsidR="00373C56">
        <w:t>and</w:t>
      </w:r>
      <w:r w:rsidRPr="000D3739">
        <w:t xml:space="preserve"> extended idle) were summed and normalized to distance to produce  emission factors. Extended idle emission factors were taken as the sum of APU and extended idle processes, and normalized by hours of extended idling. </w:t>
      </w:r>
    </w:p>
    <w:p w14:paraId="6B724006" w14:textId="0BA15769" w:rsidR="000D3739" w:rsidRPr="000D3739" w:rsidRDefault="00373C56" w:rsidP="000D3739">
      <w:pPr>
        <w:spacing w:before="240" w:after="240" w:line="276" w:lineRule="auto"/>
      </w:pPr>
      <w:r>
        <w:t>The years included</w:t>
      </w:r>
      <w:r w:rsidR="000D3739" w:rsidRPr="000D3739">
        <w:t xml:space="preserve"> for the modeling </w:t>
      </w:r>
      <w:r>
        <w:t>were</w:t>
      </w:r>
      <w:r w:rsidR="000D3739" w:rsidRPr="000D3739">
        <w:t>: 2015, 2020, 2025, 2030, 2035, and 2040. All runs were made with annual pre</w:t>
      </w:r>
      <w:r w:rsidR="00F52316">
        <w:t>-</w:t>
      </w:r>
      <w:r w:rsidR="000D3739" w:rsidRPr="000D3739">
        <w:t>aggregation to speed run times. All months, hours, and days were included.</w:t>
      </w:r>
      <w:r w:rsidR="00330080">
        <w:t xml:space="preserve"> </w:t>
      </w:r>
      <w:r>
        <w:t>C</w:t>
      </w:r>
      <w:r w:rsidR="000D3739" w:rsidRPr="000D3739">
        <w:t>ustom MySQL scripts written and executed to extract the values. </w:t>
      </w:r>
    </w:p>
    <w:p w14:paraId="190F0471" w14:textId="77777777" w:rsidR="000D3739" w:rsidRDefault="000D3739" w:rsidP="000D3739">
      <w:pPr>
        <w:pStyle w:val="Heading4"/>
      </w:pPr>
      <w:r>
        <w:t>Mileage accumulation</w:t>
      </w:r>
    </w:p>
    <w:p w14:paraId="702A2A01" w14:textId="77777777" w:rsidR="000D3739" w:rsidRPr="00011883" w:rsidRDefault="000D3739" w:rsidP="000D3739">
      <w:pPr>
        <w:spacing w:before="240" w:after="240" w:line="276" w:lineRule="auto"/>
      </w:pPr>
      <w:r>
        <w:t>A</w:t>
      </w:r>
      <w:r w:rsidRPr="000D3739">
        <w:t>nnual average VMT per vehicle (annual mileage accumulation)</w:t>
      </w:r>
      <w:r>
        <w:t xml:space="preserve"> was also determined</w:t>
      </w:r>
      <w:r w:rsidRPr="000D3739">
        <w:t xml:space="preserve">. </w:t>
      </w:r>
      <w:r w:rsidRPr="00011883">
        <w:t xml:space="preserve">Default VMT accumulation and VMT mix by road type was determined for </w:t>
      </w:r>
      <w:r>
        <w:t>all</w:t>
      </w:r>
      <w:r w:rsidRPr="00011883">
        <w:t xml:space="preserve"> region</w:t>
      </w:r>
      <w:r>
        <w:t>al</w:t>
      </w:r>
      <w:r w:rsidRPr="00011883">
        <w:t xml:space="preserve"> types</w:t>
      </w:r>
      <w:r>
        <w:t xml:space="preserve"> and deemed to be the same no matter what region.</w:t>
      </w:r>
      <w:r w:rsidR="00330080">
        <w:t xml:space="preserve"> </w:t>
      </w:r>
      <w:r w:rsidR="00D52B46">
        <w:t>Since the Tool simulates the benefits derived from the trucks and does not represent an inventory model, any modification applied to a truck would be valid for the truck whether it is within the geographic area or not.</w:t>
      </w:r>
    </w:p>
    <w:p w14:paraId="1C9A6918" w14:textId="77060A28" w:rsidR="000D3739" w:rsidRDefault="00D52B46" w:rsidP="000D3739">
      <w:pPr>
        <w:spacing w:before="240" w:after="240" w:line="276" w:lineRule="auto"/>
      </w:pPr>
      <w:r>
        <w:t>For all</w:t>
      </w:r>
      <w:r w:rsidR="000D3739" w:rsidRPr="000D3739">
        <w:t xml:space="preserve"> region</w:t>
      </w:r>
      <w:r>
        <w:t>s</w:t>
      </w:r>
      <w:r w:rsidR="000D3739" w:rsidRPr="000D3739">
        <w:t xml:space="preserve">, a national-scale MOVES run was conducted for all four truck types preserving resolution by type, </w:t>
      </w:r>
      <w:r w:rsidR="00373C56">
        <w:t>and</w:t>
      </w:r>
      <w:r w:rsidR="000D3739" w:rsidRPr="000D3739">
        <w:t xml:space="preserve">for all road types, again preserving resolution by type. Only diesel fuel was included for all </w:t>
      </w:r>
      <w:r w:rsidR="000D3739" w:rsidRPr="000D3739">
        <w:lastRenderedPageBreak/>
        <w:t xml:space="preserve">vehicle types except </w:t>
      </w:r>
      <w:r>
        <w:t>single</w:t>
      </w:r>
      <w:r w:rsidR="00373C56">
        <w:t xml:space="preserve"> </w:t>
      </w:r>
      <w:r w:rsidR="007B1EA8">
        <w:t xml:space="preserve"> unit</w:t>
      </w:r>
      <w:r>
        <w:t xml:space="preserve"> short haul trucks</w:t>
      </w:r>
      <w:r w:rsidR="000D3739" w:rsidRPr="000D3739">
        <w:t xml:space="preserve">. Output activity was also resolved by model year. </w:t>
      </w:r>
      <w:r w:rsidR="00315694">
        <w:t xml:space="preserve">Average annual VMT by truck class is shown in </w:t>
      </w:r>
      <w:r w:rsidR="00833B69">
        <w:fldChar w:fldCharType="begin"/>
      </w:r>
      <w:r w:rsidR="00BC7385">
        <w:instrText xml:space="preserve"> REF _Ref459993668 \h </w:instrText>
      </w:r>
      <w:r w:rsidR="00833B69">
        <w:fldChar w:fldCharType="separate"/>
      </w:r>
      <w:r w:rsidR="00C42F38">
        <w:t xml:space="preserve">Table </w:t>
      </w:r>
      <w:r w:rsidR="00C42F38">
        <w:rPr>
          <w:noProof/>
        </w:rPr>
        <w:t>15</w:t>
      </w:r>
      <w:r w:rsidR="00833B69">
        <w:fldChar w:fldCharType="end"/>
      </w:r>
      <w:r w:rsidR="00315694">
        <w:t>.</w:t>
      </w:r>
    </w:p>
    <w:p w14:paraId="6ABE7397" w14:textId="77777777" w:rsidR="00BC7385" w:rsidRDefault="00BC7385" w:rsidP="00BC7385">
      <w:pPr>
        <w:pStyle w:val="TableCaption"/>
      </w:pPr>
      <w:bookmarkStart w:id="67" w:name="_Ref459993668"/>
      <w:bookmarkStart w:id="68" w:name="_Toc482973595"/>
      <w:r>
        <w:t xml:space="preserve">Table </w:t>
      </w:r>
      <w:r w:rsidR="00833B69">
        <w:fldChar w:fldCharType="begin"/>
      </w:r>
      <w:r>
        <w:instrText xml:space="preserve"> SEQ Table \* ARABIC </w:instrText>
      </w:r>
      <w:r w:rsidR="00833B69">
        <w:fldChar w:fldCharType="separate"/>
      </w:r>
      <w:r w:rsidR="00305706">
        <w:t>15</w:t>
      </w:r>
      <w:r w:rsidR="00833B69">
        <w:fldChar w:fldCharType="end"/>
      </w:r>
      <w:bookmarkEnd w:id="67"/>
      <w:r w:rsidR="00C43F06">
        <w:t>.</w:t>
      </w:r>
      <w:r>
        <w:t xml:space="preserve"> Default Annual Average Mileage Accumulation Rates</w:t>
      </w:r>
      <w:bookmarkEnd w:id="68"/>
    </w:p>
    <w:tbl>
      <w:tblPr>
        <w:tblStyle w:val="ListTable3-Accent11"/>
        <w:tblW w:w="7587" w:type="dxa"/>
        <w:jc w:val="center"/>
        <w:tblLayout w:type="fixed"/>
        <w:tblLook w:val="04A0" w:firstRow="1" w:lastRow="0" w:firstColumn="1" w:lastColumn="0" w:noHBand="0" w:noVBand="1"/>
      </w:tblPr>
      <w:tblGrid>
        <w:gridCol w:w="895"/>
        <w:gridCol w:w="1252"/>
        <w:gridCol w:w="1252"/>
        <w:gridCol w:w="1252"/>
        <w:gridCol w:w="1464"/>
        <w:gridCol w:w="1472"/>
      </w:tblGrid>
      <w:tr w:rsidR="00315694" w:rsidRPr="00AF154D" w14:paraId="5D73820C" w14:textId="77777777" w:rsidTr="00A609BA">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95" w:type="dxa"/>
            <w:tcBorders>
              <w:right w:val="single" w:sz="4" w:space="0" w:color="0067AB" w:themeColor="accent1"/>
            </w:tcBorders>
            <w:vAlign w:val="bottom"/>
          </w:tcPr>
          <w:p w14:paraId="276558B3" w14:textId="77777777" w:rsidR="00315694" w:rsidRPr="00315694" w:rsidRDefault="00315694" w:rsidP="00315694">
            <w:pPr>
              <w:keepNext/>
              <w:jc w:val="center"/>
              <w:rPr>
                <w:sz w:val="20"/>
                <w:szCs w:val="20"/>
              </w:rPr>
            </w:pPr>
            <w:r w:rsidRPr="00315694">
              <w:rPr>
                <w:sz w:val="20"/>
                <w:szCs w:val="20"/>
              </w:rPr>
              <w:t>Year</w:t>
            </w:r>
          </w:p>
        </w:tc>
        <w:tc>
          <w:tcPr>
            <w:tcW w:w="1252" w:type="dxa"/>
            <w:tcBorders>
              <w:left w:val="single" w:sz="4" w:space="0" w:color="0067AB" w:themeColor="accent1"/>
              <w:right w:val="single" w:sz="4" w:space="0" w:color="0067AB" w:themeColor="accent1"/>
            </w:tcBorders>
            <w:vAlign w:val="center"/>
          </w:tcPr>
          <w:p w14:paraId="760893A1" w14:textId="1F341CE1" w:rsidR="00315694" w:rsidRPr="00315694" w:rsidRDefault="00315694" w:rsidP="00F52316">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315694">
              <w:rPr>
                <w:sz w:val="20"/>
                <w:szCs w:val="20"/>
              </w:rPr>
              <w:t>Single</w:t>
            </w:r>
            <w:r w:rsidR="007B1EA8">
              <w:rPr>
                <w:sz w:val="20"/>
                <w:szCs w:val="20"/>
              </w:rPr>
              <w:t xml:space="preserve"> unit</w:t>
            </w:r>
            <w:r w:rsidRPr="00315694">
              <w:rPr>
                <w:sz w:val="20"/>
                <w:szCs w:val="20"/>
              </w:rPr>
              <w:t xml:space="preserve"> Short Haul Gasoline</w:t>
            </w:r>
          </w:p>
        </w:tc>
        <w:tc>
          <w:tcPr>
            <w:tcW w:w="1252" w:type="dxa"/>
            <w:tcBorders>
              <w:left w:val="single" w:sz="4" w:space="0" w:color="0067AB" w:themeColor="accent1"/>
              <w:right w:val="single" w:sz="4" w:space="0" w:color="0067AB" w:themeColor="accent1"/>
            </w:tcBorders>
            <w:vAlign w:val="center"/>
          </w:tcPr>
          <w:p w14:paraId="42148811" w14:textId="3F385ED0" w:rsidR="00315694" w:rsidRPr="00315694" w:rsidRDefault="00315694" w:rsidP="00F52316">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315694">
              <w:rPr>
                <w:sz w:val="20"/>
                <w:szCs w:val="20"/>
              </w:rPr>
              <w:t>Single</w:t>
            </w:r>
            <w:r w:rsidR="007B1EA8">
              <w:rPr>
                <w:sz w:val="20"/>
                <w:szCs w:val="20"/>
              </w:rPr>
              <w:t xml:space="preserve"> unit</w:t>
            </w:r>
            <w:r w:rsidRPr="00315694">
              <w:rPr>
                <w:sz w:val="20"/>
                <w:szCs w:val="20"/>
              </w:rPr>
              <w:t xml:space="preserve"> Short Haul Diesel</w:t>
            </w:r>
          </w:p>
        </w:tc>
        <w:tc>
          <w:tcPr>
            <w:tcW w:w="1252" w:type="dxa"/>
            <w:tcBorders>
              <w:left w:val="single" w:sz="4" w:space="0" w:color="0067AB" w:themeColor="accent1"/>
              <w:right w:val="single" w:sz="4" w:space="0" w:color="0067AB" w:themeColor="accent1"/>
            </w:tcBorders>
            <w:vAlign w:val="center"/>
          </w:tcPr>
          <w:p w14:paraId="28B4C254" w14:textId="630A5C69" w:rsidR="00315694" w:rsidRPr="00315694" w:rsidRDefault="00315694" w:rsidP="00F52316">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315694">
              <w:rPr>
                <w:sz w:val="20"/>
                <w:szCs w:val="20"/>
              </w:rPr>
              <w:t>Single</w:t>
            </w:r>
            <w:r w:rsidR="007B1EA8">
              <w:rPr>
                <w:sz w:val="20"/>
                <w:szCs w:val="20"/>
              </w:rPr>
              <w:t xml:space="preserve"> unit</w:t>
            </w:r>
            <w:r w:rsidRPr="00315694">
              <w:rPr>
                <w:sz w:val="20"/>
                <w:szCs w:val="20"/>
              </w:rPr>
              <w:t xml:space="preserve"> Long Haul Diesel</w:t>
            </w:r>
          </w:p>
        </w:tc>
        <w:tc>
          <w:tcPr>
            <w:tcW w:w="1464" w:type="dxa"/>
            <w:tcBorders>
              <w:left w:val="single" w:sz="4" w:space="0" w:color="0067AB" w:themeColor="accent1"/>
              <w:right w:val="single" w:sz="4" w:space="0" w:color="0067AB" w:themeColor="accent1"/>
            </w:tcBorders>
            <w:vAlign w:val="center"/>
          </w:tcPr>
          <w:p w14:paraId="398FD54D" w14:textId="1F8815C4" w:rsidR="00315694" w:rsidRPr="00315694" w:rsidRDefault="00315694" w:rsidP="00315694">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315694">
              <w:rPr>
                <w:sz w:val="20"/>
                <w:szCs w:val="20"/>
              </w:rPr>
              <w:t>Combination</w:t>
            </w:r>
            <w:r w:rsidR="007B1EA8">
              <w:rPr>
                <w:sz w:val="20"/>
                <w:szCs w:val="20"/>
              </w:rPr>
              <w:t xml:space="preserve"> unit</w:t>
            </w:r>
            <w:r w:rsidRPr="00315694">
              <w:rPr>
                <w:sz w:val="20"/>
                <w:szCs w:val="20"/>
              </w:rPr>
              <w:t xml:space="preserve"> Short Haul Diesel</w:t>
            </w:r>
          </w:p>
        </w:tc>
        <w:tc>
          <w:tcPr>
            <w:tcW w:w="1472" w:type="dxa"/>
            <w:tcBorders>
              <w:left w:val="single" w:sz="4" w:space="0" w:color="0067AB" w:themeColor="accent1"/>
            </w:tcBorders>
            <w:vAlign w:val="center"/>
          </w:tcPr>
          <w:p w14:paraId="5DF6BB12" w14:textId="42B7D014" w:rsidR="00315694" w:rsidRPr="00315694" w:rsidRDefault="00315694" w:rsidP="00315694">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315694">
              <w:rPr>
                <w:sz w:val="20"/>
                <w:szCs w:val="20"/>
              </w:rPr>
              <w:t>Combination</w:t>
            </w:r>
            <w:r w:rsidR="007B1EA8">
              <w:rPr>
                <w:sz w:val="20"/>
                <w:szCs w:val="20"/>
              </w:rPr>
              <w:t xml:space="preserve"> unit</w:t>
            </w:r>
            <w:r w:rsidRPr="00315694">
              <w:rPr>
                <w:sz w:val="20"/>
                <w:szCs w:val="20"/>
              </w:rPr>
              <w:t xml:space="preserve"> Long Haul Diesel</w:t>
            </w:r>
          </w:p>
        </w:tc>
      </w:tr>
      <w:tr w:rsidR="00315694" w:rsidRPr="00AF154D" w14:paraId="796F5984" w14:textId="77777777" w:rsidTr="00A609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5" w:type="dxa"/>
            <w:tcBorders>
              <w:right w:val="single" w:sz="4" w:space="0" w:color="0067AB" w:themeColor="accent1"/>
            </w:tcBorders>
            <w:vAlign w:val="center"/>
          </w:tcPr>
          <w:p w14:paraId="3350DE67" w14:textId="77777777" w:rsidR="00315694" w:rsidRPr="00AF154D" w:rsidRDefault="00315694" w:rsidP="00A609BA">
            <w:pPr>
              <w:keepNext/>
              <w:jc w:val="center"/>
              <w:rPr>
                <w:b w:val="0"/>
                <w:sz w:val="20"/>
                <w:szCs w:val="20"/>
              </w:rPr>
            </w:pPr>
            <w:r>
              <w:rPr>
                <w:b w:val="0"/>
                <w:sz w:val="20"/>
                <w:szCs w:val="20"/>
              </w:rPr>
              <w:t>2015</w:t>
            </w:r>
          </w:p>
        </w:tc>
        <w:tc>
          <w:tcPr>
            <w:tcW w:w="1252" w:type="dxa"/>
            <w:tcBorders>
              <w:left w:val="single" w:sz="4" w:space="0" w:color="0067AB" w:themeColor="accent1"/>
              <w:right w:val="single" w:sz="4" w:space="0" w:color="0067AB" w:themeColor="accent1"/>
            </w:tcBorders>
            <w:vAlign w:val="center"/>
          </w:tcPr>
          <w:p w14:paraId="4070D94E" w14:textId="77777777" w:rsidR="00315694" w:rsidRPr="00315694" w:rsidRDefault="00315694" w:rsidP="00315694">
            <w:pPr>
              <w:keepNext/>
              <w:jc w:val="center"/>
              <w:cnfStyle w:val="000000100000" w:firstRow="0" w:lastRow="0" w:firstColumn="0" w:lastColumn="0" w:oddVBand="0" w:evenVBand="0" w:oddHBand="1" w:evenHBand="0" w:firstRowFirstColumn="0" w:firstRowLastColumn="0" w:lastRowFirstColumn="0" w:lastRowLastColumn="0"/>
              <w:rPr>
                <w:sz w:val="20"/>
                <w:szCs w:val="20"/>
              </w:rPr>
            </w:pPr>
            <w:r w:rsidRPr="00315694">
              <w:rPr>
                <w:color w:val="000000"/>
                <w:sz w:val="20"/>
                <w:szCs w:val="20"/>
              </w:rPr>
              <w:t>13,830</w:t>
            </w:r>
          </w:p>
        </w:tc>
        <w:tc>
          <w:tcPr>
            <w:tcW w:w="1252" w:type="dxa"/>
            <w:tcBorders>
              <w:left w:val="single" w:sz="4" w:space="0" w:color="0067AB" w:themeColor="accent1"/>
              <w:right w:val="single" w:sz="4" w:space="0" w:color="0067AB" w:themeColor="accent1"/>
            </w:tcBorders>
            <w:vAlign w:val="center"/>
          </w:tcPr>
          <w:p w14:paraId="444D4E8A" w14:textId="77777777" w:rsidR="00315694" w:rsidRPr="00315694" w:rsidRDefault="00315694" w:rsidP="00315694">
            <w:pPr>
              <w:keepNext/>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15694">
              <w:rPr>
                <w:color w:val="000000"/>
                <w:sz w:val="20"/>
                <w:szCs w:val="20"/>
              </w:rPr>
              <w:t>15,014</w:t>
            </w:r>
          </w:p>
        </w:tc>
        <w:tc>
          <w:tcPr>
            <w:tcW w:w="1252" w:type="dxa"/>
            <w:tcBorders>
              <w:left w:val="single" w:sz="4" w:space="0" w:color="0067AB" w:themeColor="accent1"/>
              <w:right w:val="single" w:sz="4" w:space="0" w:color="0067AB" w:themeColor="accent1"/>
            </w:tcBorders>
            <w:vAlign w:val="center"/>
          </w:tcPr>
          <w:p w14:paraId="64CAEFBA" w14:textId="77777777" w:rsidR="00315694" w:rsidRPr="00315694" w:rsidRDefault="00315694" w:rsidP="00315694">
            <w:pPr>
              <w:keepNext/>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15694">
              <w:rPr>
                <w:color w:val="000000"/>
                <w:sz w:val="20"/>
                <w:szCs w:val="20"/>
              </w:rPr>
              <w:t>21,643</w:t>
            </w:r>
          </w:p>
        </w:tc>
        <w:tc>
          <w:tcPr>
            <w:tcW w:w="1464" w:type="dxa"/>
            <w:tcBorders>
              <w:left w:val="single" w:sz="4" w:space="0" w:color="0067AB" w:themeColor="accent1"/>
              <w:right w:val="single" w:sz="4" w:space="0" w:color="0067AB" w:themeColor="accent1"/>
            </w:tcBorders>
            <w:vAlign w:val="center"/>
          </w:tcPr>
          <w:p w14:paraId="585BAC7A" w14:textId="77777777" w:rsidR="00315694" w:rsidRPr="00315694" w:rsidRDefault="00315694" w:rsidP="00315694">
            <w:pPr>
              <w:keepNext/>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15694">
              <w:rPr>
                <w:color w:val="000000"/>
                <w:sz w:val="20"/>
                <w:szCs w:val="20"/>
              </w:rPr>
              <w:t>31,058</w:t>
            </w:r>
          </w:p>
        </w:tc>
        <w:tc>
          <w:tcPr>
            <w:tcW w:w="1472" w:type="dxa"/>
            <w:tcBorders>
              <w:left w:val="single" w:sz="4" w:space="0" w:color="0067AB" w:themeColor="accent1"/>
            </w:tcBorders>
            <w:vAlign w:val="center"/>
          </w:tcPr>
          <w:p w14:paraId="4FF4B277" w14:textId="77777777" w:rsidR="00315694" w:rsidRPr="00315694" w:rsidRDefault="00315694" w:rsidP="00315694">
            <w:pPr>
              <w:keepNext/>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15694">
              <w:rPr>
                <w:color w:val="000000"/>
                <w:sz w:val="20"/>
                <w:szCs w:val="20"/>
              </w:rPr>
              <w:t>93,325</w:t>
            </w:r>
          </w:p>
        </w:tc>
      </w:tr>
      <w:tr w:rsidR="00315694" w:rsidRPr="00AF154D" w14:paraId="59ED176B" w14:textId="77777777" w:rsidTr="00A609BA">
        <w:trPr>
          <w:jc w:val="center"/>
        </w:trPr>
        <w:tc>
          <w:tcPr>
            <w:cnfStyle w:val="001000000000" w:firstRow="0" w:lastRow="0" w:firstColumn="1" w:lastColumn="0" w:oddVBand="0" w:evenVBand="0" w:oddHBand="0" w:evenHBand="0" w:firstRowFirstColumn="0" w:firstRowLastColumn="0" w:lastRowFirstColumn="0" w:lastRowLastColumn="0"/>
            <w:tcW w:w="895" w:type="dxa"/>
            <w:tcBorders>
              <w:right w:val="single" w:sz="4" w:space="0" w:color="0067AB" w:themeColor="accent1"/>
            </w:tcBorders>
            <w:vAlign w:val="center"/>
          </w:tcPr>
          <w:p w14:paraId="3FCA186F" w14:textId="77777777" w:rsidR="00315694" w:rsidRPr="00AF154D" w:rsidRDefault="00315694" w:rsidP="00A609BA">
            <w:pPr>
              <w:jc w:val="center"/>
              <w:rPr>
                <w:b w:val="0"/>
                <w:sz w:val="20"/>
                <w:szCs w:val="20"/>
              </w:rPr>
            </w:pPr>
            <w:r>
              <w:rPr>
                <w:b w:val="0"/>
                <w:sz w:val="20"/>
                <w:szCs w:val="20"/>
              </w:rPr>
              <w:t>2020</w:t>
            </w:r>
          </w:p>
        </w:tc>
        <w:tc>
          <w:tcPr>
            <w:tcW w:w="1252" w:type="dxa"/>
            <w:tcBorders>
              <w:left w:val="single" w:sz="4" w:space="0" w:color="0067AB" w:themeColor="accent1"/>
              <w:right w:val="single" w:sz="4" w:space="0" w:color="0067AB" w:themeColor="accent1"/>
            </w:tcBorders>
            <w:vAlign w:val="bottom"/>
          </w:tcPr>
          <w:p w14:paraId="4718415A" w14:textId="77777777" w:rsidR="00315694" w:rsidRPr="00315694" w:rsidRDefault="00315694" w:rsidP="003156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315694">
              <w:rPr>
                <w:color w:val="000000"/>
                <w:sz w:val="20"/>
                <w:szCs w:val="20"/>
              </w:rPr>
              <w:t>14,585</w:t>
            </w:r>
          </w:p>
        </w:tc>
        <w:tc>
          <w:tcPr>
            <w:tcW w:w="1252" w:type="dxa"/>
            <w:tcBorders>
              <w:left w:val="single" w:sz="4" w:space="0" w:color="0067AB" w:themeColor="accent1"/>
              <w:right w:val="single" w:sz="4" w:space="0" w:color="0067AB" w:themeColor="accent1"/>
            </w:tcBorders>
            <w:vAlign w:val="bottom"/>
          </w:tcPr>
          <w:p w14:paraId="088FEA2C" w14:textId="77777777" w:rsidR="00315694" w:rsidRPr="00315694" w:rsidRDefault="00315694" w:rsidP="0031569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15694">
              <w:rPr>
                <w:color w:val="000000"/>
                <w:sz w:val="20"/>
                <w:szCs w:val="20"/>
              </w:rPr>
              <w:t>14,693</w:t>
            </w:r>
          </w:p>
        </w:tc>
        <w:tc>
          <w:tcPr>
            <w:tcW w:w="1252" w:type="dxa"/>
            <w:tcBorders>
              <w:left w:val="single" w:sz="4" w:space="0" w:color="0067AB" w:themeColor="accent1"/>
              <w:right w:val="single" w:sz="4" w:space="0" w:color="0067AB" w:themeColor="accent1"/>
            </w:tcBorders>
            <w:vAlign w:val="bottom"/>
          </w:tcPr>
          <w:p w14:paraId="1417509C" w14:textId="77777777" w:rsidR="00315694" w:rsidRPr="00315694" w:rsidRDefault="00315694" w:rsidP="0031569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15694">
              <w:rPr>
                <w:color w:val="000000"/>
                <w:sz w:val="20"/>
                <w:szCs w:val="20"/>
              </w:rPr>
              <w:t>21,836</w:t>
            </w:r>
          </w:p>
        </w:tc>
        <w:tc>
          <w:tcPr>
            <w:tcW w:w="1464" w:type="dxa"/>
            <w:tcBorders>
              <w:left w:val="single" w:sz="4" w:space="0" w:color="0067AB" w:themeColor="accent1"/>
              <w:right w:val="single" w:sz="4" w:space="0" w:color="0067AB" w:themeColor="accent1"/>
            </w:tcBorders>
            <w:vAlign w:val="bottom"/>
          </w:tcPr>
          <w:p w14:paraId="5D7C341B" w14:textId="77777777" w:rsidR="00315694" w:rsidRPr="00315694" w:rsidRDefault="00315694" w:rsidP="0031569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15694">
              <w:rPr>
                <w:color w:val="000000"/>
                <w:sz w:val="20"/>
                <w:szCs w:val="20"/>
              </w:rPr>
              <w:t>35,821</w:t>
            </w:r>
          </w:p>
        </w:tc>
        <w:tc>
          <w:tcPr>
            <w:tcW w:w="1472" w:type="dxa"/>
            <w:tcBorders>
              <w:left w:val="single" w:sz="4" w:space="0" w:color="0067AB" w:themeColor="accent1"/>
            </w:tcBorders>
            <w:vAlign w:val="bottom"/>
          </w:tcPr>
          <w:p w14:paraId="00E7DBEF" w14:textId="77777777" w:rsidR="00315694" w:rsidRPr="00315694" w:rsidRDefault="00315694" w:rsidP="0031569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15694">
              <w:rPr>
                <w:color w:val="000000"/>
                <w:sz w:val="20"/>
                <w:szCs w:val="20"/>
              </w:rPr>
              <w:t>86,943</w:t>
            </w:r>
          </w:p>
        </w:tc>
      </w:tr>
      <w:tr w:rsidR="00315694" w:rsidRPr="00AF154D" w14:paraId="4AF4808C" w14:textId="77777777" w:rsidTr="00A609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5" w:type="dxa"/>
            <w:tcBorders>
              <w:right w:val="single" w:sz="4" w:space="0" w:color="0067AB" w:themeColor="accent1"/>
            </w:tcBorders>
            <w:vAlign w:val="center"/>
          </w:tcPr>
          <w:p w14:paraId="77A85B88" w14:textId="77777777" w:rsidR="00315694" w:rsidRPr="00AF154D" w:rsidRDefault="00315694" w:rsidP="00A609BA">
            <w:pPr>
              <w:jc w:val="center"/>
              <w:rPr>
                <w:b w:val="0"/>
                <w:sz w:val="20"/>
                <w:szCs w:val="20"/>
              </w:rPr>
            </w:pPr>
            <w:r>
              <w:rPr>
                <w:b w:val="0"/>
                <w:sz w:val="20"/>
                <w:szCs w:val="20"/>
              </w:rPr>
              <w:t>2025</w:t>
            </w:r>
          </w:p>
        </w:tc>
        <w:tc>
          <w:tcPr>
            <w:tcW w:w="1252" w:type="dxa"/>
            <w:tcBorders>
              <w:left w:val="single" w:sz="4" w:space="0" w:color="0067AB" w:themeColor="accent1"/>
              <w:right w:val="single" w:sz="4" w:space="0" w:color="0067AB" w:themeColor="accent1"/>
            </w:tcBorders>
            <w:vAlign w:val="bottom"/>
          </w:tcPr>
          <w:p w14:paraId="10CC58C9" w14:textId="77777777" w:rsidR="00315694" w:rsidRPr="00315694" w:rsidRDefault="00315694" w:rsidP="003156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315694">
              <w:rPr>
                <w:color w:val="000000"/>
                <w:sz w:val="20"/>
                <w:szCs w:val="20"/>
              </w:rPr>
              <w:t>14,819</w:t>
            </w:r>
          </w:p>
        </w:tc>
        <w:tc>
          <w:tcPr>
            <w:tcW w:w="1252" w:type="dxa"/>
            <w:tcBorders>
              <w:left w:val="single" w:sz="4" w:space="0" w:color="0067AB" w:themeColor="accent1"/>
              <w:right w:val="single" w:sz="4" w:space="0" w:color="0067AB" w:themeColor="accent1"/>
            </w:tcBorders>
            <w:vAlign w:val="bottom"/>
          </w:tcPr>
          <w:p w14:paraId="0A76CB8C" w14:textId="77777777" w:rsidR="00315694" w:rsidRPr="00315694" w:rsidRDefault="00315694" w:rsidP="00315694">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15694">
              <w:rPr>
                <w:color w:val="000000"/>
                <w:sz w:val="20"/>
                <w:szCs w:val="20"/>
              </w:rPr>
              <w:t>14,623</w:t>
            </w:r>
          </w:p>
        </w:tc>
        <w:tc>
          <w:tcPr>
            <w:tcW w:w="1252" w:type="dxa"/>
            <w:tcBorders>
              <w:left w:val="single" w:sz="4" w:space="0" w:color="0067AB" w:themeColor="accent1"/>
              <w:right w:val="single" w:sz="4" w:space="0" w:color="0067AB" w:themeColor="accent1"/>
            </w:tcBorders>
            <w:vAlign w:val="bottom"/>
          </w:tcPr>
          <w:p w14:paraId="0A6B7A00" w14:textId="77777777" w:rsidR="00315694" w:rsidRPr="00315694" w:rsidRDefault="00315694" w:rsidP="00315694">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15694">
              <w:rPr>
                <w:color w:val="000000"/>
                <w:sz w:val="20"/>
                <w:szCs w:val="20"/>
              </w:rPr>
              <w:t>21,601</w:t>
            </w:r>
          </w:p>
        </w:tc>
        <w:tc>
          <w:tcPr>
            <w:tcW w:w="1464" w:type="dxa"/>
            <w:tcBorders>
              <w:left w:val="single" w:sz="4" w:space="0" w:color="0067AB" w:themeColor="accent1"/>
              <w:right w:val="single" w:sz="4" w:space="0" w:color="0067AB" w:themeColor="accent1"/>
            </w:tcBorders>
            <w:vAlign w:val="bottom"/>
          </w:tcPr>
          <w:p w14:paraId="5834180F" w14:textId="77777777" w:rsidR="00315694" w:rsidRPr="00315694" w:rsidRDefault="00315694" w:rsidP="00315694">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15694">
              <w:rPr>
                <w:color w:val="000000"/>
                <w:sz w:val="20"/>
                <w:szCs w:val="20"/>
              </w:rPr>
              <w:t>38,775</w:t>
            </w:r>
          </w:p>
        </w:tc>
        <w:tc>
          <w:tcPr>
            <w:tcW w:w="1472" w:type="dxa"/>
            <w:tcBorders>
              <w:left w:val="single" w:sz="4" w:space="0" w:color="0067AB" w:themeColor="accent1"/>
            </w:tcBorders>
            <w:vAlign w:val="bottom"/>
          </w:tcPr>
          <w:p w14:paraId="618BCAEB" w14:textId="77777777" w:rsidR="00315694" w:rsidRPr="00315694" w:rsidRDefault="00315694" w:rsidP="00315694">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15694">
              <w:rPr>
                <w:color w:val="000000"/>
                <w:sz w:val="20"/>
                <w:szCs w:val="20"/>
              </w:rPr>
              <w:t>82,936</w:t>
            </w:r>
          </w:p>
        </w:tc>
      </w:tr>
      <w:tr w:rsidR="00315694" w:rsidRPr="00AF154D" w14:paraId="61718725" w14:textId="77777777" w:rsidTr="00A609BA">
        <w:trPr>
          <w:jc w:val="center"/>
        </w:trPr>
        <w:tc>
          <w:tcPr>
            <w:cnfStyle w:val="001000000000" w:firstRow="0" w:lastRow="0" w:firstColumn="1" w:lastColumn="0" w:oddVBand="0" w:evenVBand="0" w:oddHBand="0" w:evenHBand="0" w:firstRowFirstColumn="0" w:firstRowLastColumn="0" w:lastRowFirstColumn="0" w:lastRowLastColumn="0"/>
            <w:tcW w:w="895" w:type="dxa"/>
            <w:tcBorders>
              <w:right w:val="single" w:sz="4" w:space="0" w:color="0067AB" w:themeColor="accent1"/>
            </w:tcBorders>
            <w:vAlign w:val="center"/>
          </w:tcPr>
          <w:p w14:paraId="20F45945" w14:textId="77777777" w:rsidR="00315694" w:rsidRDefault="00315694" w:rsidP="00A609BA">
            <w:pPr>
              <w:jc w:val="center"/>
              <w:rPr>
                <w:b w:val="0"/>
                <w:sz w:val="20"/>
                <w:szCs w:val="20"/>
              </w:rPr>
            </w:pPr>
            <w:r>
              <w:rPr>
                <w:b w:val="0"/>
                <w:sz w:val="20"/>
                <w:szCs w:val="20"/>
              </w:rPr>
              <w:t>2030</w:t>
            </w:r>
          </w:p>
        </w:tc>
        <w:tc>
          <w:tcPr>
            <w:tcW w:w="1252" w:type="dxa"/>
            <w:tcBorders>
              <w:left w:val="single" w:sz="4" w:space="0" w:color="0067AB" w:themeColor="accent1"/>
              <w:right w:val="single" w:sz="4" w:space="0" w:color="0067AB" w:themeColor="accent1"/>
            </w:tcBorders>
            <w:vAlign w:val="bottom"/>
          </w:tcPr>
          <w:p w14:paraId="591180CF" w14:textId="77777777" w:rsidR="00315694" w:rsidRPr="00315694" w:rsidRDefault="00315694" w:rsidP="003156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315694">
              <w:rPr>
                <w:color w:val="000000"/>
                <w:sz w:val="20"/>
                <w:szCs w:val="20"/>
              </w:rPr>
              <w:t>14,828</w:t>
            </w:r>
          </w:p>
        </w:tc>
        <w:tc>
          <w:tcPr>
            <w:tcW w:w="1252" w:type="dxa"/>
            <w:tcBorders>
              <w:left w:val="single" w:sz="4" w:space="0" w:color="0067AB" w:themeColor="accent1"/>
              <w:right w:val="single" w:sz="4" w:space="0" w:color="0067AB" w:themeColor="accent1"/>
            </w:tcBorders>
            <w:vAlign w:val="bottom"/>
          </w:tcPr>
          <w:p w14:paraId="0F876FC0" w14:textId="77777777" w:rsidR="00315694" w:rsidRPr="00315694" w:rsidRDefault="00315694" w:rsidP="0031569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15694">
              <w:rPr>
                <w:color w:val="000000"/>
                <w:sz w:val="20"/>
                <w:szCs w:val="20"/>
              </w:rPr>
              <w:t>14,641</w:t>
            </w:r>
          </w:p>
        </w:tc>
        <w:tc>
          <w:tcPr>
            <w:tcW w:w="1252" w:type="dxa"/>
            <w:tcBorders>
              <w:left w:val="single" w:sz="4" w:space="0" w:color="0067AB" w:themeColor="accent1"/>
              <w:right w:val="single" w:sz="4" w:space="0" w:color="0067AB" w:themeColor="accent1"/>
            </w:tcBorders>
            <w:vAlign w:val="bottom"/>
          </w:tcPr>
          <w:p w14:paraId="59D6D777" w14:textId="77777777" w:rsidR="00315694" w:rsidRPr="00315694" w:rsidRDefault="00315694" w:rsidP="0031569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15694">
              <w:rPr>
                <w:color w:val="000000"/>
                <w:sz w:val="20"/>
                <w:szCs w:val="20"/>
              </w:rPr>
              <w:t>20,889</w:t>
            </w:r>
          </w:p>
        </w:tc>
        <w:tc>
          <w:tcPr>
            <w:tcW w:w="1464" w:type="dxa"/>
            <w:tcBorders>
              <w:left w:val="single" w:sz="4" w:space="0" w:color="0067AB" w:themeColor="accent1"/>
              <w:right w:val="single" w:sz="4" w:space="0" w:color="0067AB" w:themeColor="accent1"/>
            </w:tcBorders>
            <w:vAlign w:val="bottom"/>
          </w:tcPr>
          <w:p w14:paraId="2214CB58" w14:textId="77777777" w:rsidR="00315694" w:rsidRPr="00315694" w:rsidRDefault="00315694" w:rsidP="0031569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15694">
              <w:rPr>
                <w:color w:val="000000"/>
                <w:sz w:val="20"/>
                <w:szCs w:val="20"/>
              </w:rPr>
              <w:t>39,557</w:t>
            </w:r>
          </w:p>
        </w:tc>
        <w:tc>
          <w:tcPr>
            <w:tcW w:w="1472" w:type="dxa"/>
            <w:tcBorders>
              <w:left w:val="single" w:sz="4" w:space="0" w:color="0067AB" w:themeColor="accent1"/>
            </w:tcBorders>
            <w:vAlign w:val="bottom"/>
          </w:tcPr>
          <w:p w14:paraId="12C9C404" w14:textId="77777777" w:rsidR="00315694" w:rsidRPr="00315694" w:rsidRDefault="00315694" w:rsidP="0031569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15694">
              <w:rPr>
                <w:color w:val="000000"/>
                <w:sz w:val="20"/>
                <w:szCs w:val="20"/>
              </w:rPr>
              <w:t>81,425</w:t>
            </w:r>
          </w:p>
        </w:tc>
      </w:tr>
      <w:tr w:rsidR="00315694" w:rsidRPr="00AF154D" w14:paraId="4A1E438C" w14:textId="77777777" w:rsidTr="00A609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5" w:type="dxa"/>
            <w:tcBorders>
              <w:right w:val="single" w:sz="4" w:space="0" w:color="0067AB" w:themeColor="accent1"/>
            </w:tcBorders>
            <w:vAlign w:val="center"/>
          </w:tcPr>
          <w:p w14:paraId="5B5A9166" w14:textId="77777777" w:rsidR="00315694" w:rsidRDefault="00315694" w:rsidP="00A609BA">
            <w:pPr>
              <w:jc w:val="center"/>
              <w:rPr>
                <w:b w:val="0"/>
                <w:sz w:val="20"/>
                <w:szCs w:val="20"/>
              </w:rPr>
            </w:pPr>
            <w:r>
              <w:rPr>
                <w:b w:val="0"/>
                <w:sz w:val="20"/>
                <w:szCs w:val="20"/>
              </w:rPr>
              <w:t>2035</w:t>
            </w:r>
          </w:p>
        </w:tc>
        <w:tc>
          <w:tcPr>
            <w:tcW w:w="1252" w:type="dxa"/>
            <w:tcBorders>
              <w:left w:val="single" w:sz="4" w:space="0" w:color="0067AB" w:themeColor="accent1"/>
              <w:right w:val="single" w:sz="4" w:space="0" w:color="0067AB" w:themeColor="accent1"/>
            </w:tcBorders>
            <w:vAlign w:val="bottom"/>
          </w:tcPr>
          <w:p w14:paraId="3C88D2AB" w14:textId="77777777" w:rsidR="00315694" w:rsidRPr="00315694" w:rsidRDefault="00315694" w:rsidP="003156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315694">
              <w:rPr>
                <w:color w:val="000000"/>
                <w:sz w:val="20"/>
                <w:szCs w:val="20"/>
              </w:rPr>
              <w:t>14,719</w:t>
            </w:r>
          </w:p>
        </w:tc>
        <w:tc>
          <w:tcPr>
            <w:tcW w:w="1252" w:type="dxa"/>
            <w:tcBorders>
              <w:left w:val="single" w:sz="4" w:space="0" w:color="0067AB" w:themeColor="accent1"/>
              <w:right w:val="single" w:sz="4" w:space="0" w:color="0067AB" w:themeColor="accent1"/>
            </w:tcBorders>
            <w:vAlign w:val="bottom"/>
          </w:tcPr>
          <w:p w14:paraId="6806B113" w14:textId="77777777" w:rsidR="00315694" w:rsidRPr="00315694" w:rsidRDefault="00315694" w:rsidP="00315694">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15694">
              <w:rPr>
                <w:color w:val="000000"/>
                <w:sz w:val="20"/>
                <w:szCs w:val="20"/>
              </w:rPr>
              <w:t>14,629</w:t>
            </w:r>
          </w:p>
        </w:tc>
        <w:tc>
          <w:tcPr>
            <w:tcW w:w="1252" w:type="dxa"/>
            <w:tcBorders>
              <w:left w:val="single" w:sz="4" w:space="0" w:color="0067AB" w:themeColor="accent1"/>
              <w:right w:val="single" w:sz="4" w:space="0" w:color="0067AB" w:themeColor="accent1"/>
            </w:tcBorders>
            <w:vAlign w:val="bottom"/>
          </w:tcPr>
          <w:p w14:paraId="63C426A1" w14:textId="77777777" w:rsidR="00315694" w:rsidRPr="00315694" w:rsidRDefault="00315694" w:rsidP="00315694">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15694">
              <w:rPr>
                <w:color w:val="000000"/>
                <w:sz w:val="20"/>
                <w:szCs w:val="20"/>
              </w:rPr>
              <w:t>20,513</w:t>
            </w:r>
          </w:p>
        </w:tc>
        <w:tc>
          <w:tcPr>
            <w:tcW w:w="1464" w:type="dxa"/>
            <w:tcBorders>
              <w:left w:val="single" w:sz="4" w:space="0" w:color="0067AB" w:themeColor="accent1"/>
              <w:right w:val="single" w:sz="4" w:space="0" w:color="0067AB" w:themeColor="accent1"/>
            </w:tcBorders>
            <w:vAlign w:val="bottom"/>
          </w:tcPr>
          <w:p w14:paraId="770ACA92" w14:textId="77777777" w:rsidR="00315694" w:rsidRPr="00315694" w:rsidRDefault="00315694" w:rsidP="00315694">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15694">
              <w:rPr>
                <w:color w:val="000000"/>
                <w:sz w:val="20"/>
                <w:szCs w:val="20"/>
              </w:rPr>
              <w:t>38,654</w:t>
            </w:r>
          </w:p>
        </w:tc>
        <w:tc>
          <w:tcPr>
            <w:tcW w:w="1472" w:type="dxa"/>
            <w:tcBorders>
              <w:left w:val="single" w:sz="4" w:space="0" w:color="0067AB" w:themeColor="accent1"/>
            </w:tcBorders>
            <w:vAlign w:val="bottom"/>
          </w:tcPr>
          <w:p w14:paraId="740A4C4E" w14:textId="77777777" w:rsidR="00315694" w:rsidRPr="00315694" w:rsidRDefault="00315694" w:rsidP="00315694">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15694">
              <w:rPr>
                <w:color w:val="000000"/>
                <w:sz w:val="20"/>
                <w:szCs w:val="20"/>
              </w:rPr>
              <w:t>82,410</w:t>
            </w:r>
          </w:p>
        </w:tc>
      </w:tr>
      <w:tr w:rsidR="00315694" w:rsidRPr="00AF154D" w14:paraId="3137CF8C" w14:textId="77777777" w:rsidTr="00A609BA">
        <w:trPr>
          <w:jc w:val="center"/>
        </w:trPr>
        <w:tc>
          <w:tcPr>
            <w:cnfStyle w:val="001000000000" w:firstRow="0" w:lastRow="0" w:firstColumn="1" w:lastColumn="0" w:oddVBand="0" w:evenVBand="0" w:oddHBand="0" w:evenHBand="0" w:firstRowFirstColumn="0" w:firstRowLastColumn="0" w:lastRowFirstColumn="0" w:lastRowLastColumn="0"/>
            <w:tcW w:w="895" w:type="dxa"/>
            <w:tcBorders>
              <w:right w:val="single" w:sz="4" w:space="0" w:color="0067AB" w:themeColor="accent1"/>
            </w:tcBorders>
            <w:vAlign w:val="center"/>
          </w:tcPr>
          <w:p w14:paraId="06122B67" w14:textId="77777777" w:rsidR="00315694" w:rsidRDefault="00315694" w:rsidP="00A609BA">
            <w:pPr>
              <w:jc w:val="center"/>
              <w:rPr>
                <w:b w:val="0"/>
                <w:sz w:val="20"/>
                <w:szCs w:val="20"/>
              </w:rPr>
            </w:pPr>
            <w:r>
              <w:rPr>
                <w:b w:val="0"/>
                <w:sz w:val="20"/>
                <w:szCs w:val="20"/>
              </w:rPr>
              <w:t>2040</w:t>
            </w:r>
          </w:p>
        </w:tc>
        <w:tc>
          <w:tcPr>
            <w:tcW w:w="1252" w:type="dxa"/>
            <w:tcBorders>
              <w:left w:val="single" w:sz="4" w:space="0" w:color="0067AB" w:themeColor="accent1"/>
              <w:right w:val="single" w:sz="4" w:space="0" w:color="0067AB" w:themeColor="accent1"/>
            </w:tcBorders>
            <w:vAlign w:val="bottom"/>
          </w:tcPr>
          <w:p w14:paraId="0217C438" w14:textId="77777777" w:rsidR="00315694" w:rsidRPr="00315694" w:rsidRDefault="00315694" w:rsidP="003156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315694">
              <w:rPr>
                <w:color w:val="000000"/>
                <w:sz w:val="20"/>
                <w:szCs w:val="20"/>
              </w:rPr>
              <w:t>14,614</w:t>
            </w:r>
          </w:p>
        </w:tc>
        <w:tc>
          <w:tcPr>
            <w:tcW w:w="1252" w:type="dxa"/>
            <w:tcBorders>
              <w:left w:val="single" w:sz="4" w:space="0" w:color="0067AB" w:themeColor="accent1"/>
              <w:right w:val="single" w:sz="4" w:space="0" w:color="0067AB" w:themeColor="accent1"/>
            </w:tcBorders>
            <w:vAlign w:val="bottom"/>
          </w:tcPr>
          <w:p w14:paraId="64CF5BDA" w14:textId="77777777" w:rsidR="00315694" w:rsidRPr="00315694" w:rsidRDefault="00315694" w:rsidP="0031569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15694">
              <w:rPr>
                <w:color w:val="000000"/>
                <w:sz w:val="20"/>
                <w:szCs w:val="20"/>
              </w:rPr>
              <w:t>14,615</w:t>
            </w:r>
          </w:p>
        </w:tc>
        <w:tc>
          <w:tcPr>
            <w:tcW w:w="1252" w:type="dxa"/>
            <w:tcBorders>
              <w:left w:val="single" w:sz="4" w:space="0" w:color="0067AB" w:themeColor="accent1"/>
              <w:right w:val="single" w:sz="4" w:space="0" w:color="0067AB" w:themeColor="accent1"/>
            </w:tcBorders>
            <w:vAlign w:val="bottom"/>
          </w:tcPr>
          <w:p w14:paraId="0203AD4B" w14:textId="77777777" w:rsidR="00315694" w:rsidRPr="00315694" w:rsidRDefault="00315694" w:rsidP="0031569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15694">
              <w:rPr>
                <w:color w:val="000000"/>
                <w:sz w:val="20"/>
                <w:szCs w:val="20"/>
              </w:rPr>
              <w:t>20,386</w:t>
            </w:r>
          </w:p>
        </w:tc>
        <w:tc>
          <w:tcPr>
            <w:tcW w:w="1464" w:type="dxa"/>
            <w:tcBorders>
              <w:left w:val="single" w:sz="4" w:space="0" w:color="0067AB" w:themeColor="accent1"/>
              <w:right w:val="single" w:sz="4" w:space="0" w:color="0067AB" w:themeColor="accent1"/>
            </w:tcBorders>
            <w:vAlign w:val="bottom"/>
          </w:tcPr>
          <w:p w14:paraId="621BBA5C" w14:textId="77777777" w:rsidR="00315694" w:rsidRPr="00315694" w:rsidRDefault="00315694" w:rsidP="0031569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15694">
              <w:rPr>
                <w:color w:val="000000"/>
                <w:sz w:val="20"/>
                <w:szCs w:val="20"/>
              </w:rPr>
              <w:t>38,053</w:t>
            </w:r>
          </w:p>
        </w:tc>
        <w:tc>
          <w:tcPr>
            <w:tcW w:w="1472" w:type="dxa"/>
            <w:tcBorders>
              <w:left w:val="single" w:sz="4" w:space="0" w:color="0067AB" w:themeColor="accent1"/>
            </w:tcBorders>
            <w:vAlign w:val="bottom"/>
          </w:tcPr>
          <w:p w14:paraId="5CC94A64" w14:textId="77777777" w:rsidR="00315694" w:rsidRPr="00315694" w:rsidRDefault="00315694" w:rsidP="0031569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15694">
              <w:rPr>
                <w:color w:val="000000"/>
                <w:sz w:val="20"/>
                <w:szCs w:val="20"/>
              </w:rPr>
              <w:t>83,393</w:t>
            </w:r>
          </w:p>
        </w:tc>
      </w:tr>
    </w:tbl>
    <w:p w14:paraId="4521F2F1" w14:textId="58B4617B" w:rsidR="000D3739" w:rsidRDefault="000D3739" w:rsidP="000D3739">
      <w:pPr>
        <w:spacing w:before="240" w:after="240" w:line="276" w:lineRule="auto"/>
      </w:pPr>
      <w:r w:rsidRPr="000D3739">
        <w:t xml:space="preserve">MOVES model runs were made and custom MySQL scripts written and executed to extract the values. Mileage accumulation is defined as total distance traveled per total </w:t>
      </w:r>
      <w:r w:rsidR="007B1EA8">
        <w:t xml:space="preserve">truck </w:t>
      </w:r>
      <w:r w:rsidRPr="000D3739">
        <w:t xml:space="preserve">population for each of the identified categories. </w:t>
      </w:r>
    </w:p>
    <w:p w14:paraId="4271F386" w14:textId="77777777" w:rsidR="009B6C93" w:rsidRDefault="009B6C93" w:rsidP="000D3739">
      <w:pPr>
        <w:spacing w:before="240" w:after="240" w:line="276" w:lineRule="auto"/>
      </w:pPr>
      <w:r>
        <w:t xml:space="preserve">Average age was also determined using MOVES for the various years and truck types and are shown in </w:t>
      </w:r>
      <w:r w:rsidR="00833B69">
        <w:fldChar w:fldCharType="begin"/>
      </w:r>
      <w:r w:rsidR="00DF14A2">
        <w:instrText xml:space="preserve"> REF _Ref459993762 \h </w:instrText>
      </w:r>
      <w:r w:rsidR="00833B69">
        <w:fldChar w:fldCharType="separate"/>
      </w:r>
      <w:r w:rsidR="00C42F38">
        <w:t xml:space="preserve">Table </w:t>
      </w:r>
      <w:r w:rsidR="00C42F38">
        <w:rPr>
          <w:noProof/>
        </w:rPr>
        <w:t>16</w:t>
      </w:r>
      <w:r w:rsidR="00833B69">
        <w:fldChar w:fldCharType="end"/>
      </w:r>
      <w:r>
        <w:t>.</w:t>
      </w:r>
    </w:p>
    <w:p w14:paraId="28982BB4" w14:textId="77777777" w:rsidR="00BC7385" w:rsidRDefault="00BC7385" w:rsidP="00BC7385">
      <w:pPr>
        <w:pStyle w:val="TableCaption"/>
      </w:pPr>
      <w:bookmarkStart w:id="69" w:name="_Ref459993762"/>
      <w:bookmarkStart w:id="70" w:name="_Toc482973596"/>
      <w:r>
        <w:t xml:space="preserve">Table </w:t>
      </w:r>
      <w:r w:rsidR="00833B69">
        <w:fldChar w:fldCharType="begin"/>
      </w:r>
      <w:r>
        <w:instrText xml:space="preserve"> SEQ Table \* ARABIC </w:instrText>
      </w:r>
      <w:r w:rsidR="00833B69">
        <w:fldChar w:fldCharType="separate"/>
      </w:r>
      <w:r w:rsidR="00305706">
        <w:t>16</w:t>
      </w:r>
      <w:r w:rsidR="00833B69">
        <w:fldChar w:fldCharType="end"/>
      </w:r>
      <w:bookmarkEnd w:id="69"/>
      <w:r w:rsidR="00C43F06">
        <w:t>.</w:t>
      </w:r>
      <w:r>
        <w:t xml:space="preserve"> Average Age by Truck Type and Analysis Year used in the Tool</w:t>
      </w:r>
      <w:bookmarkEnd w:id="70"/>
    </w:p>
    <w:tbl>
      <w:tblPr>
        <w:tblStyle w:val="ListTable3-Accent11"/>
        <w:tblW w:w="7587" w:type="dxa"/>
        <w:jc w:val="center"/>
        <w:tblLayout w:type="fixed"/>
        <w:tblLook w:val="04A0" w:firstRow="1" w:lastRow="0" w:firstColumn="1" w:lastColumn="0" w:noHBand="0" w:noVBand="1"/>
      </w:tblPr>
      <w:tblGrid>
        <w:gridCol w:w="895"/>
        <w:gridCol w:w="1252"/>
        <w:gridCol w:w="1252"/>
        <w:gridCol w:w="1252"/>
        <w:gridCol w:w="1464"/>
        <w:gridCol w:w="1472"/>
      </w:tblGrid>
      <w:tr w:rsidR="009B6C93" w:rsidRPr="00315694" w14:paraId="5AACCE20" w14:textId="77777777" w:rsidTr="000459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95" w:type="dxa"/>
            <w:tcBorders>
              <w:right w:val="single" w:sz="4" w:space="0" w:color="0067AB" w:themeColor="accent1"/>
            </w:tcBorders>
            <w:vAlign w:val="bottom"/>
          </w:tcPr>
          <w:p w14:paraId="70D171ED" w14:textId="77777777" w:rsidR="009B6C93" w:rsidRPr="00315694" w:rsidRDefault="009B6C93" w:rsidP="00613C1C">
            <w:pPr>
              <w:keepNext/>
              <w:jc w:val="center"/>
              <w:rPr>
                <w:sz w:val="20"/>
                <w:szCs w:val="20"/>
              </w:rPr>
            </w:pPr>
            <w:r w:rsidRPr="00315694">
              <w:rPr>
                <w:sz w:val="20"/>
                <w:szCs w:val="20"/>
              </w:rPr>
              <w:t>Year</w:t>
            </w:r>
          </w:p>
        </w:tc>
        <w:tc>
          <w:tcPr>
            <w:tcW w:w="1252" w:type="dxa"/>
            <w:tcBorders>
              <w:left w:val="single" w:sz="4" w:space="0" w:color="0067AB" w:themeColor="accent1"/>
              <w:right w:val="single" w:sz="4" w:space="0" w:color="0067AB" w:themeColor="accent1"/>
            </w:tcBorders>
            <w:vAlign w:val="center"/>
          </w:tcPr>
          <w:p w14:paraId="2E0C93A0" w14:textId="4A886AD9" w:rsidR="009B6C93" w:rsidRPr="00315694" w:rsidRDefault="007B1EA8" w:rsidP="00F52316">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Single unit</w:t>
            </w:r>
            <w:r w:rsidR="009B6C93" w:rsidRPr="00315694">
              <w:rPr>
                <w:sz w:val="20"/>
                <w:szCs w:val="20"/>
              </w:rPr>
              <w:t xml:space="preserve"> Short Haul Gasoline</w:t>
            </w:r>
          </w:p>
        </w:tc>
        <w:tc>
          <w:tcPr>
            <w:tcW w:w="1252" w:type="dxa"/>
            <w:tcBorders>
              <w:left w:val="single" w:sz="4" w:space="0" w:color="0067AB" w:themeColor="accent1"/>
              <w:right w:val="single" w:sz="4" w:space="0" w:color="0067AB" w:themeColor="accent1"/>
            </w:tcBorders>
            <w:vAlign w:val="center"/>
          </w:tcPr>
          <w:p w14:paraId="338824C9" w14:textId="2ADF6EDB" w:rsidR="009B6C93" w:rsidRPr="00315694" w:rsidRDefault="007B1EA8" w:rsidP="00F52316">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Single unit</w:t>
            </w:r>
            <w:r w:rsidR="009B6C93" w:rsidRPr="00315694">
              <w:rPr>
                <w:sz w:val="20"/>
                <w:szCs w:val="20"/>
              </w:rPr>
              <w:t xml:space="preserve"> Short Haul Diesel</w:t>
            </w:r>
          </w:p>
        </w:tc>
        <w:tc>
          <w:tcPr>
            <w:tcW w:w="1252" w:type="dxa"/>
            <w:tcBorders>
              <w:left w:val="single" w:sz="4" w:space="0" w:color="0067AB" w:themeColor="accent1"/>
              <w:right w:val="single" w:sz="4" w:space="0" w:color="0067AB" w:themeColor="accent1"/>
            </w:tcBorders>
            <w:vAlign w:val="center"/>
          </w:tcPr>
          <w:p w14:paraId="08F80DB0" w14:textId="272E6906" w:rsidR="009B6C93" w:rsidRPr="00315694" w:rsidRDefault="007B1EA8" w:rsidP="00F52316">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Single unit</w:t>
            </w:r>
            <w:r w:rsidR="009B6C93" w:rsidRPr="00315694">
              <w:rPr>
                <w:sz w:val="20"/>
                <w:szCs w:val="20"/>
              </w:rPr>
              <w:t xml:space="preserve"> Long Haul Diesel</w:t>
            </w:r>
          </w:p>
        </w:tc>
        <w:tc>
          <w:tcPr>
            <w:tcW w:w="1464" w:type="dxa"/>
            <w:tcBorders>
              <w:left w:val="single" w:sz="4" w:space="0" w:color="0067AB" w:themeColor="accent1"/>
              <w:right w:val="single" w:sz="4" w:space="0" w:color="0067AB" w:themeColor="accent1"/>
            </w:tcBorders>
            <w:vAlign w:val="center"/>
          </w:tcPr>
          <w:p w14:paraId="2F31C42C" w14:textId="3A7FC40D" w:rsidR="009B6C93" w:rsidRPr="00315694" w:rsidRDefault="00F52316" w:rsidP="00613C1C">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Combination</w:t>
            </w:r>
            <w:r w:rsidR="007B1EA8">
              <w:rPr>
                <w:sz w:val="20"/>
                <w:szCs w:val="20"/>
              </w:rPr>
              <w:t xml:space="preserve"> unit</w:t>
            </w:r>
            <w:r w:rsidR="009B6C93" w:rsidRPr="00315694">
              <w:rPr>
                <w:sz w:val="20"/>
                <w:szCs w:val="20"/>
              </w:rPr>
              <w:t xml:space="preserve"> Short Haul Diesel</w:t>
            </w:r>
          </w:p>
        </w:tc>
        <w:tc>
          <w:tcPr>
            <w:tcW w:w="1472" w:type="dxa"/>
            <w:tcBorders>
              <w:left w:val="single" w:sz="4" w:space="0" w:color="0067AB" w:themeColor="accent1"/>
            </w:tcBorders>
            <w:vAlign w:val="center"/>
          </w:tcPr>
          <w:p w14:paraId="233F9E68" w14:textId="5290FB64" w:rsidR="009B6C93" w:rsidRPr="00315694" w:rsidRDefault="00F52316" w:rsidP="00613C1C">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Combination</w:t>
            </w:r>
            <w:r w:rsidR="007B1EA8">
              <w:rPr>
                <w:sz w:val="20"/>
                <w:szCs w:val="20"/>
              </w:rPr>
              <w:t xml:space="preserve"> unit</w:t>
            </w:r>
            <w:r>
              <w:rPr>
                <w:sz w:val="20"/>
                <w:szCs w:val="20"/>
              </w:rPr>
              <w:t xml:space="preserve"> </w:t>
            </w:r>
            <w:r w:rsidR="009B6C93" w:rsidRPr="00315694">
              <w:rPr>
                <w:sz w:val="20"/>
                <w:szCs w:val="20"/>
              </w:rPr>
              <w:t>Long Haul Diesel</w:t>
            </w:r>
          </w:p>
        </w:tc>
      </w:tr>
      <w:tr w:rsidR="004E1497" w:rsidRPr="00315694" w14:paraId="146A3824" w14:textId="77777777" w:rsidTr="000459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5" w:type="dxa"/>
            <w:tcBorders>
              <w:right w:val="single" w:sz="4" w:space="0" w:color="0067AB" w:themeColor="accent1"/>
            </w:tcBorders>
            <w:vAlign w:val="center"/>
          </w:tcPr>
          <w:p w14:paraId="326C935E" w14:textId="77777777" w:rsidR="004E1497" w:rsidRPr="00AF154D" w:rsidRDefault="004E1497" w:rsidP="00613C1C">
            <w:pPr>
              <w:keepNext/>
              <w:jc w:val="center"/>
              <w:rPr>
                <w:b w:val="0"/>
                <w:sz w:val="20"/>
                <w:szCs w:val="20"/>
              </w:rPr>
            </w:pPr>
            <w:r>
              <w:rPr>
                <w:b w:val="0"/>
                <w:sz w:val="20"/>
                <w:szCs w:val="20"/>
              </w:rPr>
              <w:t>2015</w:t>
            </w:r>
          </w:p>
        </w:tc>
        <w:tc>
          <w:tcPr>
            <w:tcW w:w="1252" w:type="dxa"/>
            <w:tcBorders>
              <w:left w:val="single" w:sz="4" w:space="0" w:color="0067AB" w:themeColor="accent1"/>
              <w:right w:val="single" w:sz="4" w:space="0" w:color="0067AB" w:themeColor="accent1"/>
            </w:tcBorders>
            <w:vAlign w:val="bottom"/>
          </w:tcPr>
          <w:p w14:paraId="0A5E4CA7" w14:textId="77777777" w:rsidR="004E1497" w:rsidRPr="004E1497" w:rsidRDefault="004E1497" w:rsidP="00613C1C">
            <w:pPr>
              <w:keepNext/>
              <w:jc w:val="center"/>
              <w:cnfStyle w:val="000000100000" w:firstRow="0" w:lastRow="0" w:firstColumn="0" w:lastColumn="0" w:oddVBand="0" w:evenVBand="0" w:oddHBand="1" w:evenHBand="0" w:firstRowFirstColumn="0" w:firstRowLastColumn="0" w:lastRowFirstColumn="0" w:lastRowLastColumn="0"/>
              <w:rPr>
                <w:sz w:val="20"/>
                <w:szCs w:val="20"/>
              </w:rPr>
            </w:pPr>
            <w:r w:rsidRPr="004E1497">
              <w:rPr>
                <w:color w:val="000000"/>
                <w:sz w:val="20"/>
                <w:szCs w:val="20"/>
              </w:rPr>
              <w:t>7.2</w:t>
            </w:r>
          </w:p>
        </w:tc>
        <w:tc>
          <w:tcPr>
            <w:tcW w:w="1252" w:type="dxa"/>
            <w:tcBorders>
              <w:left w:val="single" w:sz="4" w:space="0" w:color="0067AB" w:themeColor="accent1"/>
              <w:right w:val="single" w:sz="4" w:space="0" w:color="0067AB" w:themeColor="accent1"/>
            </w:tcBorders>
            <w:vAlign w:val="bottom"/>
          </w:tcPr>
          <w:p w14:paraId="5EAF4B6D" w14:textId="77777777" w:rsidR="004E1497" w:rsidRPr="004E1497" w:rsidRDefault="004E1497" w:rsidP="00613C1C">
            <w:pPr>
              <w:keepNext/>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E1497">
              <w:rPr>
                <w:color w:val="000000"/>
                <w:sz w:val="20"/>
                <w:szCs w:val="20"/>
              </w:rPr>
              <w:t>6.9</w:t>
            </w:r>
          </w:p>
        </w:tc>
        <w:tc>
          <w:tcPr>
            <w:tcW w:w="1252" w:type="dxa"/>
            <w:tcBorders>
              <w:left w:val="single" w:sz="4" w:space="0" w:color="0067AB" w:themeColor="accent1"/>
              <w:right w:val="single" w:sz="4" w:space="0" w:color="0067AB" w:themeColor="accent1"/>
            </w:tcBorders>
            <w:vAlign w:val="bottom"/>
          </w:tcPr>
          <w:p w14:paraId="05ED8D9C" w14:textId="77777777" w:rsidR="004E1497" w:rsidRPr="004E1497" w:rsidRDefault="004E1497" w:rsidP="00613C1C">
            <w:pPr>
              <w:keepNext/>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E1497">
              <w:rPr>
                <w:color w:val="000000"/>
                <w:sz w:val="20"/>
                <w:szCs w:val="20"/>
              </w:rPr>
              <w:t>6.3</w:t>
            </w:r>
          </w:p>
        </w:tc>
        <w:tc>
          <w:tcPr>
            <w:tcW w:w="1464" w:type="dxa"/>
            <w:tcBorders>
              <w:left w:val="single" w:sz="4" w:space="0" w:color="0067AB" w:themeColor="accent1"/>
              <w:right w:val="single" w:sz="4" w:space="0" w:color="0067AB" w:themeColor="accent1"/>
            </w:tcBorders>
            <w:vAlign w:val="bottom"/>
          </w:tcPr>
          <w:p w14:paraId="055E5A90" w14:textId="77777777" w:rsidR="004E1497" w:rsidRPr="004E1497" w:rsidRDefault="004E1497" w:rsidP="00613C1C">
            <w:pPr>
              <w:keepNext/>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E1497">
              <w:rPr>
                <w:color w:val="000000"/>
                <w:sz w:val="20"/>
                <w:szCs w:val="20"/>
              </w:rPr>
              <w:t>7.3</w:t>
            </w:r>
          </w:p>
        </w:tc>
        <w:tc>
          <w:tcPr>
            <w:tcW w:w="1472" w:type="dxa"/>
            <w:tcBorders>
              <w:left w:val="single" w:sz="4" w:space="0" w:color="0067AB" w:themeColor="accent1"/>
            </w:tcBorders>
            <w:vAlign w:val="bottom"/>
          </w:tcPr>
          <w:p w14:paraId="0FC50555" w14:textId="77777777" w:rsidR="004E1497" w:rsidRPr="004E1497" w:rsidRDefault="004E1497" w:rsidP="00613C1C">
            <w:pPr>
              <w:keepNext/>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E1497">
              <w:rPr>
                <w:color w:val="000000"/>
                <w:sz w:val="20"/>
                <w:szCs w:val="20"/>
              </w:rPr>
              <w:t>7.7</w:t>
            </w:r>
          </w:p>
        </w:tc>
      </w:tr>
      <w:tr w:rsidR="004E1497" w:rsidRPr="00315694" w14:paraId="00CA8955" w14:textId="77777777" w:rsidTr="00045955">
        <w:trPr>
          <w:jc w:val="center"/>
        </w:trPr>
        <w:tc>
          <w:tcPr>
            <w:cnfStyle w:val="001000000000" w:firstRow="0" w:lastRow="0" w:firstColumn="1" w:lastColumn="0" w:oddVBand="0" w:evenVBand="0" w:oddHBand="0" w:evenHBand="0" w:firstRowFirstColumn="0" w:firstRowLastColumn="0" w:lastRowFirstColumn="0" w:lastRowLastColumn="0"/>
            <w:tcW w:w="895" w:type="dxa"/>
            <w:tcBorders>
              <w:right w:val="single" w:sz="4" w:space="0" w:color="0067AB" w:themeColor="accent1"/>
            </w:tcBorders>
            <w:vAlign w:val="center"/>
          </w:tcPr>
          <w:p w14:paraId="49F881A3" w14:textId="77777777" w:rsidR="004E1497" w:rsidRPr="00AF154D" w:rsidRDefault="004E1497" w:rsidP="00613C1C">
            <w:pPr>
              <w:keepNext/>
              <w:jc w:val="center"/>
              <w:rPr>
                <w:b w:val="0"/>
                <w:sz w:val="20"/>
                <w:szCs w:val="20"/>
              </w:rPr>
            </w:pPr>
            <w:r>
              <w:rPr>
                <w:b w:val="0"/>
                <w:sz w:val="20"/>
                <w:szCs w:val="20"/>
              </w:rPr>
              <w:t>2020</w:t>
            </w:r>
          </w:p>
        </w:tc>
        <w:tc>
          <w:tcPr>
            <w:tcW w:w="1252" w:type="dxa"/>
            <w:tcBorders>
              <w:left w:val="single" w:sz="4" w:space="0" w:color="0067AB" w:themeColor="accent1"/>
              <w:right w:val="single" w:sz="4" w:space="0" w:color="0067AB" w:themeColor="accent1"/>
            </w:tcBorders>
            <w:vAlign w:val="bottom"/>
          </w:tcPr>
          <w:p w14:paraId="5D922BC5" w14:textId="77777777" w:rsidR="004E1497" w:rsidRPr="004E1497" w:rsidRDefault="004E1497" w:rsidP="00613C1C">
            <w:pPr>
              <w:keepNext/>
              <w:jc w:val="center"/>
              <w:cnfStyle w:val="000000000000" w:firstRow="0" w:lastRow="0" w:firstColumn="0" w:lastColumn="0" w:oddVBand="0" w:evenVBand="0" w:oddHBand="0" w:evenHBand="0" w:firstRowFirstColumn="0" w:firstRowLastColumn="0" w:lastRowFirstColumn="0" w:lastRowLastColumn="0"/>
              <w:rPr>
                <w:sz w:val="20"/>
                <w:szCs w:val="20"/>
              </w:rPr>
            </w:pPr>
            <w:r w:rsidRPr="004E1497">
              <w:rPr>
                <w:color w:val="000000"/>
                <w:sz w:val="20"/>
                <w:szCs w:val="20"/>
              </w:rPr>
              <w:t>6.1</w:t>
            </w:r>
          </w:p>
        </w:tc>
        <w:tc>
          <w:tcPr>
            <w:tcW w:w="1252" w:type="dxa"/>
            <w:tcBorders>
              <w:left w:val="single" w:sz="4" w:space="0" w:color="0067AB" w:themeColor="accent1"/>
              <w:right w:val="single" w:sz="4" w:space="0" w:color="0067AB" w:themeColor="accent1"/>
            </w:tcBorders>
            <w:vAlign w:val="bottom"/>
          </w:tcPr>
          <w:p w14:paraId="4BA61170" w14:textId="77777777" w:rsidR="004E1497" w:rsidRPr="004E1497" w:rsidRDefault="004E1497" w:rsidP="00613C1C">
            <w:pPr>
              <w:keepNext/>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E1497">
              <w:rPr>
                <w:color w:val="000000"/>
                <w:sz w:val="20"/>
                <w:szCs w:val="20"/>
              </w:rPr>
              <w:t>6.2</w:t>
            </w:r>
          </w:p>
        </w:tc>
        <w:tc>
          <w:tcPr>
            <w:tcW w:w="1252" w:type="dxa"/>
            <w:tcBorders>
              <w:left w:val="single" w:sz="4" w:space="0" w:color="0067AB" w:themeColor="accent1"/>
              <w:right w:val="single" w:sz="4" w:space="0" w:color="0067AB" w:themeColor="accent1"/>
            </w:tcBorders>
            <w:vAlign w:val="bottom"/>
          </w:tcPr>
          <w:p w14:paraId="3CF7CC9B" w14:textId="77777777" w:rsidR="004E1497" w:rsidRPr="004E1497" w:rsidRDefault="004E1497" w:rsidP="00613C1C">
            <w:pPr>
              <w:keepNext/>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E1497">
              <w:rPr>
                <w:color w:val="000000"/>
                <w:sz w:val="20"/>
                <w:szCs w:val="20"/>
              </w:rPr>
              <w:t>5.6</w:t>
            </w:r>
          </w:p>
        </w:tc>
        <w:tc>
          <w:tcPr>
            <w:tcW w:w="1464" w:type="dxa"/>
            <w:tcBorders>
              <w:left w:val="single" w:sz="4" w:space="0" w:color="0067AB" w:themeColor="accent1"/>
              <w:right w:val="single" w:sz="4" w:space="0" w:color="0067AB" w:themeColor="accent1"/>
            </w:tcBorders>
            <w:vAlign w:val="bottom"/>
          </w:tcPr>
          <w:p w14:paraId="097124C3" w14:textId="77777777" w:rsidR="004E1497" w:rsidRPr="004E1497" w:rsidRDefault="004E1497" w:rsidP="00613C1C">
            <w:pPr>
              <w:keepNext/>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E1497">
              <w:rPr>
                <w:color w:val="000000"/>
                <w:sz w:val="20"/>
                <w:szCs w:val="20"/>
              </w:rPr>
              <w:t>6.3</w:t>
            </w:r>
          </w:p>
        </w:tc>
        <w:tc>
          <w:tcPr>
            <w:tcW w:w="1472" w:type="dxa"/>
            <w:tcBorders>
              <w:left w:val="single" w:sz="4" w:space="0" w:color="0067AB" w:themeColor="accent1"/>
            </w:tcBorders>
            <w:vAlign w:val="bottom"/>
          </w:tcPr>
          <w:p w14:paraId="549C0722" w14:textId="77777777" w:rsidR="004E1497" w:rsidRPr="004E1497" w:rsidRDefault="004E1497" w:rsidP="00613C1C">
            <w:pPr>
              <w:keepNext/>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E1497">
              <w:rPr>
                <w:color w:val="000000"/>
                <w:sz w:val="20"/>
                <w:szCs w:val="20"/>
              </w:rPr>
              <w:t>8.1</w:t>
            </w:r>
          </w:p>
        </w:tc>
      </w:tr>
      <w:tr w:rsidR="004E1497" w:rsidRPr="00315694" w14:paraId="5BFC6529" w14:textId="77777777" w:rsidTr="000459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5" w:type="dxa"/>
            <w:tcBorders>
              <w:right w:val="single" w:sz="4" w:space="0" w:color="0067AB" w:themeColor="accent1"/>
            </w:tcBorders>
            <w:vAlign w:val="center"/>
          </w:tcPr>
          <w:p w14:paraId="75033D85" w14:textId="77777777" w:rsidR="004E1497" w:rsidRPr="00AF154D" w:rsidRDefault="004E1497" w:rsidP="004E1497">
            <w:pPr>
              <w:jc w:val="center"/>
              <w:rPr>
                <w:b w:val="0"/>
                <w:sz w:val="20"/>
                <w:szCs w:val="20"/>
              </w:rPr>
            </w:pPr>
            <w:r>
              <w:rPr>
                <w:b w:val="0"/>
                <w:sz w:val="20"/>
                <w:szCs w:val="20"/>
              </w:rPr>
              <w:t>2025</w:t>
            </w:r>
          </w:p>
        </w:tc>
        <w:tc>
          <w:tcPr>
            <w:tcW w:w="1252" w:type="dxa"/>
            <w:tcBorders>
              <w:left w:val="single" w:sz="4" w:space="0" w:color="0067AB" w:themeColor="accent1"/>
              <w:right w:val="single" w:sz="4" w:space="0" w:color="0067AB" w:themeColor="accent1"/>
            </w:tcBorders>
            <w:vAlign w:val="bottom"/>
          </w:tcPr>
          <w:p w14:paraId="185C07A3" w14:textId="77777777" w:rsidR="004E1497" w:rsidRPr="004E1497" w:rsidRDefault="004E1497" w:rsidP="004E1497">
            <w:pPr>
              <w:jc w:val="center"/>
              <w:cnfStyle w:val="000000100000" w:firstRow="0" w:lastRow="0" w:firstColumn="0" w:lastColumn="0" w:oddVBand="0" w:evenVBand="0" w:oddHBand="1" w:evenHBand="0" w:firstRowFirstColumn="0" w:firstRowLastColumn="0" w:lastRowFirstColumn="0" w:lastRowLastColumn="0"/>
              <w:rPr>
                <w:sz w:val="20"/>
                <w:szCs w:val="20"/>
              </w:rPr>
            </w:pPr>
            <w:r w:rsidRPr="004E1497">
              <w:rPr>
                <w:color w:val="000000"/>
                <w:sz w:val="20"/>
                <w:szCs w:val="20"/>
              </w:rPr>
              <w:t>6.0</w:t>
            </w:r>
          </w:p>
        </w:tc>
        <w:tc>
          <w:tcPr>
            <w:tcW w:w="1252" w:type="dxa"/>
            <w:tcBorders>
              <w:left w:val="single" w:sz="4" w:space="0" w:color="0067AB" w:themeColor="accent1"/>
              <w:right w:val="single" w:sz="4" w:space="0" w:color="0067AB" w:themeColor="accent1"/>
            </w:tcBorders>
            <w:vAlign w:val="bottom"/>
          </w:tcPr>
          <w:p w14:paraId="1D9DC206" w14:textId="77777777" w:rsidR="004E1497" w:rsidRPr="004E1497" w:rsidRDefault="004E1497" w:rsidP="004E1497">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E1497">
              <w:rPr>
                <w:color w:val="000000"/>
                <w:sz w:val="20"/>
                <w:szCs w:val="20"/>
              </w:rPr>
              <w:t>6.1</w:t>
            </w:r>
          </w:p>
        </w:tc>
        <w:tc>
          <w:tcPr>
            <w:tcW w:w="1252" w:type="dxa"/>
            <w:tcBorders>
              <w:left w:val="single" w:sz="4" w:space="0" w:color="0067AB" w:themeColor="accent1"/>
              <w:right w:val="single" w:sz="4" w:space="0" w:color="0067AB" w:themeColor="accent1"/>
            </w:tcBorders>
            <w:vAlign w:val="bottom"/>
          </w:tcPr>
          <w:p w14:paraId="4829106F" w14:textId="77777777" w:rsidR="004E1497" w:rsidRPr="004E1497" w:rsidRDefault="004E1497" w:rsidP="004E1497">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E1497">
              <w:rPr>
                <w:color w:val="000000"/>
                <w:sz w:val="20"/>
                <w:szCs w:val="20"/>
              </w:rPr>
              <w:t>5.8</w:t>
            </w:r>
          </w:p>
        </w:tc>
        <w:tc>
          <w:tcPr>
            <w:tcW w:w="1464" w:type="dxa"/>
            <w:tcBorders>
              <w:left w:val="single" w:sz="4" w:space="0" w:color="0067AB" w:themeColor="accent1"/>
              <w:right w:val="single" w:sz="4" w:space="0" w:color="0067AB" w:themeColor="accent1"/>
            </w:tcBorders>
            <w:vAlign w:val="bottom"/>
          </w:tcPr>
          <w:p w14:paraId="6A684B43" w14:textId="77777777" w:rsidR="004E1497" w:rsidRPr="004E1497" w:rsidRDefault="004E1497" w:rsidP="004E1497">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E1497">
              <w:rPr>
                <w:color w:val="000000"/>
                <w:sz w:val="20"/>
                <w:szCs w:val="20"/>
              </w:rPr>
              <w:t>6.1</w:t>
            </w:r>
          </w:p>
        </w:tc>
        <w:tc>
          <w:tcPr>
            <w:tcW w:w="1472" w:type="dxa"/>
            <w:tcBorders>
              <w:left w:val="single" w:sz="4" w:space="0" w:color="0067AB" w:themeColor="accent1"/>
            </w:tcBorders>
            <w:vAlign w:val="bottom"/>
          </w:tcPr>
          <w:p w14:paraId="3E1C3A7B" w14:textId="77777777" w:rsidR="004E1497" w:rsidRPr="004E1497" w:rsidRDefault="004E1497" w:rsidP="004E1497">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E1497">
              <w:rPr>
                <w:color w:val="000000"/>
                <w:sz w:val="20"/>
                <w:szCs w:val="20"/>
              </w:rPr>
              <w:t>7.9</w:t>
            </w:r>
          </w:p>
        </w:tc>
      </w:tr>
      <w:tr w:rsidR="004E1497" w:rsidRPr="00315694" w14:paraId="299EF309" w14:textId="77777777" w:rsidTr="00045955">
        <w:trPr>
          <w:jc w:val="center"/>
        </w:trPr>
        <w:tc>
          <w:tcPr>
            <w:cnfStyle w:val="001000000000" w:firstRow="0" w:lastRow="0" w:firstColumn="1" w:lastColumn="0" w:oddVBand="0" w:evenVBand="0" w:oddHBand="0" w:evenHBand="0" w:firstRowFirstColumn="0" w:firstRowLastColumn="0" w:lastRowFirstColumn="0" w:lastRowLastColumn="0"/>
            <w:tcW w:w="895" w:type="dxa"/>
            <w:tcBorders>
              <w:right w:val="single" w:sz="4" w:space="0" w:color="0067AB" w:themeColor="accent1"/>
            </w:tcBorders>
            <w:vAlign w:val="center"/>
          </w:tcPr>
          <w:p w14:paraId="7CC1C5FC" w14:textId="77777777" w:rsidR="004E1497" w:rsidRDefault="004E1497" w:rsidP="004E1497">
            <w:pPr>
              <w:jc w:val="center"/>
              <w:rPr>
                <w:b w:val="0"/>
                <w:sz w:val="20"/>
                <w:szCs w:val="20"/>
              </w:rPr>
            </w:pPr>
            <w:r>
              <w:rPr>
                <w:b w:val="0"/>
                <w:sz w:val="20"/>
                <w:szCs w:val="20"/>
              </w:rPr>
              <w:t>2030</w:t>
            </w:r>
          </w:p>
        </w:tc>
        <w:tc>
          <w:tcPr>
            <w:tcW w:w="1252" w:type="dxa"/>
            <w:tcBorders>
              <w:left w:val="single" w:sz="4" w:space="0" w:color="0067AB" w:themeColor="accent1"/>
              <w:right w:val="single" w:sz="4" w:space="0" w:color="0067AB" w:themeColor="accent1"/>
            </w:tcBorders>
            <w:vAlign w:val="bottom"/>
          </w:tcPr>
          <w:p w14:paraId="30D54A8F" w14:textId="77777777" w:rsidR="004E1497" w:rsidRPr="004E1497" w:rsidRDefault="004E1497" w:rsidP="004E1497">
            <w:pPr>
              <w:jc w:val="center"/>
              <w:cnfStyle w:val="000000000000" w:firstRow="0" w:lastRow="0" w:firstColumn="0" w:lastColumn="0" w:oddVBand="0" w:evenVBand="0" w:oddHBand="0" w:evenHBand="0" w:firstRowFirstColumn="0" w:firstRowLastColumn="0" w:lastRowFirstColumn="0" w:lastRowLastColumn="0"/>
              <w:rPr>
                <w:sz w:val="20"/>
                <w:szCs w:val="20"/>
              </w:rPr>
            </w:pPr>
            <w:r w:rsidRPr="004E1497">
              <w:rPr>
                <w:color w:val="000000"/>
                <w:sz w:val="20"/>
                <w:szCs w:val="20"/>
              </w:rPr>
              <w:t>5.9</w:t>
            </w:r>
          </w:p>
        </w:tc>
        <w:tc>
          <w:tcPr>
            <w:tcW w:w="1252" w:type="dxa"/>
            <w:tcBorders>
              <w:left w:val="single" w:sz="4" w:space="0" w:color="0067AB" w:themeColor="accent1"/>
              <w:right w:val="single" w:sz="4" w:space="0" w:color="0067AB" w:themeColor="accent1"/>
            </w:tcBorders>
            <w:vAlign w:val="bottom"/>
          </w:tcPr>
          <w:p w14:paraId="019A2D17" w14:textId="77777777" w:rsidR="004E1497" w:rsidRPr="004E1497" w:rsidRDefault="004E1497" w:rsidP="004E1497">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E1497">
              <w:rPr>
                <w:color w:val="000000"/>
                <w:sz w:val="20"/>
                <w:szCs w:val="20"/>
              </w:rPr>
              <w:t>6.0</w:t>
            </w:r>
          </w:p>
        </w:tc>
        <w:tc>
          <w:tcPr>
            <w:tcW w:w="1252" w:type="dxa"/>
            <w:tcBorders>
              <w:left w:val="single" w:sz="4" w:space="0" w:color="0067AB" w:themeColor="accent1"/>
              <w:right w:val="single" w:sz="4" w:space="0" w:color="0067AB" w:themeColor="accent1"/>
            </w:tcBorders>
            <w:vAlign w:val="bottom"/>
          </w:tcPr>
          <w:p w14:paraId="12C0765E" w14:textId="77777777" w:rsidR="004E1497" w:rsidRPr="004E1497" w:rsidRDefault="004E1497" w:rsidP="004E1497">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E1497">
              <w:rPr>
                <w:color w:val="000000"/>
                <w:sz w:val="20"/>
                <w:szCs w:val="20"/>
              </w:rPr>
              <w:t>5.9</w:t>
            </w:r>
          </w:p>
        </w:tc>
        <w:tc>
          <w:tcPr>
            <w:tcW w:w="1464" w:type="dxa"/>
            <w:tcBorders>
              <w:left w:val="single" w:sz="4" w:space="0" w:color="0067AB" w:themeColor="accent1"/>
              <w:right w:val="single" w:sz="4" w:space="0" w:color="0067AB" w:themeColor="accent1"/>
            </w:tcBorders>
            <w:vAlign w:val="bottom"/>
          </w:tcPr>
          <w:p w14:paraId="7C89B1AA" w14:textId="77777777" w:rsidR="004E1497" w:rsidRPr="004E1497" w:rsidRDefault="004E1497" w:rsidP="004E1497">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E1497">
              <w:rPr>
                <w:color w:val="000000"/>
                <w:sz w:val="20"/>
                <w:szCs w:val="20"/>
              </w:rPr>
              <w:t>6.1</w:t>
            </w:r>
          </w:p>
        </w:tc>
        <w:tc>
          <w:tcPr>
            <w:tcW w:w="1472" w:type="dxa"/>
            <w:tcBorders>
              <w:left w:val="single" w:sz="4" w:space="0" w:color="0067AB" w:themeColor="accent1"/>
            </w:tcBorders>
            <w:vAlign w:val="bottom"/>
          </w:tcPr>
          <w:p w14:paraId="4971B0F8" w14:textId="77777777" w:rsidR="004E1497" w:rsidRPr="004E1497" w:rsidRDefault="004E1497" w:rsidP="004E1497">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E1497">
              <w:rPr>
                <w:color w:val="000000"/>
                <w:sz w:val="20"/>
                <w:szCs w:val="20"/>
              </w:rPr>
              <w:t>7.4</w:t>
            </w:r>
          </w:p>
        </w:tc>
      </w:tr>
      <w:tr w:rsidR="004E1497" w:rsidRPr="00315694" w14:paraId="794B3FD2" w14:textId="77777777" w:rsidTr="000459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5" w:type="dxa"/>
            <w:tcBorders>
              <w:right w:val="single" w:sz="4" w:space="0" w:color="0067AB" w:themeColor="accent1"/>
            </w:tcBorders>
            <w:vAlign w:val="center"/>
          </w:tcPr>
          <w:p w14:paraId="51DE6B0C" w14:textId="77777777" w:rsidR="004E1497" w:rsidRDefault="004E1497" w:rsidP="004E1497">
            <w:pPr>
              <w:jc w:val="center"/>
              <w:rPr>
                <w:b w:val="0"/>
                <w:sz w:val="20"/>
                <w:szCs w:val="20"/>
              </w:rPr>
            </w:pPr>
            <w:r>
              <w:rPr>
                <w:b w:val="0"/>
                <w:sz w:val="20"/>
                <w:szCs w:val="20"/>
              </w:rPr>
              <w:t>2035</w:t>
            </w:r>
          </w:p>
        </w:tc>
        <w:tc>
          <w:tcPr>
            <w:tcW w:w="1252" w:type="dxa"/>
            <w:tcBorders>
              <w:left w:val="single" w:sz="4" w:space="0" w:color="0067AB" w:themeColor="accent1"/>
              <w:right w:val="single" w:sz="4" w:space="0" w:color="0067AB" w:themeColor="accent1"/>
            </w:tcBorders>
            <w:vAlign w:val="bottom"/>
          </w:tcPr>
          <w:p w14:paraId="5CBD8FD6" w14:textId="77777777" w:rsidR="004E1497" w:rsidRPr="004E1497" w:rsidRDefault="004E1497" w:rsidP="004E1497">
            <w:pPr>
              <w:jc w:val="center"/>
              <w:cnfStyle w:val="000000100000" w:firstRow="0" w:lastRow="0" w:firstColumn="0" w:lastColumn="0" w:oddVBand="0" w:evenVBand="0" w:oddHBand="1" w:evenHBand="0" w:firstRowFirstColumn="0" w:firstRowLastColumn="0" w:lastRowFirstColumn="0" w:lastRowLastColumn="0"/>
              <w:rPr>
                <w:sz w:val="20"/>
                <w:szCs w:val="20"/>
              </w:rPr>
            </w:pPr>
            <w:r w:rsidRPr="004E1497">
              <w:rPr>
                <w:color w:val="000000"/>
                <w:sz w:val="20"/>
                <w:szCs w:val="20"/>
              </w:rPr>
              <w:t>6.0</w:t>
            </w:r>
          </w:p>
        </w:tc>
        <w:tc>
          <w:tcPr>
            <w:tcW w:w="1252" w:type="dxa"/>
            <w:tcBorders>
              <w:left w:val="single" w:sz="4" w:space="0" w:color="0067AB" w:themeColor="accent1"/>
              <w:right w:val="single" w:sz="4" w:space="0" w:color="0067AB" w:themeColor="accent1"/>
            </w:tcBorders>
            <w:vAlign w:val="bottom"/>
          </w:tcPr>
          <w:p w14:paraId="6F43F4D5" w14:textId="77777777" w:rsidR="004E1497" w:rsidRPr="004E1497" w:rsidRDefault="004E1497" w:rsidP="004E1497">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E1497">
              <w:rPr>
                <w:color w:val="000000"/>
                <w:sz w:val="20"/>
                <w:szCs w:val="20"/>
              </w:rPr>
              <w:t>6.0</w:t>
            </w:r>
          </w:p>
        </w:tc>
        <w:tc>
          <w:tcPr>
            <w:tcW w:w="1252" w:type="dxa"/>
            <w:tcBorders>
              <w:left w:val="single" w:sz="4" w:space="0" w:color="0067AB" w:themeColor="accent1"/>
              <w:right w:val="single" w:sz="4" w:space="0" w:color="0067AB" w:themeColor="accent1"/>
            </w:tcBorders>
            <w:vAlign w:val="bottom"/>
          </w:tcPr>
          <w:p w14:paraId="1D148565" w14:textId="77777777" w:rsidR="004E1497" w:rsidRPr="004E1497" w:rsidRDefault="004E1497" w:rsidP="004E1497">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E1497">
              <w:rPr>
                <w:color w:val="000000"/>
                <w:sz w:val="20"/>
                <w:szCs w:val="20"/>
              </w:rPr>
              <w:t>5.9</w:t>
            </w:r>
          </w:p>
        </w:tc>
        <w:tc>
          <w:tcPr>
            <w:tcW w:w="1464" w:type="dxa"/>
            <w:tcBorders>
              <w:left w:val="single" w:sz="4" w:space="0" w:color="0067AB" w:themeColor="accent1"/>
              <w:right w:val="single" w:sz="4" w:space="0" w:color="0067AB" w:themeColor="accent1"/>
            </w:tcBorders>
            <w:vAlign w:val="bottom"/>
          </w:tcPr>
          <w:p w14:paraId="374E2A77" w14:textId="77777777" w:rsidR="004E1497" w:rsidRPr="004E1497" w:rsidRDefault="004E1497" w:rsidP="004E1497">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E1497">
              <w:rPr>
                <w:color w:val="000000"/>
                <w:sz w:val="20"/>
                <w:szCs w:val="20"/>
              </w:rPr>
              <w:t>6.0</w:t>
            </w:r>
          </w:p>
        </w:tc>
        <w:tc>
          <w:tcPr>
            <w:tcW w:w="1472" w:type="dxa"/>
            <w:tcBorders>
              <w:left w:val="single" w:sz="4" w:space="0" w:color="0067AB" w:themeColor="accent1"/>
            </w:tcBorders>
            <w:vAlign w:val="bottom"/>
          </w:tcPr>
          <w:p w14:paraId="4CBFE89A" w14:textId="77777777" w:rsidR="004E1497" w:rsidRPr="004E1497" w:rsidRDefault="004E1497" w:rsidP="004E1497">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E1497">
              <w:rPr>
                <w:color w:val="000000"/>
                <w:sz w:val="20"/>
                <w:szCs w:val="20"/>
              </w:rPr>
              <w:t>7.0</w:t>
            </w:r>
          </w:p>
        </w:tc>
      </w:tr>
      <w:tr w:rsidR="004E1497" w:rsidRPr="00315694" w14:paraId="50AF8B7B" w14:textId="77777777" w:rsidTr="00045955">
        <w:trPr>
          <w:jc w:val="center"/>
        </w:trPr>
        <w:tc>
          <w:tcPr>
            <w:cnfStyle w:val="001000000000" w:firstRow="0" w:lastRow="0" w:firstColumn="1" w:lastColumn="0" w:oddVBand="0" w:evenVBand="0" w:oddHBand="0" w:evenHBand="0" w:firstRowFirstColumn="0" w:firstRowLastColumn="0" w:lastRowFirstColumn="0" w:lastRowLastColumn="0"/>
            <w:tcW w:w="895" w:type="dxa"/>
            <w:tcBorders>
              <w:right w:val="single" w:sz="4" w:space="0" w:color="0067AB" w:themeColor="accent1"/>
            </w:tcBorders>
            <w:vAlign w:val="center"/>
          </w:tcPr>
          <w:p w14:paraId="56DC605C" w14:textId="77777777" w:rsidR="004E1497" w:rsidRDefault="004E1497" w:rsidP="004E1497">
            <w:pPr>
              <w:jc w:val="center"/>
              <w:rPr>
                <w:b w:val="0"/>
                <w:sz w:val="20"/>
                <w:szCs w:val="20"/>
              </w:rPr>
            </w:pPr>
            <w:r>
              <w:rPr>
                <w:b w:val="0"/>
                <w:sz w:val="20"/>
                <w:szCs w:val="20"/>
              </w:rPr>
              <w:t>2040</w:t>
            </w:r>
          </w:p>
        </w:tc>
        <w:tc>
          <w:tcPr>
            <w:tcW w:w="1252" w:type="dxa"/>
            <w:tcBorders>
              <w:left w:val="single" w:sz="4" w:space="0" w:color="0067AB" w:themeColor="accent1"/>
              <w:right w:val="single" w:sz="4" w:space="0" w:color="0067AB" w:themeColor="accent1"/>
            </w:tcBorders>
            <w:vAlign w:val="bottom"/>
          </w:tcPr>
          <w:p w14:paraId="5F699A0A" w14:textId="77777777" w:rsidR="004E1497" w:rsidRPr="004E1497" w:rsidRDefault="004E1497" w:rsidP="004E1497">
            <w:pPr>
              <w:jc w:val="center"/>
              <w:cnfStyle w:val="000000000000" w:firstRow="0" w:lastRow="0" w:firstColumn="0" w:lastColumn="0" w:oddVBand="0" w:evenVBand="0" w:oddHBand="0" w:evenHBand="0" w:firstRowFirstColumn="0" w:firstRowLastColumn="0" w:lastRowFirstColumn="0" w:lastRowLastColumn="0"/>
              <w:rPr>
                <w:sz w:val="20"/>
                <w:szCs w:val="20"/>
              </w:rPr>
            </w:pPr>
            <w:r w:rsidRPr="004E1497">
              <w:rPr>
                <w:color w:val="000000"/>
                <w:sz w:val="20"/>
                <w:szCs w:val="20"/>
              </w:rPr>
              <w:t>5.9</w:t>
            </w:r>
          </w:p>
        </w:tc>
        <w:tc>
          <w:tcPr>
            <w:tcW w:w="1252" w:type="dxa"/>
            <w:tcBorders>
              <w:left w:val="single" w:sz="4" w:space="0" w:color="0067AB" w:themeColor="accent1"/>
              <w:right w:val="single" w:sz="4" w:space="0" w:color="0067AB" w:themeColor="accent1"/>
            </w:tcBorders>
            <w:vAlign w:val="bottom"/>
          </w:tcPr>
          <w:p w14:paraId="71474BB2" w14:textId="77777777" w:rsidR="004E1497" w:rsidRPr="004E1497" w:rsidRDefault="004E1497" w:rsidP="004E1497">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E1497">
              <w:rPr>
                <w:color w:val="000000"/>
                <w:sz w:val="20"/>
                <w:szCs w:val="20"/>
              </w:rPr>
              <w:t>5.9</w:t>
            </w:r>
          </w:p>
        </w:tc>
        <w:tc>
          <w:tcPr>
            <w:tcW w:w="1252" w:type="dxa"/>
            <w:tcBorders>
              <w:left w:val="single" w:sz="4" w:space="0" w:color="0067AB" w:themeColor="accent1"/>
              <w:right w:val="single" w:sz="4" w:space="0" w:color="0067AB" w:themeColor="accent1"/>
            </w:tcBorders>
            <w:vAlign w:val="bottom"/>
          </w:tcPr>
          <w:p w14:paraId="572FD23D" w14:textId="77777777" w:rsidR="004E1497" w:rsidRPr="004E1497" w:rsidRDefault="004E1497" w:rsidP="004E1497">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E1497">
              <w:rPr>
                <w:color w:val="000000"/>
                <w:sz w:val="20"/>
                <w:szCs w:val="20"/>
              </w:rPr>
              <w:t>5.9</w:t>
            </w:r>
          </w:p>
        </w:tc>
        <w:tc>
          <w:tcPr>
            <w:tcW w:w="1464" w:type="dxa"/>
            <w:tcBorders>
              <w:left w:val="single" w:sz="4" w:space="0" w:color="0067AB" w:themeColor="accent1"/>
              <w:right w:val="single" w:sz="4" w:space="0" w:color="0067AB" w:themeColor="accent1"/>
            </w:tcBorders>
            <w:vAlign w:val="bottom"/>
          </w:tcPr>
          <w:p w14:paraId="60A1619F" w14:textId="77777777" w:rsidR="004E1497" w:rsidRPr="004E1497" w:rsidRDefault="004E1497" w:rsidP="004E1497">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E1497">
              <w:rPr>
                <w:color w:val="000000"/>
                <w:sz w:val="20"/>
                <w:szCs w:val="20"/>
              </w:rPr>
              <w:t>6.0</w:t>
            </w:r>
          </w:p>
        </w:tc>
        <w:tc>
          <w:tcPr>
            <w:tcW w:w="1472" w:type="dxa"/>
            <w:tcBorders>
              <w:left w:val="single" w:sz="4" w:space="0" w:color="0067AB" w:themeColor="accent1"/>
            </w:tcBorders>
            <w:vAlign w:val="bottom"/>
          </w:tcPr>
          <w:p w14:paraId="2A2B0D72" w14:textId="77777777" w:rsidR="004E1497" w:rsidRPr="004E1497" w:rsidRDefault="004E1497" w:rsidP="004E1497">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E1497">
              <w:rPr>
                <w:color w:val="000000"/>
                <w:sz w:val="20"/>
                <w:szCs w:val="20"/>
              </w:rPr>
              <w:t>6.9</w:t>
            </w:r>
          </w:p>
        </w:tc>
      </w:tr>
    </w:tbl>
    <w:p w14:paraId="7986C8F1" w14:textId="77777777" w:rsidR="000D3739" w:rsidRDefault="000D3739" w:rsidP="000D3739">
      <w:pPr>
        <w:pStyle w:val="Heading4"/>
      </w:pPr>
      <w:r>
        <w:t>Population</w:t>
      </w:r>
    </w:p>
    <w:p w14:paraId="42D7CEE5" w14:textId="4D3D7A62" w:rsidR="000D3739" w:rsidRPr="00855056" w:rsidRDefault="00D52B46" w:rsidP="00D52B46">
      <w:pPr>
        <w:spacing w:before="240" w:after="240" w:line="276" w:lineRule="auto"/>
      </w:pPr>
      <w:r>
        <w:t>D</w:t>
      </w:r>
      <w:r w:rsidR="000D3739" w:rsidRPr="00855056">
        <w:t>efault truck population (number of trucks) in each regional category as averages for the same areas</w:t>
      </w:r>
      <w:r w:rsidR="007B1EA8">
        <w:t xml:space="preserve"> were developed</w:t>
      </w:r>
      <w:r w:rsidR="000D3739" w:rsidRPr="00855056">
        <w:t xml:space="preserve"> in a similar method to mileage accumulation. In this case, MOVES simulations as described above for each region type were conducted and the population activity data extracted. Aggregate vehicle population from runs by vehicle type, fuel type, and model year were then extracted using MySQL scripts. </w:t>
      </w:r>
    </w:p>
    <w:p w14:paraId="6C28FF14" w14:textId="77777777" w:rsidR="000D3739" w:rsidRDefault="000D3739" w:rsidP="00D52B46">
      <w:pPr>
        <w:spacing w:before="240" w:after="240" w:line="276" w:lineRule="auto"/>
      </w:pPr>
      <w:r w:rsidRPr="00855056">
        <w:t xml:space="preserve">As noted above, population was normalized generically to the various regions. For state analyses, the national population from the national scale run was normalized by 50 to represent an “average” state. For metropolitan, the total population from the four metropolitan areas modeled was normalized by four. For county/municipal, the population was normalized by the number of modeled counties. </w:t>
      </w:r>
      <w:r>
        <w:t xml:space="preserve">Default </w:t>
      </w:r>
      <w:r>
        <w:lastRenderedPageBreak/>
        <w:t xml:space="preserve">population </w:t>
      </w:r>
      <w:r w:rsidRPr="00855056">
        <w:t xml:space="preserve">for the “facility” geography </w:t>
      </w:r>
      <w:r w:rsidR="00D52B46">
        <w:t>were estimated to represent typical distribution centers and ports.</w:t>
      </w:r>
      <w:r w:rsidR="00330080">
        <w:t xml:space="preserve"> </w:t>
      </w:r>
      <w:r w:rsidR="00A609BA">
        <w:t xml:space="preserve">Default populations used in the </w:t>
      </w:r>
      <w:r w:rsidR="00DF14A2">
        <w:t>Too</w:t>
      </w:r>
      <w:r w:rsidR="00A609BA">
        <w:t xml:space="preserve">l are shown in </w:t>
      </w:r>
      <w:r w:rsidR="00833B69">
        <w:fldChar w:fldCharType="begin"/>
      </w:r>
      <w:r w:rsidR="00DF14A2">
        <w:instrText xml:space="preserve"> REF _Ref459993906 \h </w:instrText>
      </w:r>
      <w:r w:rsidR="00833B69">
        <w:fldChar w:fldCharType="separate"/>
      </w:r>
      <w:r w:rsidR="00C42F38">
        <w:t xml:space="preserve">Table </w:t>
      </w:r>
      <w:r w:rsidR="00C42F38">
        <w:rPr>
          <w:noProof/>
        </w:rPr>
        <w:t>17</w:t>
      </w:r>
      <w:r w:rsidR="00833B69">
        <w:fldChar w:fldCharType="end"/>
      </w:r>
      <w:r w:rsidR="00DF14A2">
        <w:t>.</w:t>
      </w:r>
    </w:p>
    <w:p w14:paraId="7BCEA4F0" w14:textId="77777777" w:rsidR="00DF14A2" w:rsidRDefault="00DF14A2" w:rsidP="00DF14A2">
      <w:pPr>
        <w:pStyle w:val="TableCaption"/>
      </w:pPr>
      <w:bookmarkStart w:id="71" w:name="_Ref459993906"/>
      <w:bookmarkStart w:id="72" w:name="_Toc482973597"/>
      <w:r>
        <w:t xml:space="preserve">Table </w:t>
      </w:r>
      <w:r w:rsidR="00833B69">
        <w:fldChar w:fldCharType="begin"/>
      </w:r>
      <w:r>
        <w:instrText xml:space="preserve"> SEQ Table \* ARABIC </w:instrText>
      </w:r>
      <w:r w:rsidR="00833B69">
        <w:fldChar w:fldCharType="separate"/>
      </w:r>
      <w:r w:rsidR="00305706">
        <w:t>17</w:t>
      </w:r>
      <w:r w:rsidR="00833B69">
        <w:fldChar w:fldCharType="end"/>
      </w:r>
      <w:bookmarkEnd w:id="71"/>
      <w:r w:rsidR="00C43F06">
        <w:t>.</w:t>
      </w:r>
      <w:r>
        <w:t xml:space="preserve"> Default Vehicle Populations used in the Tool</w:t>
      </w:r>
      <w:bookmarkEnd w:id="72"/>
    </w:p>
    <w:tbl>
      <w:tblPr>
        <w:tblStyle w:val="ListTable3-Accent11"/>
        <w:tblW w:w="9599" w:type="dxa"/>
        <w:jc w:val="center"/>
        <w:tblLayout w:type="fixed"/>
        <w:tblLook w:val="04A0" w:firstRow="1" w:lastRow="0" w:firstColumn="1" w:lastColumn="0" w:noHBand="0" w:noVBand="1"/>
      </w:tblPr>
      <w:tblGrid>
        <w:gridCol w:w="715"/>
        <w:gridCol w:w="3150"/>
        <w:gridCol w:w="1146"/>
        <w:gridCol w:w="1147"/>
        <w:gridCol w:w="1147"/>
        <w:gridCol w:w="1147"/>
        <w:gridCol w:w="1147"/>
      </w:tblGrid>
      <w:tr w:rsidR="00A609BA" w:rsidRPr="00315694" w14:paraId="46DD713F" w14:textId="77777777" w:rsidTr="00F52316">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715" w:type="dxa"/>
            <w:tcBorders>
              <w:bottom w:val="single" w:sz="4" w:space="0" w:color="0067AB" w:themeColor="accent1"/>
              <w:right w:val="single" w:sz="4" w:space="0" w:color="0067AB" w:themeColor="accent1"/>
            </w:tcBorders>
            <w:vAlign w:val="bottom"/>
          </w:tcPr>
          <w:p w14:paraId="419A8300" w14:textId="77777777" w:rsidR="00A609BA" w:rsidRPr="00315694" w:rsidRDefault="00A609BA" w:rsidP="004E1497">
            <w:pPr>
              <w:keepNext/>
              <w:jc w:val="center"/>
              <w:rPr>
                <w:sz w:val="20"/>
                <w:szCs w:val="20"/>
              </w:rPr>
            </w:pPr>
            <w:r w:rsidRPr="00315694">
              <w:rPr>
                <w:sz w:val="20"/>
                <w:szCs w:val="20"/>
              </w:rPr>
              <w:t>Year</w:t>
            </w:r>
          </w:p>
        </w:tc>
        <w:tc>
          <w:tcPr>
            <w:tcW w:w="3150" w:type="dxa"/>
            <w:tcBorders>
              <w:left w:val="single" w:sz="4" w:space="0" w:color="0067AB" w:themeColor="accent1"/>
              <w:bottom w:val="single" w:sz="4" w:space="0" w:color="0067AB" w:themeColor="accent1"/>
              <w:right w:val="single" w:sz="4" w:space="0" w:color="0067AB" w:themeColor="accent1"/>
            </w:tcBorders>
            <w:vAlign w:val="center"/>
          </w:tcPr>
          <w:p w14:paraId="5FA05B8F" w14:textId="77777777" w:rsidR="00A609BA" w:rsidRPr="00315694" w:rsidRDefault="00A609BA" w:rsidP="004E1497">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Truck Type</w:t>
            </w:r>
          </w:p>
        </w:tc>
        <w:tc>
          <w:tcPr>
            <w:tcW w:w="1146" w:type="dxa"/>
            <w:tcBorders>
              <w:left w:val="single" w:sz="4" w:space="0" w:color="0067AB" w:themeColor="accent1"/>
              <w:bottom w:val="single" w:sz="4" w:space="0" w:color="0067AB" w:themeColor="accent1"/>
              <w:right w:val="single" w:sz="4" w:space="0" w:color="0067AB" w:themeColor="accent1"/>
            </w:tcBorders>
            <w:vAlign w:val="center"/>
          </w:tcPr>
          <w:p w14:paraId="25E55E82" w14:textId="77777777" w:rsidR="00A609BA" w:rsidRPr="00315694" w:rsidRDefault="00A609BA" w:rsidP="004E1497">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State</w:t>
            </w:r>
          </w:p>
        </w:tc>
        <w:tc>
          <w:tcPr>
            <w:tcW w:w="1147" w:type="dxa"/>
            <w:tcBorders>
              <w:left w:val="single" w:sz="4" w:space="0" w:color="0067AB" w:themeColor="accent1"/>
              <w:bottom w:val="single" w:sz="4" w:space="0" w:color="0067AB" w:themeColor="accent1"/>
              <w:right w:val="single" w:sz="4" w:space="0" w:color="0067AB" w:themeColor="accent1"/>
            </w:tcBorders>
            <w:vAlign w:val="center"/>
          </w:tcPr>
          <w:p w14:paraId="6B6767BB" w14:textId="77777777" w:rsidR="00A609BA" w:rsidRPr="00315694" w:rsidRDefault="00A609BA" w:rsidP="004E1497">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Metro</w:t>
            </w:r>
          </w:p>
        </w:tc>
        <w:tc>
          <w:tcPr>
            <w:tcW w:w="1147" w:type="dxa"/>
            <w:tcBorders>
              <w:left w:val="single" w:sz="4" w:space="0" w:color="0067AB" w:themeColor="accent1"/>
              <w:bottom w:val="single" w:sz="4" w:space="0" w:color="0067AB" w:themeColor="accent1"/>
              <w:right w:val="single" w:sz="4" w:space="0" w:color="0067AB" w:themeColor="accent1"/>
            </w:tcBorders>
            <w:vAlign w:val="center"/>
          </w:tcPr>
          <w:p w14:paraId="79036E36" w14:textId="77777777" w:rsidR="00A609BA" w:rsidRPr="00315694" w:rsidRDefault="00A609BA" w:rsidP="004E1497">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County</w:t>
            </w:r>
          </w:p>
        </w:tc>
        <w:tc>
          <w:tcPr>
            <w:tcW w:w="1147" w:type="dxa"/>
            <w:tcBorders>
              <w:left w:val="single" w:sz="4" w:space="0" w:color="0067AB" w:themeColor="accent1"/>
              <w:bottom w:val="single" w:sz="4" w:space="0" w:color="0067AB" w:themeColor="accent1"/>
            </w:tcBorders>
            <w:vAlign w:val="center"/>
          </w:tcPr>
          <w:p w14:paraId="13A8026F" w14:textId="77777777" w:rsidR="00A609BA" w:rsidRPr="00315694" w:rsidRDefault="00A609BA" w:rsidP="004E1497">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Dist Ctr</w:t>
            </w:r>
          </w:p>
        </w:tc>
        <w:tc>
          <w:tcPr>
            <w:tcW w:w="1147" w:type="dxa"/>
            <w:tcBorders>
              <w:left w:val="single" w:sz="4" w:space="0" w:color="0067AB" w:themeColor="accent1"/>
              <w:bottom w:val="single" w:sz="4" w:space="0" w:color="0067AB" w:themeColor="accent1"/>
            </w:tcBorders>
          </w:tcPr>
          <w:p w14:paraId="2F7216B2" w14:textId="77777777" w:rsidR="00A609BA" w:rsidRPr="00315694" w:rsidRDefault="00A609BA" w:rsidP="004E1497">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Port</w:t>
            </w:r>
          </w:p>
        </w:tc>
      </w:tr>
      <w:tr w:rsidR="00A609BA" w:rsidRPr="00315694" w14:paraId="21BE3F83" w14:textId="77777777" w:rsidTr="00F523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Merge w:val="restart"/>
            <w:tcBorders>
              <w:right w:val="single" w:sz="4" w:space="0" w:color="0067AB" w:themeColor="accent1"/>
            </w:tcBorders>
            <w:vAlign w:val="center"/>
          </w:tcPr>
          <w:p w14:paraId="384E5BC6" w14:textId="77777777" w:rsidR="00A609BA" w:rsidRPr="00AF154D" w:rsidRDefault="00A609BA" w:rsidP="004E1497">
            <w:pPr>
              <w:keepNext/>
              <w:rPr>
                <w:b w:val="0"/>
                <w:sz w:val="20"/>
                <w:szCs w:val="20"/>
              </w:rPr>
            </w:pPr>
            <w:r>
              <w:rPr>
                <w:b w:val="0"/>
                <w:sz w:val="20"/>
                <w:szCs w:val="20"/>
              </w:rPr>
              <w:t>2015</w:t>
            </w:r>
          </w:p>
        </w:tc>
        <w:tc>
          <w:tcPr>
            <w:tcW w:w="3150" w:type="dxa"/>
            <w:tcBorders>
              <w:left w:val="single" w:sz="4" w:space="0" w:color="0067AB" w:themeColor="accent1"/>
              <w:right w:val="single" w:sz="4" w:space="0" w:color="0067AB" w:themeColor="accent1"/>
            </w:tcBorders>
            <w:vAlign w:val="center"/>
          </w:tcPr>
          <w:p w14:paraId="31238543" w14:textId="1F090EE9" w:rsidR="00A609BA" w:rsidRPr="00315694" w:rsidRDefault="00F52316" w:rsidP="004E1497">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Single</w:t>
            </w:r>
            <w:r w:rsidR="007B1EA8">
              <w:rPr>
                <w:sz w:val="20"/>
                <w:szCs w:val="20"/>
              </w:rPr>
              <w:t xml:space="preserve"> unit</w:t>
            </w:r>
            <w:r w:rsidR="00A609BA">
              <w:rPr>
                <w:sz w:val="20"/>
                <w:szCs w:val="20"/>
              </w:rPr>
              <w:t xml:space="preserve"> Short Haul, Gas</w:t>
            </w:r>
          </w:p>
        </w:tc>
        <w:tc>
          <w:tcPr>
            <w:tcW w:w="1146" w:type="dxa"/>
            <w:tcBorders>
              <w:left w:val="single" w:sz="4" w:space="0" w:color="0067AB" w:themeColor="accent1"/>
              <w:right w:val="single" w:sz="4" w:space="0" w:color="0067AB" w:themeColor="accent1"/>
            </w:tcBorders>
            <w:vAlign w:val="center"/>
          </w:tcPr>
          <w:p w14:paraId="3ABC1602" w14:textId="77777777" w:rsidR="00A609BA" w:rsidRPr="00A609BA" w:rsidRDefault="00A609BA" w:rsidP="004E1497">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46,233</w:t>
            </w:r>
          </w:p>
        </w:tc>
        <w:tc>
          <w:tcPr>
            <w:tcW w:w="1147" w:type="dxa"/>
            <w:tcBorders>
              <w:left w:val="single" w:sz="4" w:space="0" w:color="0067AB" w:themeColor="accent1"/>
              <w:right w:val="single" w:sz="4" w:space="0" w:color="0067AB" w:themeColor="accent1"/>
            </w:tcBorders>
            <w:vAlign w:val="center"/>
          </w:tcPr>
          <w:p w14:paraId="5CA52D2E" w14:textId="77777777" w:rsidR="00A609BA" w:rsidRPr="00A609BA" w:rsidRDefault="00A609BA" w:rsidP="004E1497">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65,684</w:t>
            </w:r>
          </w:p>
        </w:tc>
        <w:tc>
          <w:tcPr>
            <w:tcW w:w="1147" w:type="dxa"/>
            <w:tcBorders>
              <w:left w:val="single" w:sz="4" w:space="0" w:color="0067AB" w:themeColor="accent1"/>
              <w:right w:val="single" w:sz="4" w:space="0" w:color="0067AB" w:themeColor="accent1"/>
            </w:tcBorders>
            <w:vAlign w:val="center"/>
          </w:tcPr>
          <w:p w14:paraId="47C3317A" w14:textId="77777777" w:rsidR="00A609BA" w:rsidRPr="00A609BA" w:rsidRDefault="00A609BA" w:rsidP="004E1497">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497</w:t>
            </w:r>
          </w:p>
        </w:tc>
        <w:tc>
          <w:tcPr>
            <w:tcW w:w="1147" w:type="dxa"/>
            <w:tcBorders>
              <w:left w:val="single" w:sz="4" w:space="0" w:color="0067AB" w:themeColor="accent1"/>
            </w:tcBorders>
            <w:vAlign w:val="center"/>
          </w:tcPr>
          <w:p w14:paraId="264DE126" w14:textId="77777777" w:rsidR="00A609BA" w:rsidRPr="00A609BA" w:rsidRDefault="00A609BA" w:rsidP="004E1497">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w:t>
            </w:r>
          </w:p>
        </w:tc>
        <w:tc>
          <w:tcPr>
            <w:tcW w:w="1147" w:type="dxa"/>
            <w:tcBorders>
              <w:left w:val="single" w:sz="4" w:space="0" w:color="0067AB" w:themeColor="accent1"/>
            </w:tcBorders>
            <w:vAlign w:val="center"/>
          </w:tcPr>
          <w:p w14:paraId="14C341C1" w14:textId="77777777" w:rsidR="00A609BA" w:rsidRPr="00A609BA" w:rsidRDefault="009B6C93" w:rsidP="004E1497">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Pr>
                <w:rFonts w:asciiTheme="minorHAnsi" w:hAnsiTheme="minorHAnsi"/>
                <w:color w:val="000000"/>
                <w:sz w:val="20"/>
                <w:szCs w:val="20"/>
              </w:rPr>
              <w:t>-</w:t>
            </w:r>
          </w:p>
        </w:tc>
      </w:tr>
      <w:tr w:rsidR="00A609BA" w:rsidRPr="00315694" w14:paraId="39744981" w14:textId="77777777" w:rsidTr="00F52316">
        <w:trPr>
          <w:jc w:val="center"/>
        </w:trPr>
        <w:tc>
          <w:tcPr>
            <w:cnfStyle w:val="001000000000" w:firstRow="0" w:lastRow="0" w:firstColumn="1" w:lastColumn="0" w:oddVBand="0" w:evenVBand="0" w:oddHBand="0" w:evenHBand="0" w:firstRowFirstColumn="0" w:firstRowLastColumn="0" w:lastRowFirstColumn="0" w:lastRowLastColumn="0"/>
            <w:tcW w:w="715" w:type="dxa"/>
            <w:vMerge/>
            <w:tcBorders>
              <w:top w:val="single" w:sz="4" w:space="0" w:color="0067AB" w:themeColor="accent1"/>
              <w:bottom w:val="single" w:sz="4" w:space="0" w:color="0067AB" w:themeColor="accent1"/>
              <w:right w:val="single" w:sz="4" w:space="0" w:color="0067AB" w:themeColor="accent1"/>
            </w:tcBorders>
            <w:vAlign w:val="center"/>
          </w:tcPr>
          <w:p w14:paraId="1A97597C" w14:textId="77777777" w:rsidR="00A609BA" w:rsidRPr="00AF154D" w:rsidRDefault="00A609BA" w:rsidP="004E1497">
            <w:pPr>
              <w:keepNext/>
              <w:rPr>
                <w:b w:val="0"/>
                <w:sz w:val="20"/>
                <w:szCs w:val="20"/>
              </w:rPr>
            </w:pPr>
          </w:p>
        </w:tc>
        <w:tc>
          <w:tcPr>
            <w:tcW w:w="315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3B50BC2B" w14:textId="398DC37B" w:rsidR="00A609BA" w:rsidRPr="00315694" w:rsidRDefault="00F52316" w:rsidP="004E1497">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Single</w:t>
            </w:r>
            <w:r w:rsidR="007B1EA8">
              <w:rPr>
                <w:sz w:val="20"/>
                <w:szCs w:val="20"/>
              </w:rPr>
              <w:t xml:space="preserve"> unit</w:t>
            </w:r>
            <w:r w:rsidR="00A609BA">
              <w:rPr>
                <w:sz w:val="20"/>
                <w:szCs w:val="20"/>
              </w:rPr>
              <w:t xml:space="preserve"> Short Haul, Diesel</w:t>
            </w:r>
          </w:p>
        </w:tc>
        <w:tc>
          <w:tcPr>
            <w:tcW w:w="1146"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234F9A76" w14:textId="77777777" w:rsidR="00A609BA" w:rsidRPr="00A609BA" w:rsidRDefault="00A609BA" w:rsidP="004E1497">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94,712</w:t>
            </w:r>
          </w:p>
        </w:tc>
        <w:tc>
          <w:tcPr>
            <w:tcW w:w="114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3FE5565E" w14:textId="77777777" w:rsidR="00A609BA" w:rsidRPr="00A609BA" w:rsidRDefault="00A609BA" w:rsidP="004E1497">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134,560</w:t>
            </w:r>
          </w:p>
        </w:tc>
        <w:tc>
          <w:tcPr>
            <w:tcW w:w="114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5C2F2226" w14:textId="77777777" w:rsidR="00A609BA" w:rsidRPr="00A609BA" w:rsidRDefault="00A609BA" w:rsidP="004E1497">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1,017</w:t>
            </w:r>
          </w:p>
        </w:tc>
        <w:tc>
          <w:tcPr>
            <w:tcW w:w="1147" w:type="dxa"/>
            <w:tcBorders>
              <w:top w:val="single" w:sz="4" w:space="0" w:color="0067AB" w:themeColor="accent1"/>
              <w:left w:val="single" w:sz="4" w:space="0" w:color="0067AB" w:themeColor="accent1"/>
              <w:bottom w:val="single" w:sz="4" w:space="0" w:color="0067AB" w:themeColor="accent1"/>
            </w:tcBorders>
            <w:vAlign w:val="center"/>
          </w:tcPr>
          <w:p w14:paraId="173DE905" w14:textId="77777777" w:rsidR="00A609BA" w:rsidRPr="00A609BA" w:rsidRDefault="00A609BA" w:rsidP="004E1497">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w:t>
            </w:r>
          </w:p>
        </w:tc>
        <w:tc>
          <w:tcPr>
            <w:tcW w:w="1147" w:type="dxa"/>
            <w:tcBorders>
              <w:top w:val="single" w:sz="4" w:space="0" w:color="0067AB" w:themeColor="accent1"/>
              <w:left w:val="single" w:sz="4" w:space="0" w:color="0067AB" w:themeColor="accent1"/>
              <w:bottom w:val="single" w:sz="4" w:space="0" w:color="0067AB" w:themeColor="accent1"/>
            </w:tcBorders>
            <w:vAlign w:val="center"/>
          </w:tcPr>
          <w:p w14:paraId="3D2116CB" w14:textId="77777777" w:rsidR="00A609BA" w:rsidRPr="00A609BA" w:rsidRDefault="009B6C93" w:rsidP="004E1497">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Pr>
                <w:rFonts w:asciiTheme="minorHAnsi" w:hAnsiTheme="minorHAnsi"/>
                <w:color w:val="000000"/>
                <w:sz w:val="20"/>
                <w:szCs w:val="20"/>
              </w:rPr>
              <w:t>-</w:t>
            </w:r>
          </w:p>
        </w:tc>
      </w:tr>
      <w:tr w:rsidR="00A609BA" w:rsidRPr="00315694" w14:paraId="5700BFCA" w14:textId="77777777" w:rsidTr="00F523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Merge/>
            <w:tcBorders>
              <w:right w:val="single" w:sz="4" w:space="0" w:color="0067AB" w:themeColor="accent1"/>
            </w:tcBorders>
            <w:vAlign w:val="center"/>
          </w:tcPr>
          <w:p w14:paraId="3D34B8F3" w14:textId="77777777" w:rsidR="00A609BA" w:rsidRPr="00AF154D" w:rsidRDefault="00A609BA" w:rsidP="004E1497">
            <w:pPr>
              <w:keepNext/>
              <w:rPr>
                <w:b w:val="0"/>
                <w:sz w:val="20"/>
                <w:szCs w:val="20"/>
              </w:rPr>
            </w:pPr>
          </w:p>
        </w:tc>
        <w:tc>
          <w:tcPr>
            <w:tcW w:w="3150" w:type="dxa"/>
            <w:tcBorders>
              <w:left w:val="single" w:sz="4" w:space="0" w:color="0067AB" w:themeColor="accent1"/>
              <w:right w:val="single" w:sz="4" w:space="0" w:color="0067AB" w:themeColor="accent1"/>
            </w:tcBorders>
            <w:vAlign w:val="center"/>
          </w:tcPr>
          <w:p w14:paraId="2AA80903" w14:textId="0E91206D" w:rsidR="00A609BA" w:rsidRPr="00315694" w:rsidRDefault="00F52316" w:rsidP="004E1497">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Single</w:t>
            </w:r>
            <w:r w:rsidR="007B1EA8">
              <w:rPr>
                <w:sz w:val="20"/>
                <w:szCs w:val="20"/>
              </w:rPr>
              <w:t xml:space="preserve"> unit</w:t>
            </w:r>
            <w:r w:rsidR="00A609BA">
              <w:rPr>
                <w:sz w:val="20"/>
                <w:szCs w:val="20"/>
              </w:rPr>
              <w:t xml:space="preserve"> Long Haul, Diesel</w:t>
            </w:r>
          </w:p>
        </w:tc>
        <w:tc>
          <w:tcPr>
            <w:tcW w:w="1146" w:type="dxa"/>
            <w:tcBorders>
              <w:left w:val="single" w:sz="4" w:space="0" w:color="0067AB" w:themeColor="accent1"/>
              <w:right w:val="single" w:sz="4" w:space="0" w:color="0067AB" w:themeColor="accent1"/>
            </w:tcBorders>
            <w:vAlign w:val="center"/>
          </w:tcPr>
          <w:p w14:paraId="0B6E7D8D" w14:textId="77777777" w:rsidR="00A609BA" w:rsidRPr="00A609BA" w:rsidRDefault="00A609BA" w:rsidP="004E1497">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4,779</w:t>
            </w:r>
          </w:p>
        </w:tc>
        <w:tc>
          <w:tcPr>
            <w:tcW w:w="1147" w:type="dxa"/>
            <w:tcBorders>
              <w:left w:val="single" w:sz="4" w:space="0" w:color="0067AB" w:themeColor="accent1"/>
              <w:right w:val="single" w:sz="4" w:space="0" w:color="0067AB" w:themeColor="accent1"/>
            </w:tcBorders>
            <w:vAlign w:val="center"/>
          </w:tcPr>
          <w:p w14:paraId="28D34C50" w14:textId="77777777" w:rsidR="00A609BA" w:rsidRPr="00A609BA" w:rsidRDefault="00A609BA" w:rsidP="004E1497">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6,788</w:t>
            </w:r>
          </w:p>
        </w:tc>
        <w:tc>
          <w:tcPr>
            <w:tcW w:w="1147" w:type="dxa"/>
            <w:tcBorders>
              <w:left w:val="single" w:sz="4" w:space="0" w:color="0067AB" w:themeColor="accent1"/>
              <w:right w:val="single" w:sz="4" w:space="0" w:color="0067AB" w:themeColor="accent1"/>
            </w:tcBorders>
            <w:vAlign w:val="center"/>
          </w:tcPr>
          <w:p w14:paraId="4D23547B" w14:textId="77777777" w:rsidR="00A609BA" w:rsidRPr="00A609BA" w:rsidRDefault="00A609BA" w:rsidP="004E1497">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51</w:t>
            </w:r>
          </w:p>
        </w:tc>
        <w:tc>
          <w:tcPr>
            <w:tcW w:w="1147" w:type="dxa"/>
            <w:tcBorders>
              <w:left w:val="single" w:sz="4" w:space="0" w:color="0067AB" w:themeColor="accent1"/>
            </w:tcBorders>
            <w:vAlign w:val="center"/>
          </w:tcPr>
          <w:p w14:paraId="5F6CCE18" w14:textId="77777777" w:rsidR="00A609BA" w:rsidRPr="00A609BA" w:rsidRDefault="00A609BA" w:rsidP="004E1497">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w:t>
            </w:r>
          </w:p>
        </w:tc>
        <w:tc>
          <w:tcPr>
            <w:tcW w:w="1147" w:type="dxa"/>
            <w:tcBorders>
              <w:left w:val="single" w:sz="4" w:space="0" w:color="0067AB" w:themeColor="accent1"/>
            </w:tcBorders>
            <w:vAlign w:val="center"/>
          </w:tcPr>
          <w:p w14:paraId="6C2B5FA2" w14:textId="77777777" w:rsidR="00A609BA" w:rsidRPr="00A609BA" w:rsidRDefault="009B6C93" w:rsidP="004E1497">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Pr>
                <w:rFonts w:asciiTheme="minorHAnsi" w:hAnsiTheme="minorHAnsi"/>
                <w:color w:val="000000"/>
                <w:sz w:val="20"/>
                <w:szCs w:val="20"/>
              </w:rPr>
              <w:t>-</w:t>
            </w:r>
          </w:p>
        </w:tc>
      </w:tr>
      <w:tr w:rsidR="00A609BA" w:rsidRPr="00315694" w14:paraId="4D4C06C6" w14:textId="77777777" w:rsidTr="00F52316">
        <w:trPr>
          <w:jc w:val="center"/>
        </w:trPr>
        <w:tc>
          <w:tcPr>
            <w:cnfStyle w:val="001000000000" w:firstRow="0" w:lastRow="0" w:firstColumn="1" w:lastColumn="0" w:oddVBand="0" w:evenVBand="0" w:oddHBand="0" w:evenHBand="0" w:firstRowFirstColumn="0" w:firstRowLastColumn="0" w:lastRowFirstColumn="0" w:lastRowLastColumn="0"/>
            <w:tcW w:w="715" w:type="dxa"/>
            <w:vMerge/>
            <w:tcBorders>
              <w:top w:val="single" w:sz="4" w:space="0" w:color="0067AB" w:themeColor="accent1"/>
              <w:bottom w:val="single" w:sz="4" w:space="0" w:color="0067AB" w:themeColor="accent1"/>
              <w:right w:val="single" w:sz="4" w:space="0" w:color="0067AB" w:themeColor="accent1"/>
            </w:tcBorders>
            <w:vAlign w:val="center"/>
          </w:tcPr>
          <w:p w14:paraId="52CA7EA0" w14:textId="77777777" w:rsidR="00A609BA" w:rsidRDefault="00A609BA" w:rsidP="004E1497">
            <w:pPr>
              <w:keepNext/>
              <w:rPr>
                <w:b w:val="0"/>
                <w:sz w:val="20"/>
                <w:szCs w:val="20"/>
              </w:rPr>
            </w:pPr>
          </w:p>
        </w:tc>
        <w:tc>
          <w:tcPr>
            <w:tcW w:w="315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3D689C96" w14:textId="7095A7CC" w:rsidR="00A609BA" w:rsidRPr="00315694" w:rsidRDefault="00F52316" w:rsidP="004E1497">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Combination</w:t>
            </w:r>
            <w:r w:rsidR="007B1EA8">
              <w:rPr>
                <w:sz w:val="20"/>
                <w:szCs w:val="20"/>
              </w:rPr>
              <w:t xml:space="preserve"> unit</w:t>
            </w:r>
            <w:r w:rsidR="00A609BA">
              <w:rPr>
                <w:sz w:val="20"/>
                <w:szCs w:val="20"/>
              </w:rPr>
              <w:t xml:space="preserve"> Short Haul, Diesel</w:t>
            </w:r>
          </w:p>
        </w:tc>
        <w:tc>
          <w:tcPr>
            <w:tcW w:w="1146"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714C05E0" w14:textId="77777777" w:rsidR="00A609BA" w:rsidRPr="00A609BA" w:rsidRDefault="00A609BA" w:rsidP="004E1497">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25,928</w:t>
            </w:r>
          </w:p>
        </w:tc>
        <w:tc>
          <w:tcPr>
            <w:tcW w:w="114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0C8A44FC" w14:textId="77777777" w:rsidR="00A609BA" w:rsidRPr="00A609BA" w:rsidRDefault="00A609BA" w:rsidP="004E1497">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36,208</w:t>
            </w:r>
          </w:p>
        </w:tc>
        <w:tc>
          <w:tcPr>
            <w:tcW w:w="114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2F852C86" w14:textId="77777777" w:rsidR="00A609BA" w:rsidRPr="00A609BA" w:rsidRDefault="00A609BA" w:rsidP="004E1497">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297</w:t>
            </w:r>
          </w:p>
        </w:tc>
        <w:tc>
          <w:tcPr>
            <w:tcW w:w="1147" w:type="dxa"/>
            <w:tcBorders>
              <w:top w:val="single" w:sz="4" w:space="0" w:color="0067AB" w:themeColor="accent1"/>
              <w:left w:val="single" w:sz="4" w:space="0" w:color="0067AB" w:themeColor="accent1"/>
              <w:bottom w:val="single" w:sz="4" w:space="0" w:color="0067AB" w:themeColor="accent1"/>
            </w:tcBorders>
            <w:vAlign w:val="center"/>
          </w:tcPr>
          <w:p w14:paraId="2309D444" w14:textId="77777777" w:rsidR="00A609BA" w:rsidRPr="00A609BA" w:rsidRDefault="00A609BA" w:rsidP="004E1497">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1,000</w:t>
            </w:r>
          </w:p>
        </w:tc>
        <w:tc>
          <w:tcPr>
            <w:tcW w:w="1147" w:type="dxa"/>
            <w:tcBorders>
              <w:top w:val="single" w:sz="4" w:space="0" w:color="0067AB" w:themeColor="accent1"/>
              <w:left w:val="single" w:sz="4" w:space="0" w:color="0067AB" w:themeColor="accent1"/>
              <w:bottom w:val="single" w:sz="4" w:space="0" w:color="0067AB" w:themeColor="accent1"/>
            </w:tcBorders>
            <w:vAlign w:val="center"/>
          </w:tcPr>
          <w:p w14:paraId="4B210866" w14:textId="77777777" w:rsidR="00A609BA" w:rsidRPr="00A609BA" w:rsidRDefault="00A609BA" w:rsidP="004E1497">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4,650</w:t>
            </w:r>
          </w:p>
        </w:tc>
      </w:tr>
      <w:tr w:rsidR="00A609BA" w:rsidRPr="00315694" w14:paraId="0D82FD61" w14:textId="77777777" w:rsidTr="00F523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Merge/>
            <w:tcBorders>
              <w:right w:val="single" w:sz="4" w:space="0" w:color="0067AB" w:themeColor="accent1"/>
            </w:tcBorders>
            <w:vAlign w:val="center"/>
          </w:tcPr>
          <w:p w14:paraId="78ACABF9" w14:textId="77777777" w:rsidR="00A609BA" w:rsidRDefault="00A609BA" w:rsidP="00A609BA">
            <w:pPr>
              <w:rPr>
                <w:b w:val="0"/>
                <w:sz w:val="20"/>
                <w:szCs w:val="20"/>
              </w:rPr>
            </w:pPr>
          </w:p>
        </w:tc>
        <w:tc>
          <w:tcPr>
            <w:tcW w:w="3150" w:type="dxa"/>
            <w:tcBorders>
              <w:left w:val="single" w:sz="4" w:space="0" w:color="0067AB" w:themeColor="accent1"/>
              <w:right w:val="single" w:sz="4" w:space="0" w:color="0067AB" w:themeColor="accent1"/>
            </w:tcBorders>
            <w:vAlign w:val="center"/>
          </w:tcPr>
          <w:p w14:paraId="134E6BB1" w14:textId="385331C6" w:rsidR="00A609BA" w:rsidRPr="00315694" w:rsidRDefault="00F52316" w:rsidP="00A609B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Combination</w:t>
            </w:r>
            <w:r w:rsidR="007B1EA8">
              <w:rPr>
                <w:sz w:val="20"/>
                <w:szCs w:val="20"/>
              </w:rPr>
              <w:t xml:space="preserve"> unit</w:t>
            </w:r>
            <w:r w:rsidR="00A609BA">
              <w:rPr>
                <w:sz w:val="20"/>
                <w:szCs w:val="20"/>
              </w:rPr>
              <w:t xml:space="preserve"> Long Haul, Diesel</w:t>
            </w:r>
          </w:p>
        </w:tc>
        <w:tc>
          <w:tcPr>
            <w:tcW w:w="1146" w:type="dxa"/>
            <w:tcBorders>
              <w:left w:val="single" w:sz="4" w:space="0" w:color="0067AB" w:themeColor="accent1"/>
              <w:right w:val="single" w:sz="4" w:space="0" w:color="0067AB" w:themeColor="accent1"/>
            </w:tcBorders>
            <w:vAlign w:val="center"/>
          </w:tcPr>
          <w:p w14:paraId="42861F12" w14:textId="77777777" w:rsidR="00A609BA" w:rsidRPr="00A609BA" w:rsidRDefault="00A609BA" w:rsidP="00A609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28,590</w:t>
            </w:r>
          </w:p>
        </w:tc>
        <w:tc>
          <w:tcPr>
            <w:tcW w:w="1147" w:type="dxa"/>
            <w:tcBorders>
              <w:left w:val="single" w:sz="4" w:space="0" w:color="0067AB" w:themeColor="accent1"/>
              <w:right w:val="single" w:sz="4" w:space="0" w:color="0067AB" w:themeColor="accent1"/>
            </w:tcBorders>
            <w:vAlign w:val="center"/>
          </w:tcPr>
          <w:p w14:paraId="2E62D11A" w14:textId="77777777" w:rsidR="00A609BA" w:rsidRPr="00A609BA" w:rsidRDefault="00A609BA" w:rsidP="00A609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39,883</w:t>
            </w:r>
          </w:p>
        </w:tc>
        <w:tc>
          <w:tcPr>
            <w:tcW w:w="1147" w:type="dxa"/>
            <w:tcBorders>
              <w:left w:val="single" w:sz="4" w:space="0" w:color="0067AB" w:themeColor="accent1"/>
              <w:right w:val="single" w:sz="4" w:space="0" w:color="0067AB" w:themeColor="accent1"/>
            </w:tcBorders>
            <w:vAlign w:val="center"/>
          </w:tcPr>
          <w:p w14:paraId="1FFCAAF0" w14:textId="77777777" w:rsidR="00A609BA" w:rsidRPr="00A609BA" w:rsidRDefault="00A609BA" w:rsidP="00A609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330</w:t>
            </w:r>
          </w:p>
        </w:tc>
        <w:tc>
          <w:tcPr>
            <w:tcW w:w="1147" w:type="dxa"/>
            <w:tcBorders>
              <w:left w:val="single" w:sz="4" w:space="0" w:color="0067AB" w:themeColor="accent1"/>
            </w:tcBorders>
            <w:vAlign w:val="center"/>
          </w:tcPr>
          <w:p w14:paraId="3B368085" w14:textId="77777777" w:rsidR="00A609BA" w:rsidRPr="00A609BA" w:rsidRDefault="00A609BA" w:rsidP="00A609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750</w:t>
            </w:r>
          </w:p>
        </w:tc>
        <w:tc>
          <w:tcPr>
            <w:tcW w:w="1147" w:type="dxa"/>
            <w:tcBorders>
              <w:left w:val="single" w:sz="4" w:space="0" w:color="0067AB" w:themeColor="accent1"/>
            </w:tcBorders>
            <w:vAlign w:val="center"/>
          </w:tcPr>
          <w:p w14:paraId="34ED4529" w14:textId="77777777" w:rsidR="00A609BA" w:rsidRPr="00A609BA" w:rsidRDefault="009B6C93" w:rsidP="00A609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Pr>
                <w:rFonts w:asciiTheme="minorHAnsi" w:hAnsiTheme="minorHAnsi"/>
                <w:color w:val="000000"/>
                <w:sz w:val="20"/>
                <w:szCs w:val="20"/>
              </w:rPr>
              <w:t>-</w:t>
            </w:r>
          </w:p>
        </w:tc>
      </w:tr>
      <w:tr w:rsidR="00A609BA" w:rsidRPr="00315694" w14:paraId="6FEA2967" w14:textId="77777777" w:rsidTr="00F52316">
        <w:tblPrEx>
          <w:jc w:val="left"/>
        </w:tblPrEx>
        <w:tc>
          <w:tcPr>
            <w:cnfStyle w:val="001000000000" w:firstRow="0" w:lastRow="0" w:firstColumn="1" w:lastColumn="0" w:oddVBand="0" w:evenVBand="0" w:oddHBand="0" w:evenHBand="0" w:firstRowFirstColumn="0" w:firstRowLastColumn="0" w:lastRowFirstColumn="0" w:lastRowLastColumn="0"/>
            <w:tcW w:w="715" w:type="dxa"/>
            <w:vMerge w:val="restart"/>
            <w:tcBorders>
              <w:top w:val="single" w:sz="4" w:space="0" w:color="0067AB" w:themeColor="accent1"/>
              <w:bottom w:val="single" w:sz="4" w:space="0" w:color="0067AB" w:themeColor="accent1"/>
              <w:right w:val="single" w:sz="4" w:space="0" w:color="0067AB" w:themeColor="accent1"/>
            </w:tcBorders>
            <w:vAlign w:val="center"/>
          </w:tcPr>
          <w:p w14:paraId="753F30A7" w14:textId="77777777" w:rsidR="00A609BA" w:rsidRPr="00AF154D" w:rsidRDefault="00A609BA" w:rsidP="00A609BA">
            <w:pPr>
              <w:keepNext/>
              <w:rPr>
                <w:b w:val="0"/>
                <w:sz w:val="20"/>
                <w:szCs w:val="20"/>
              </w:rPr>
            </w:pPr>
            <w:r>
              <w:rPr>
                <w:b w:val="0"/>
                <w:sz w:val="20"/>
                <w:szCs w:val="20"/>
              </w:rPr>
              <w:t>2020</w:t>
            </w:r>
          </w:p>
        </w:tc>
        <w:tc>
          <w:tcPr>
            <w:tcW w:w="315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143A5C46" w14:textId="6AA94BB9" w:rsidR="00A609BA" w:rsidRPr="00315694" w:rsidRDefault="00F52316" w:rsidP="00A609BA">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Single</w:t>
            </w:r>
            <w:r w:rsidR="007B1EA8">
              <w:rPr>
                <w:sz w:val="20"/>
                <w:szCs w:val="20"/>
              </w:rPr>
              <w:t xml:space="preserve"> unit</w:t>
            </w:r>
            <w:r w:rsidR="00A609BA">
              <w:rPr>
                <w:sz w:val="20"/>
                <w:szCs w:val="20"/>
              </w:rPr>
              <w:t xml:space="preserve"> Short Haul, Gas</w:t>
            </w:r>
          </w:p>
        </w:tc>
        <w:tc>
          <w:tcPr>
            <w:tcW w:w="1146"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1DF2A899" w14:textId="77777777" w:rsidR="00A609BA" w:rsidRPr="00A609BA" w:rsidRDefault="00A609BA" w:rsidP="00A609BA">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50,282</w:t>
            </w:r>
          </w:p>
        </w:tc>
        <w:tc>
          <w:tcPr>
            <w:tcW w:w="114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013AADC8" w14:textId="77777777" w:rsidR="00A609BA" w:rsidRPr="00A609BA" w:rsidRDefault="00A609BA" w:rsidP="00A609BA">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71,437</w:t>
            </w:r>
          </w:p>
        </w:tc>
        <w:tc>
          <w:tcPr>
            <w:tcW w:w="114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43298DF9" w14:textId="77777777" w:rsidR="00A609BA" w:rsidRPr="00A609BA" w:rsidRDefault="00A609BA" w:rsidP="00A609BA">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540</w:t>
            </w:r>
          </w:p>
        </w:tc>
        <w:tc>
          <w:tcPr>
            <w:tcW w:w="114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2C386BC4" w14:textId="77777777" w:rsidR="00A609BA" w:rsidRPr="00A609BA" w:rsidRDefault="009B6C93" w:rsidP="00A609BA">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Pr>
                <w:rFonts w:asciiTheme="minorHAnsi" w:hAnsiTheme="minorHAnsi"/>
                <w:color w:val="000000"/>
                <w:sz w:val="20"/>
                <w:szCs w:val="20"/>
              </w:rPr>
              <w:t>-</w:t>
            </w:r>
          </w:p>
        </w:tc>
        <w:tc>
          <w:tcPr>
            <w:tcW w:w="1147" w:type="dxa"/>
            <w:tcBorders>
              <w:top w:val="single" w:sz="4" w:space="0" w:color="0067AB" w:themeColor="accent1"/>
              <w:left w:val="single" w:sz="4" w:space="0" w:color="0067AB" w:themeColor="accent1"/>
              <w:bottom w:val="single" w:sz="4" w:space="0" w:color="0067AB" w:themeColor="accent1"/>
            </w:tcBorders>
            <w:vAlign w:val="center"/>
          </w:tcPr>
          <w:p w14:paraId="0B8B0923" w14:textId="77777777" w:rsidR="00A609BA" w:rsidRPr="00A609BA" w:rsidRDefault="009B6C93" w:rsidP="00A609BA">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Pr>
                <w:rFonts w:asciiTheme="minorHAnsi" w:hAnsiTheme="minorHAnsi"/>
                <w:color w:val="000000"/>
                <w:sz w:val="20"/>
                <w:szCs w:val="20"/>
              </w:rPr>
              <w:t>-</w:t>
            </w:r>
          </w:p>
        </w:tc>
      </w:tr>
      <w:tr w:rsidR="00A609BA" w:rsidRPr="00315694" w14:paraId="11E9E66F" w14:textId="77777777" w:rsidTr="00F52316">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right w:val="single" w:sz="4" w:space="0" w:color="0067AB" w:themeColor="accent1"/>
            </w:tcBorders>
            <w:vAlign w:val="center"/>
          </w:tcPr>
          <w:p w14:paraId="05433C46" w14:textId="77777777" w:rsidR="00A609BA" w:rsidRPr="00AF154D" w:rsidRDefault="00A609BA" w:rsidP="00A609BA">
            <w:pPr>
              <w:rPr>
                <w:b w:val="0"/>
                <w:sz w:val="20"/>
                <w:szCs w:val="20"/>
              </w:rPr>
            </w:pPr>
          </w:p>
        </w:tc>
        <w:tc>
          <w:tcPr>
            <w:tcW w:w="3150" w:type="dxa"/>
            <w:tcBorders>
              <w:left w:val="single" w:sz="4" w:space="0" w:color="0067AB" w:themeColor="accent1"/>
              <w:right w:val="single" w:sz="4" w:space="0" w:color="0067AB" w:themeColor="accent1"/>
            </w:tcBorders>
          </w:tcPr>
          <w:p w14:paraId="7F6BF39C" w14:textId="7BCAED64" w:rsidR="00A609BA" w:rsidRPr="00315694" w:rsidRDefault="00F52316" w:rsidP="00A609B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Single</w:t>
            </w:r>
            <w:r w:rsidR="007B1EA8">
              <w:rPr>
                <w:sz w:val="20"/>
                <w:szCs w:val="20"/>
              </w:rPr>
              <w:t xml:space="preserve"> unit</w:t>
            </w:r>
            <w:r w:rsidR="00A609BA">
              <w:rPr>
                <w:sz w:val="20"/>
                <w:szCs w:val="20"/>
              </w:rPr>
              <w:t xml:space="preserve"> Short Haul, Diesel</w:t>
            </w:r>
          </w:p>
        </w:tc>
        <w:tc>
          <w:tcPr>
            <w:tcW w:w="1146" w:type="dxa"/>
            <w:tcBorders>
              <w:left w:val="single" w:sz="4" w:space="0" w:color="0067AB" w:themeColor="accent1"/>
              <w:right w:val="single" w:sz="4" w:space="0" w:color="0067AB" w:themeColor="accent1"/>
            </w:tcBorders>
            <w:vAlign w:val="center"/>
          </w:tcPr>
          <w:p w14:paraId="6B6DB1FD" w14:textId="77777777" w:rsidR="00A609BA" w:rsidRPr="00A609BA" w:rsidRDefault="00A609BA" w:rsidP="00A609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107,752</w:t>
            </w:r>
          </w:p>
        </w:tc>
        <w:tc>
          <w:tcPr>
            <w:tcW w:w="1147" w:type="dxa"/>
            <w:tcBorders>
              <w:left w:val="single" w:sz="4" w:space="0" w:color="0067AB" w:themeColor="accent1"/>
              <w:right w:val="single" w:sz="4" w:space="0" w:color="0067AB" w:themeColor="accent1"/>
            </w:tcBorders>
            <w:vAlign w:val="center"/>
          </w:tcPr>
          <w:p w14:paraId="6A521CBC" w14:textId="77777777" w:rsidR="00A609BA" w:rsidRPr="00A609BA" w:rsidRDefault="00A609BA" w:rsidP="00A609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153,086</w:t>
            </w:r>
          </w:p>
        </w:tc>
        <w:tc>
          <w:tcPr>
            <w:tcW w:w="1147" w:type="dxa"/>
            <w:tcBorders>
              <w:left w:val="single" w:sz="4" w:space="0" w:color="0067AB" w:themeColor="accent1"/>
              <w:right w:val="single" w:sz="4" w:space="0" w:color="0067AB" w:themeColor="accent1"/>
            </w:tcBorders>
            <w:vAlign w:val="center"/>
          </w:tcPr>
          <w:p w14:paraId="6B2552CD" w14:textId="77777777" w:rsidR="00A609BA" w:rsidRPr="00A609BA" w:rsidRDefault="00A609BA" w:rsidP="00A609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1,157</w:t>
            </w:r>
          </w:p>
        </w:tc>
        <w:tc>
          <w:tcPr>
            <w:tcW w:w="1147" w:type="dxa"/>
            <w:tcBorders>
              <w:left w:val="single" w:sz="4" w:space="0" w:color="0067AB" w:themeColor="accent1"/>
              <w:right w:val="single" w:sz="4" w:space="0" w:color="0067AB" w:themeColor="accent1"/>
            </w:tcBorders>
            <w:vAlign w:val="center"/>
          </w:tcPr>
          <w:p w14:paraId="11E68201" w14:textId="77777777" w:rsidR="00A609BA" w:rsidRPr="00A609BA" w:rsidRDefault="009B6C93" w:rsidP="00A609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Pr>
                <w:rFonts w:asciiTheme="minorHAnsi" w:hAnsiTheme="minorHAnsi"/>
                <w:color w:val="000000"/>
                <w:sz w:val="20"/>
                <w:szCs w:val="20"/>
              </w:rPr>
              <w:t>-</w:t>
            </w:r>
          </w:p>
        </w:tc>
        <w:tc>
          <w:tcPr>
            <w:tcW w:w="1147" w:type="dxa"/>
            <w:tcBorders>
              <w:left w:val="single" w:sz="4" w:space="0" w:color="0067AB" w:themeColor="accent1"/>
            </w:tcBorders>
            <w:vAlign w:val="center"/>
          </w:tcPr>
          <w:p w14:paraId="531619D5" w14:textId="77777777" w:rsidR="00A609BA" w:rsidRPr="00A609BA" w:rsidRDefault="009B6C93" w:rsidP="00A609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Pr>
                <w:rFonts w:asciiTheme="minorHAnsi" w:hAnsiTheme="minorHAnsi"/>
                <w:color w:val="000000"/>
                <w:sz w:val="20"/>
                <w:szCs w:val="20"/>
              </w:rPr>
              <w:t>-</w:t>
            </w:r>
          </w:p>
        </w:tc>
      </w:tr>
      <w:tr w:rsidR="00A609BA" w:rsidRPr="00315694" w14:paraId="31733319" w14:textId="77777777" w:rsidTr="00F52316">
        <w:tblPrEx>
          <w:jc w:val="left"/>
        </w:tblPrEx>
        <w:tc>
          <w:tcPr>
            <w:cnfStyle w:val="001000000000" w:firstRow="0" w:lastRow="0" w:firstColumn="1" w:lastColumn="0" w:oddVBand="0" w:evenVBand="0" w:oddHBand="0" w:evenHBand="0" w:firstRowFirstColumn="0" w:firstRowLastColumn="0" w:lastRowFirstColumn="0" w:lastRowLastColumn="0"/>
            <w:tcW w:w="715" w:type="dxa"/>
            <w:vMerge/>
            <w:tcBorders>
              <w:top w:val="single" w:sz="4" w:space="0" w:color="0067AB" w:themeColor="accent1"/>
              <w:bottom w:val="single" w:sz="4" w:space="0" w:color="0067AB" w:themeColor="accent1"/>
              <w:right w:val="single" w:sz="4" w:space="0" w:color="0067AB" w:themeColor="accent1"/>
            </w:tcBorders>
            <w:vAlign w:val="center"/>
          </w:tcPr>
          <w:p w14:paraId="5539F2EF" w14:textId="77777777" w:rsidR="00A609BA" w:rsidRPr="00AF154D" w:rsidRDefault="00A609BA" w:rsidP="00A609BA">
            <w:pPr>
              <w:rPr>
                <w:b w:val="0"/>
                <w:sz w:val="20"/>
                <w:szCs w:val="20"/>
              </w:rPr>
            </w:pPr>
          </w:p>
        </w:tc>
        <w:tc>
          <w:tcPr>
            <w:tcW w:w="315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2B29A706" w14:textId="330218D4" w:rsidR="00A609BA" w:rsidRPr="00315694" w:rsidRDefault="00F52316" w:rsidP="00A609B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Single</w:t>
            </w:r>
            <w:r w:rsidR="007B1EA8">
              <w:rPr>
                <w:sz w:val="20"/>
                <w:szCs w:val="20"/>
              </w:rPr>
              <w:t xml:space="preserve"> unit</w:t>
            </w:r>
            <w:r w:rsidR="00A609BA">
              <w:rPr>
                <w:sz w:val="20"/>
                <w:szCs w:val="20"/>
              </w:rPr>
              <w:t xml:space="preserve"> Long Haul, Diesel</w:t>
            </w:r>
          </w:p>
        </w:tc>
        <w:tc>
          <w:tcPr>
            <w:tcW w:w="1146"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77F94FBE" w14:textId="77777777" w:rsidR="00A609BA" w:rsidRPr="00A609BA" w:rsidRDefault="00A609BA" w:rsidP="00A609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5,930</w:t>
            </w:r>
          </w:p>
        </w:tc>
        <w:tc>
          <w:tcPr>
            <w:tcW w:w="114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32751F90" w14:textId="77777777" w:rsidR="00A609BA" w:rsidRPr="00A609BA" w:rsidRDefault="00A609BA" w:rsidP="00A609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8,424</w:t>
            </w:r>
          </w:p>
        </w:tc>
        <w:tc>
          <w:tcPr>
            <w:tcW w:w="114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5248B4BF" w14:textId="77777777" w:rsidR="00A609BA" w:rsidRPr="00A609BA" w:rsidRDefault="00A609BA" w:rsidP="00A609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64</w:t>
            </w:r>
          </w:p>
        </w:tc>
        <w:tc>
          <w:tcPr>
            <w:tcW w:w="114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4A4AF0A2" w14:textId="77777777" w:rsidR="00A609BA" w:rsidRPr="00A609BA" w:rsidRDefault="009B6C93" w:rsidP="00A609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Pr>
                <w:rFonts w:asciiTheme="minorHAnsi" w:hAnsiTheme="minorHAnsi"/>
                <w:color w:val="000000"/>
                <w:sz w:val="20"/>
                <w:szCs w:val="20"/>
              </w:rPr>
              <w:t>-</w:t>
            </w:r>
          </w:p>
        </w:tc>
        <w:tc>
          <w:tcPr>
            <w:tcW w:w="1147" w:type="dxa"/>
            <w:tcBorders>
              <w:top w:val="single" w:sz="4" w:space="0" w:color="0067AB" w:themeColor="accent1"/>
              <w:left w:val="single" w:sz="4" w:space="0" w:color="0067AB" w:themeColor="accent1"/>
              <w:bottom w:val="single" w:sz="4" w:space="0" w:color="0067AB" w:themeColor="accent1"/>
            </w:tcBorders>
            <w:vAlign w:val="center"/>
          </w:tcPr>
          <w:p w14:paraId="37FE4A3F" w14:textId="77777777" w:rsidR="00A609BA" w:rsidRPr="00A609BA" w:rsidRDefault="009B6C93" w:rsidP="00A609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Pr>
                <w:rFonts w:asciiTheme="minorHAnsi" w:hAnsiTheme="minorHAnsi"/>
                <w:color w:val="000000"/>
                <w:sz w:val="20"/>
                <w:szCs w:val="20"/>
              </w:rPr>
              <w:t>-</w:t>
            </w:r>
          </w:p>
        </w:tc>
      </w:tr>
      <w:tr w:rsidR="00A609BA" w:rsidRPr="00315694" w14:paraId="4CFF8C1B" w14:textId="77777777" w:rsidTr="00F52316">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right w:val="single" w:sz="4" w:space="0" w:color="0067AB" w:themeColor="accent1"/>
            </w:tcBorders>
            <w:vAlign w:val="center"/>
          </w:tcPr>
          <w:p w14:paraId="2B7C0240" w14:textId="77777777" w:rsidR="00A609BA" w:rsidRDefault="00A609BA" w:rsidP="00A609BA">
            <w:pPr>
              <w:rPr>
                <w:b w:val="0"/>
                <w:sz w:val="20"/>
                <w:szCs w:val="20"/>
              </w:rPr>
            </w:pPr>
          </w:p>
        </w:tc>
        <w:tc>
          <w:tcPr>
            <w:tcW w:w="3150" w:type="dxa"/>
            <w:tcBorders>
              <w:left w:val="single" w:sz="4" w:space="0" w:color="0067AB" w:themeColor="accent1"/>
              <w:right w:val="single" w:sz="4" w:space="0" w:color="0067AB" w:themeColor="accent1"/>
            </w:tcBorders>
          </w:tcPr>
          <w:p w14:paraId="4F6F259E" w14:textId="727F4E76" w:rsidR="00A609BA" w:rsidRPr="00315694" w:rsidRDefault="00F52316" w:rsidP="00A609B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Combination</w:t>
            </w:r>
            <w:r w:rsidR="007B1EA8">
              <w:rPr>
                <w:sz w:val="20"/>
                <w:szCs w:val="20"/>
              </w:rPr>
              <w:t xml:space="preserve"> unit</w:t>
            </w:r>
            <w:r w:rsidR="00A609BA">
              <w:rPr>
                <w:sz w:val="20"/>
                <w:szCs w:val="20"/>
              </w:rPr>
              <w:t xml:space="preserve"> Short Haul, Diesel</w:t>
            </w:r>
          </w:p>
        </w:tc>
        <w:tc>
          <w:tcPr>
            <w:tcW w:w="1146" w:type="dxa"/>
            <w:tcBorders>
              <w:left w:val="single" w:sz="4" w:space="0" w:color="0067AB" w:themeColor="accent1"/>
              <w:right w:val="single" w:sz="4" w:space="0" w:color="0067AB" w:themeColor="accent1"/>
            </w:tcBorders>
            <w:vAlign w:val="center"/>
          </w:tcPr>
          <w:p w14:paraId="76030C77" w14:textId="77777777" w:rsidR="00A609BA" w:rsidRPr="00A609BA" w:rsidRDefault="00A609BA" w:rsidP="00A609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28,018</w:t>
            </w:r>
          </w:p>
        </w:tc>
        <w:tc>
          <w:tcPr>
            <w:tcW w:w="1147" w:type="dxa"/>
            <w:tcBorders>
              <w:left w:val="single" w:sz="4" w:space="0" w:color="0067AB" w:themeColor="accent1"/>
              <w:right w:val="single" w:sz="4" w:space="0" w:color="0067AB" w:themeColor="accent1"/>
            </w:tcBorders>
            <w:vAlign w:val="center"/>
          </w:tcPr>
          <w:p w14:paraId="6E022AE9" w14:textId="77777777" w:rsidR="00A609BA" w:rsidRPr="00A609BA" w:rsidRDefault="00A609BA" w:rsidP="00A609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39,127</w:t>
            </w:r>
          </w:p>
        </w:tc>
        <w:tc>
          <w:tcPr>
            <w:tcW w:w="1147" w:type="dxa"/>
            <w:tcBorders>
              <w:left w:val="single" w:sz="4" w:space="0" w:color="0067AB" w:themeColor="accent1"/>
              <w:right w:val="single" w:sz="4" w:space="0" w:color="0067AB" w:themeColor="accent1"/>
            </w:tcBorders>
            <w:vAlign w:val="center"/>
          </w:tcPr>
          <w:p w14:paraId="64352C3F" w14:textId="77777777" w:rsidR="00A609BA" w:rsidRPr="00A609BA" w:rsidRDefault="00A609BA" w:rsidP="00A609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321</w:t>
            </w:r>
          </w:p>
        </w:tc>
        <w:tc>
          <w:tcPr>
            <w:tcW w:w="1147" w:type="dxa"/>
            <w:tcBorders>
              <w:left w:val="single" w:sz="4" w:space="0" w:color="0067AB" w:themeColor="accent1"/>
              <w:right w:val="single" w:sz="4" w:space="0" w:color="0067AB" w:themeColor="accent1"/>
            </w:tcBorders>
            <w:vAlign w:val="center"/>
          </w:tcPr>
          <w:p w14:paraId="66EF539D" w14:textId="77777777" w:rsidR="00A609BA" w:rsidRPr="00A609BA" w:rsidRDefault="00A609BA" w:rsidP="00A609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1,000</w:t>
            </w:r>
          </w:p>
        </w:tc>
        <w:tc>
          <w:tcPr>
            <w:tcW w:w="1147" w:type="dxa"/>
            <w:tcBorders>
              <w:left w:val="single" w:sz="4" w:space="0" w:color="0067AB" w:themeColor="accent1"/>
            </w:tcBorders>
            <w:vAlign w:val="center"/>
          </w:tcPr>
          <w:p w14:paraId="06678900" w14:textId="77777777" w:rsidR="00A609BA" w:rsidRPr="00A609BA" w:rsidRDefault="00A609BA" w:rsidP="00A609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4,930</w:t>
            </w:r>
          </w:p>
        </w:tc>
      </w:tr>
      <w:tr w:rsidR="00A609BA" w:rsidRPr="00315694" w14:paraId="20AB3578" w14:textId="77777777" w:rsidTr="00F52316">
        <w:tblPrEx>
          <w:jc w:val="left"/>
        </w:tblPrEx>
        <w:tc>
          <w:tcPr>
            <w:cnfStyle w:val="001000000000" w:firstRow="0" w:lastRow="0" w:firstColumn="1" w:lastColumn="0" w:oddVBand="0" w:evenVBand="0" w:oddHBand="0" w:evenHBand="0" w:firstRowFirstColumn="0" w:firstRowLastColumn="0" w:lastRowFirstColumn="0" w:lastRowLastColumn="0"/>
            <w:tcW w:w="715" w:type="dxa"/>
            <w:vMerge/>
            <w:tcBorders>
              <w:top w:val="single" w:sz="4" w:space="0" w:color="0067AB" w:themeColor="accent1"/>
              <w:bottom w:val="single" w:sz="4" w:space="0" w:color="0067AB" w:themeColor="accent1"/>
              <w:right w:val="single" w:sz="4" w:space="0" w:color="0067AB" w:themeColor="accent1"/>
            </w:tcBorders>
            <w:vAlign w:val="center"/>
          </w:tcPr>
          <w:p w14:paraId="02AED01D" w14:textId="77777777" w:rsidR="00A609BA" w:rsidRDefault="00A609BA" w:rsidP="00A609BA">
            <w:pPr>
              <w:rPr>
                <w:b w:val="0"/>
                <w:sz w:val="20"/>
                <w:szCs w:val="20"/>
              </w:rPr>
            </w:pPr>
          </w:p>
        </w:tc>
        <w:tc>
          <w:tcPr>
            <w:tcW w:w="315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07729605" w14:textId="18F1EFB8" w:rsidR="00A609BA" w:rsidRPr="00315694" w:rsidRDefault="00F52316" w:rsidP="00A609B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Combination</w:t>
            </w:r>
            <w:r w:rsidR="007B1EA8">
              <w:rPr>
                <w:sz w:val="20"/>
                <w:szCs w:val="20"/>
              </w:rPr>
              <w:t xml:space="preserve"> unit</w:t>
            </w:r>
            <w:r w:rsidR="00A609BA">
              <w:rPr>
                <w:sz w:val="20"/>
                <w:szCs w:val="20"/>
              </w:rPr>
              <w:t xml:space="preserve"> Long Haul, Diesel</w:t>
            </w:r>
          </w:p>
        </w:tc>
        <w:tc>
          <w:tcPr>
            <w:tcW w:w="1146"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51F1FB1C" w14:textId="77777777" w:rsidR="00A609BA" w:rsidRPr="00A609BA" w:rsidRDefault="00A609BA" w:rsidP="00A609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33,592</w:t>
            </w:r>
          </w:p>
        </w:tc>
        <w:tc>
          <w:tcPr>
            <w:tcW w:w="114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4B3B41F8" w14:textId="77777777" w:rsidR="00A609BA" w:rsidRPr="00A609BA" w:rsidRDefault="00A609BA" w:rsidP="00A609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46,861</w:t>
            </w:r>
          </w:p>
        </w:tc>
        <w:tc>
          <w:tcPr>
            <w:tcW w:w="114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3B5EABB9" w14:textId="77777777" w:rsidR="00A609BA" w:rsidRPr="00A609BA" w:rsidRDefault="00A609BA" w:rsidP="00A609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387</w:t>
            </w:r>
          </w:p>
        </w:tc>
        <w:tc>
          <w:tcPr>
            <w:tcW w:w="114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39EEAFE0" w14:textId="77777777" w:rsidR="00A609BA" w:rsidRPr="00A609BA" w:rsidRDefault="00A609BA" w:rsidP="00A609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750</w:t>
            </w:r>
          </w:p>
        </w:tc>
        <w:tc>
          <w:tcPr>
            <w:tcW w:w="1147" w:type="dxa"/>
            <w:tcBorders>
              <w:top w:val="single" w:sz="4" w:space="0" w:color="0067AB" w:themeColor="accent1"/>
              <w:left w:val="single" w:sz="4" w:space="0" w:color="0067AB" w:themeColor="accent1"/>
              <w:bottom w:val="single" w:sz="4" w:space="0" w:color="0067AB" w:themeColor="accent1"/>
            </w:tcBorders>
            <w:vAlign w:val="center"/>
          </w:tcPr>
          <w:p w14:paraId="14DDEBC9" w14:textId="77777777" w:rsidR="00A609BA" w:rsidRPr="00A609BA" w:rsidRDefault="009B6C93" w:rsidP="00A609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Pr>
                <w:rFonts w:asciiTheme="minorHAnsi" w:hAnsiTheme="minorHAnsi"/>
                <w:color w:val="000000"/>
                <w:sz w:val="20"/>
                <w:szCs w:val="20"/>
              </w:rPr>
              <w:t>-</w:t>
            </w:r>
          </w:p>
        </w:tc>
      </w:tr>
      <w:tr w:rsidR="009B6C93" w:rsidRPr="00315694" w14:paraId="0CDAA095" w14:textId="77777777" w:rsidTr="00F52316">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val="restart"/>
            <w:tcBorders>
              <w:right w:val="single" w:sz="4" w:space="0" w:color="0067AB" w:themeColor="accent1"/>
            </w:tcBorders>
            <w:vAlign w:val="center"/>
          </w:tcPr>
          <w:p w14:paraId="632EFFF4" w14:textId="77777777" w:rsidR="009B6C93" w:rsidRPr="00AF154D" w:rsidRDefault="009B6C93" w:rsidP="009B6C93">
            <w:pPr>
              <w:keepNext/>
              <w:rPr>
                <w:b w:val="0"/>
                <w:sz w:val="20"/>
                <w:szCs w:val="20"/>
              </w:rPr>
            </w:pPr>
            <w:r>
              <w:rPr>
                <w:b w:val="0"/>
                <w:sz w:val="20"/>
                <w:szCs w:val="20"/>
              </w:rPr>
              <w:t>2025</w:t>
            </w:r>
          </w:p>
        </w:tc>
        <w:tc>
          <w:tcPr>
            <w:tcW w:w="3150" w:type="dxa"/>
            <w:tcBorders>
              <w:left w:val="single" w:sz="4" w:space="0" w:color="0067AB" w:themeColor="accent1"/>
              <w:right w:val="single" w:sz="4" w:space="0" w:color="0067AB" w:themeColor="accent1"/>
            </w:tcBorders>
          </w:tcPr>
          <w:p w14:paraId="1D1E18CC" w14:textId="14861A39" w:rsidR="009B6C93" w:rsidRPr="00315694" w:rsidRDefault="00F52316" w:rsidP="009B6C93">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Single</w:t>
            </w:r>
            <w:r w:rsidR="007B1EA8">
              <w:rPr>
                <w:sz w:val="20"/>
                <w:szCs w:val="20"/>
              </w:rPr>
              <w:t xml:space="preserve"> unit</w:t>
            </w:r>
            <w:r w:rsidR="009B6C93">
              <w:rPr>
                <w:sz w:val="20"/>
                <w:szCs w:val="20"/>
              </w:rPr>
              <w:t xml:space="preserve"> Short Haul, Gas</w:t>
            </w:r>
          </w:p>
        </w:tc>
        <w:tc>
          <w:tcPr>
            <w:tcW w:w="1146" w:type="dxa"/>
            <w:tcBorders>
              <w:left w:val="single" w:sz="4" w:space="0" w:color="0067AB" w:themeColor="accent1"/>
              <w:right w:val="single" w:sz="4" w:space="0" w:color="0067AB" w:themeColor="accent1"/>
            </w:tcBorders>
            <w:vAlign w:val="center"/>
          </w:tcPr>
          <w:p w14:paraId="26AA05D4" w14:textId="77777777" w:rsidR="009B6C93" w:rsidRPr="00A609BA" w:rsidRDefault="009B6C93" w:rsidP="009B6C93">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54,469</w:t>
            </w:r>
          </w:p>
        </w:tc>
        <w:tc>
          <w:tcPr>
            <w:tcW w:w="1147" w:type="dxa"/>
            <w:tcBorders>
              <w:left w:val="single" w:sz="4" w:space="0" w:color="0067AB" w:themeColor="accent1"/>
              <w:right w:val="single" w:sz="4" w:space="0" w:color="0067AB" w:themeColor="accent1"/>
            </w:tcBorders>
            <w:vAlign w:val="center"/>
          </w:tcPr>
          <w:p w14:paraId="63AE66F0" w14:textId="77777777" w:rsidR="009B6C93" w:rsidRPr="00A609BA" w:rsidRDefault="009B6C93" w:rsidP="009B6C93">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77,385</w:t>
            </w:r>
          </w:p>
        </w:tc>
        <w:tc>
          <w:tcPr>
            <w:tcW w:w="1147" w:type="dxa"/>
            <w:tcBorders>
              <w:left w:val="single" w:sz="4" w:space="0" w:color="0067AB" w:themeColor="accent1"/>
              <w:right w:val="single" w:sz="4" w:space="0" w:color="0067AB" w:themeColor="accent1"/>
            </w:tcBorders>
            <w:vAlign w:val="center"/>
          </w:tcPr>
          <w:p w14:paraId="34AFE59F" w14:textId="77777777" w:rsidR="009B6C93" w:rsidRPr="00A609BA" w:rsidRDefault="009B6C93" w:rsidP="009B6C93">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585</w:t>
            </w:r>
          </w:p>
        </w:tc>
        <w:tc>
          <w:tcPr>
            <w:tcW w:w="1147" w:type="dxa"/>
            <w:tcBorders>
              <w:left w:val="single" w:sz="4" w:space="0" w:color="0067AB" w:themeColor="accent1"/>
              <w:right w:val="single" w:sz="4" w:space="0" w:color="0067AB" w:themeColor="accent1"/>
            </w:tcBorders>
            <w:vAlign w:val="center"/>
          </w:tcPr>
          <w:p w14:paraId="5B08D5D5" w14:textId="77777777" w:rsidR="009B6C93" w:rsidRPr="00A609BA" w:rsidRDefault="009B6C93" w:rsidP="009B6C93">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w:t>
            </w:r>
          </w:p>
        </w:tc>
        <w:tc>
          <w:tcPr>
            <w:tcW w:w="1147" w:type="dxa"/>
            <w:tcBorders>
              <w:left w:val="single" w:sz="4" w:space="0" w:color="0067AB" w:themeColor="accent1"/>
            </w:tcBorders>
            <w:vAlign w:val="center"/>
          </w:tcPr>
          <w:p w14:paraId="7D003ABF" w14:textId="77777777" w:rsidR="009B6C93" w:rsidRPr="00A609BA" w:rsidRDefault="009B6C93" w:rsidP="009B6C93">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Pr>
                <w:rFonts w:asciiTheme="minorHAnsi" w:hAnsiTheme="minorHAnsi"/>
                <w:color w:val="000000"/>
                <w:sz w:val="20"/>
                <w:szCs w:val="20"/>
              </w:rPr>
              <w:t>-</w:t>
            </w:r>
          </w:p>
        </w:tc>
      </w:tr>
      <w:tr w:rsidR="009B6C93" w:rsidRPr="00315694" w14:paraId="758B1847" w14:textId="77777777" w:rsidTr="00F52316">
        <w:tblPrEx>
          <w:jc w:val="left"/>
        </w:tblPrEx>
        <w:tc>
          <w:tcPr>
            <w:cnfStyle w:val="001000000000" w:firstRow="0" w:lastRow="0" w:firstColumn="1" w:lastColumn="0" w:oddVBand="0" w:evenVBand="0" w:oddHBand="0" w:evenHBand="0" w:firstRowFirstColumn="0" w:firstRowLastColumn="0" w:lastRowFirstColumn="0" w:lastRowLastColumn="0"/>
            <w:tcW w:w="715" w:type="dxa"/>
            <w:vMerge/>
            <w:tcBorders>
              <w:top w:val="single" w:sz="4" w:space="0" w:color="0067AB" w:themeColor="accent1"/>
              <w:bottom w:val="single" w:sz="4" w:space="0" w:color="0067AB" w:themeColor="accent1"/>
              <w:right w:val="single" w:sz="4" w:space="0" w:color="0067AB" w:themeColor="accent1"/>
            </w:tcBorders>
            <w:vAlign w:val="center"/>
          </w:tcPr>
          <w:p w14:paraId="3A4F3CE3" w14:textId="77777777" w:rsidR="009B6C93" w:rsidRPr="00AF154D" w:rsidRDefault="009B6C93" w:rsidP="009B6C93">
            <w:pPr>
              <w:rPr>
                <w:b w:val="0"/>
                <w:sz w:val="20"/>
                <w:szCs w:val="20"/>
              </w:rPr>
            </w:pPr>
          </w:p>
        </w:tc>
        <w:tc>
          <w:tcPr>
            <w:tcW w:w="315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0CDF9241" w14:textId="77A8AEE8" w:rsidR="009B6C93" w:rsidRPr="00315694" w:rsidRDefault="00F52316" w:rsidP="009B6C9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Single</w:t>
            </w:r>
            <w:r w:rsidR="007B1EA8">
              <w:rPr>
                <w:sz w:val="20"/>
                <w:szCs w:val="20"/>
              </w:rPr>
              <w:t xml:space="preserve"> unit</w:t>
            </w:r>
            <w:r w:rsidR="009B6C93">
              <w:rPr>
                <w:sz w:val="20"/>
                <w:szCs w:val="20"/>
              </w:rPr>
              <w:t xml:space="preserve"> Short Haul, Diesel</w:t>
            </w:r>
          </w:p>
        </w:tc>
        <w:tc>
          <w:tcPr>
            <w:tcW w:w="1146"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77FA8D85" w14:textId="77777777" w:rsidR="009B6C93" w:rsidRPr="00A609BA" w:rsidRDefault="009B6C93" w:rsidP="009B6C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117,181</w:t>
            </w:r>
          </w:p>
        </w:tc>
        <w:tc>
          <w:tcPr>
            <w:tcW w:w="114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62141336" w14:textId="77777777" w:rsidR="009B6C93" w:rsidRPr="00A609BA" w:rsidRDefault="009B6C93" w:rsidP="009B6C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166,481</w:t>
            </w:r>
          </w:p>
        </w:tc>
        <w:tc>
          <w:tcPr>
            <w:tcW w:w="114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3731EE09" w14:textId="77777777" w:rsidR="009B6C93" w:rsidRPr="00A609BA" w:rsidRDefault="009B6C93" w:rsidP="009B6C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1,259</w:t>
            </w:r>
          </w:p>
        </w:tc>
        <w:tc>
          <w:tcPr>
            <w:tcW w:w="114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1185ACEF" w14:textId="77777777" w:rsidR="009B6C93" w:rsidRPr="00A609BA" w:rsidRDefault="009B6C93" w:rsidP="009B6C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w:t>
            </w:r>
          </w:p>
        </w:tc>
        <w:tc>
          <w:tcPr>
            <w:tcW w:w="1147" w:type="dxa"/>
            <w:tcBorders>
              <w:top w:val="single" w:sz="4" w:space="0" w:color="0067AB" w:themeColor="accent1"/>
              <w:left w:val="single" w:sz="4" w:space="0" w:color="0067AB" w:themeColor="accent1"/>
              <w:bottom w:val="single" w:sz="4" w:space="0" w:color="0067AB" w:themeColor="accent1"/>
            </w:tcBorders>
            <w:vAlign w:val="center"/>
          </w:tcPr>
          <w:p w14:paraId="5048023F" w14:textId="77777777" w:rsidR="009B6C93" w:rsidRPr="00A609BA" w:rsidRDefault="009B6C93" w:rsidP="009B6C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Pr>
                <w:rFonts w:asciiTheme="minorHAnsi" w:hAnsiTheme="minorHAnsi"/>
                <w:color w:val="000000"/>
                <w:sz w:val="20"/>
                <w:szCs w:val="20"/>
              </w:rPr>
              <w:t>-</w:t>
            </w:r>
          </w:p>
        </w:tc>
      </w:tr>
      <w:tr w:rsidR="009B6C93" w:rsidRPr="00315694" w14:paraId="6B50F9B1" w14:textId="77777777" w:rsidTr="00F52316">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right w:val="single" w:sz="4" w:space="0" w:color="0067AB" w:themeColor="accent1"/>
            </w:tcBorders>
            <w:vAlign w:val="center"/>
          </w:tcPr>
          <w:p w14:paraId="742F637C" w14:textId="77777777" w:rsidR="009B6C93" w:rsidRPr="00AF154D" w:rsidRDefault="009B6C93" w:rsidP="009B6C93">
            <w:pPr>
              <w:rPr>
                <w:b w:val="0"/>
                <w:sz w:val="20"/>
                <w:szCs w:val="20"/>
              </w:rPr>
            </w:pPr>
          </w:p>
        </w:tc>
        <w:tc>
          <w:tcPr>
            <w:tcW w:w="3150" w:type="dxa"/>
            <w:tcBorders>
              <w:left w:val="single" w:sz="4" w:space="0" w:color="0067AB" w:themeColor="accent1"/>
              <w:right w:val="single" w:sz="4" w:space="0" w:color="0067AB" w:themeColor="accent1"/>
            </w:tcBorders>
          </w:tcPr>
          <w:p w14:paraId="59088A73" w14:textId="1D4AEEF2" w:rsidR="009B6C93" w:rsidRPr="00315694" w:rsidRDefault="00F52316" w:rsidP="009B6C9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Single</w:t>
            </w:r>
            <w:r w:rsidR="007B1EA8">
              <w:rPr>
                <w:sz w:val="20"/>
                <w:szCs w:val="20"/>
              </w:rPr>
              <w:t xml:space="preserve"> unit</w:t>
            </w:r>
            <w:r w:rsidR="009B6C93">
              <w:rPr>
                <w:sz w:val="20"/>
                <w:szCs w:val="20"/>
              </w:rPr>
              <w:t xml:space="preserve"> Long Haul, Diesel</w:t>
            </w:r>
          </w:p>
        </w:tc>
        <w:tc>
          <w:tcPr>
            <w:tcW w:w="1146" w:type="dxa"/>
            <w:tcBorders>
              <w:left w:val="single" w:sz="4" w:space="0" w:color="0067AB" w:themeColor="accent1"/>
              <w:right w:val="single" w:sz="4" w:space="0" w:color="0067AB" w:themeColor="accent1"/>
            </w:tcBorders>
            <w:vAlign w:val="center"/>
          </w:tcPr>
          <w:p w14:paraId="37B4481A" w14:textId="77777777" w:rsidR="009B6C93" w:rsidRPr="00A609BA" w:rsidRDefault="009B6C93" w:rsidP="009B6C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6,748</w:t>
            </w:r>
          </w:p>
        </w:tc>
        <w:tc>
          <w:tcPr>
            <w:tcW w:w="1147" w:type="dxa"/>
            <w:tcBorders>
              <w:left w:val="single" w:sz="4" w:space="0" w:color="0067AB" w:themeColor="accent1"/>
              <w:right w:val="single" w:sz="4" w:space="0" w:color="0067AB" w:themeColor="accent1"/>
            </w:tcBorders>
            <w:vAlign w:val="center"/>
          </w:tcPr>
          <w:p w14:paraId="1A3EDD9F" w14:textId="77777777" w:rsidR="009B6C93" w:rsidRPr="00A609BA" w:rsidRDefault="009B6C93" w:rsidP="009B6C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9,585</w:t>
            </w:r>
          </w:p>
        </w:tc>
        <w:tc>
          <w:tcPr>
            <w:tcW w:w="1147" w:type="dxa"/>
            <w:tcBorders>
              <w:left w:val="single" w:sz="4" w:space="0" w:color="0067AB" w:themeColor="accent1"/>
              <w:right w:val="single" w:sz="4" w:space="0" w:color="0067AB" w:themeColor="accent1"/>
            </w:tcBorders>
            <w:vAlign w:val="center"/>
          </w:tcPr>
          <w:p w14:paraId="78C8DDDF" w14:textId="77777777" w:rsidR="009B6C93" w:rsidRPr="00A609BA" w:rsidRDefault="009B6C93" w:rsidP="009B6C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73</w:t>
            </w:r>
          </w:p>
        </w:tc>
        <w:tc>
          <w:tcPr>
            <w:tcW w:w="1147" w:type="dxa"/>
            <w:tcBorders>
              <w:left w:val="single" w:sz="4" w:space="0" w:color="0067AB" w:themeColor="accent1"/>
              <w:right w:val="single" w:sz="4" w:space="0" w:color="0067AB" w:themeColor="accent1"/>
            </w:tcBorders>
            <w:vAlign w:val="center"/>
          </w:tcPr>
          <w:p w14:paraId="4CF4AE4B" w14:textId="77777777" w:rsidR="009B6C93" w:rsidRPr="00A609BA" w:rsidRDefault="009B6C93" w:rsidP="009B6C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w:t>
            </w:r>
          </w:p>
        </w:tc>
        <w:tc>
          <w:tcPr>
            <w:tcW w:w="1147" w:type="dxa"/>
            <w:tcBorders>
              <w:left w:val="single" w:sz="4" w:space="0" w:color="0067AB" w:themeColor="accent1"/>
            </w:tcBorders>
            <w:vAlign w:val="center"/>
          </w:tcPr>
          <w:p w14:paraId="61CF5DDE" w14:textId="77777777" w:rsidR="009B6C93" w:rsidRPr="00A609BA" w:rsidRDefault="009B6C93" w:rsidP="009B6C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Pr>
                <w:rFonts w:asciiTheme="minorHAnsi" w:hAnsiTheme="minorHAnsi"/>
                <w:color w:val="000000"/>
                <w:sz w:val="20"/>
                <w:szCs w:val="20"/>
              </w:rPr>
              <w:t>-</w:t>
            </w:r>
          </w:p>
        </w:tc>
      </w:tr>
      <w:tr w:rsidR="00A609BA" w:rsidRPr="00315694" w14:paraId="6B47C302" w14:textId="77777777" w:rsidTr="00F52316">
        <w:tblPrEx>
          <w:jc w:val="left"/>
        </w:tblPrEx>
        <w:tc>
          <w:tcPr>
            <w:cnfStyle w:val="001000000000" w:firstRow="0" w:lastRow="0" w:firstColumn="1" w:lastColumn="0" w:oddVBand="0" w:evenVBand="0" w:oddHBand="0" w:evenHBand="0" w:firstRowFirstColumn="0" w:firstRowLastColumn="0" w:lastRowFirstColumn="0" w:lastRowLastColumn="0"/>
            <w:tcW w:w="715" w:type="dxa"/>
            <w:vMerge/>
            <w:tcBorders>
              <w:top w:val="single" w:sz="4" w:space="0" w:color="0067AB" w:themeColor="accent1"/>
              <w:bottom w:val="single" w:sz="4" w:space="0" w:color="0067AB" w:themeColor="accent1"/>
              <w:right w:val="single" w:sz="4" w:space="0" w:color="0067AB" w:themeColor="accent1"/>
            </w:tcBorders>
            <w:vAlign w:val="center"/>
          </w:tcPr>
          <w:p w14:paraId="1C87F8A9" w14:textId="77777777" w:rsidR="00A609BA" w:rsidRDefault="00A609BA" w:rsidP="00A609BA">
            <w:pPr>
              <w:rPr>
                <w:b w:val="0"/>
                <w:sz w:val="20"/>
                <w:szCs w:val="20"/>
              </w:rPr>
            </w:pPr>
          </w:p>
        </w:tc>
        <w:tc>
          <w:tcPr>
            <w:tcW w:w="315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275B1A87" w14:textId="5EBD8CB5" w:rsidR="00A609BA" w:rsidRPr="00315694" w:rsidRDefault="00F52316" w:rsidP="00A609B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Combination</w:t>
            </w:r>
            <w:r w:rsidR="007B1EA8">
              <w:rPr>
                <w:sz w:val="20"/>
                <w:szCs w:val="20"/>
              </w:rPr>
              <w:t xml:space="preserve"> unit</w:t>
            </w:r>
            <w:r w:rsidR="00A609BA">
              <w:rPr>
                <w:sz w:val="20"/>
                <w:szCs w:val="20"/>
              </w:rPr>
              <w:t xml:space="preserve"> Short Haul, Diesel</w:t>
            </w:r>
          </w:p>
        </w:tc>
        <w:tc>
          <w:tcPr>
            <w:tcW w:w="1146"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6D156A2F" w14:textId="77777777" w:rsidR="00A609BA" w:rsidRPr="00A609BA" w:rsidRDefault="00A609BA" w:rsidP="00A609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29,442</w:t>
            </w:r>
          </w:p>
        </w:tc>
        <w:tc>
          <w:tcPr>
            <w:tcW w:w="114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69976F4E" w14:textId="77777777" w:rsidR="00A609BA" w:rsidRPr="00A609BA" w:rsidRDefault="00A609BA" w:rsidP="00A609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41,116</w:t>
            </w:r>
          </w:p>
        </w:tc>
        <w:tc>
          <w:tcPr>
            <w:tcW w:w="114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7195E244" w14:textId="77777777" w:rsidR="00A609BA" w:rsidRPr="00A609BA" w:rsidRDefault="00A609BA" w:rsidP="00A609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337</w:t>
            </w:r>
          </w:p>
        </w:tc>
        <w:tc>
          <w:tcPr>
            <w:tcW w:w="114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1E16503A" w14:textId="77777777" w:rsidR="00A609BA" w:rsidRPr="00A609BA" w:rsidRDefault="00A609BA" w:rsidP="00A609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1,000</w:t>
            </w:r>
          </w:p>
        </w:tc>
        <w:tc>
          <w:tcPr>
            <w:tcW w:w="1147" w:type="dxa"/>
            <w:tcBorders>
              <w:top w:val="single" w:sz="4" w:space="0" w:color="0067AB" w:themeColor="accent1"/>
              <w:left w:val="single" w:sz="4" w:space="0" w:color="0067AB" w:themeColor="accent1"/>
              <w:bottom w:val="single" w:sz="4" w:space="0" w:color="0067AB" w:themeColor="accent1"/>
            </w:tcBorders>
            <w:vAlign w:val="center"/>
          </w:tcPr>
          <w:p w14:paraId="59108EEB" w14:textId="77777777" w:rsidR="00A609BA" w:rsidRPr="00A609BA" w:rsidRDefault="00A609BA" w:rsidP="00A609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5,225</w:t>
            </w:r>
          </w:p>
        </w:tc>
      </w:tr>
      <w:tr w:rsidR="00A609BA" w:rsidRPr="00315694" w14:paraId="50AC4489" w14:textId="77777777" w:rsidTr="00F52316">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right w:val="single" w:sz="4" w:space="0" w:color="0067AB" w:themeColor="accent1"/>
            </w:tcBorders>
            <w:vAlign w:val="center"/>
          </w:tcPr>
          <w:p w14:paraId="3B11044F" w14:textId="77777777" w:rsidR="00A609BA" w:rsidRDefault="00A609BA" w:rsidP="00A609BA">
            <w:pPr>
              <w:rPr>
                <w:b w:val="0"/>
                <w:sz w:val="20"/>
                <w:szCs w:val="20"/>
              </w:rPr>
            </w:pPr>
          </w:p>
        </w:tc>
        <w:tc>
          <w:tcPr>
            <w:tcW w:w="3150" w:type="dxa"/>
            <w:tcBorders>
              <w:left w:val="single" w:sz="4" w:space="0" w:color="0067AB" w:themeColor="accent1"/>
              <w:right w:val="single" w:sz="4" w:space="0" w:color="0067AB" w:themeColor="accent1"/>
            </w:tcBorders>
          </w:tcPr>
          <w:p w14:paraId="16DF29C9" w14:textId="28CBF0F2" w:rsidR="00A609BA" w:rsidRPr="00315694" w:rsidRDefault="00F52316" w:rsidP="00A609B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Combination</w:t>
            </w:r>
            <w:r w:rsidR="007B1EA8">
              <w:rPr>
                <w:sz w:val="20"/>
                <w:szCs w:val="20"/>
              </w:rPr>
              <w:t xml:space="preserve"> unit</w:t>
            </w:r>
            <w:r w:rsidR="00A609BA">
              <w:rPr>
                <w:sz w:val="20"/>
                <w:szCs w:val="20"/>
              </w:rPr>
              <w:t xml:space="preserve"> Long Haul, Diesel</w:t>
            </w:r>
          </w:p>
        </w:tc>
        <w:tc>
          <w:tcPr>
            <w:tcW w:w="1146" w:type="dxa"/>
            <w:tcBorders>
              <w:left w:val="single" w:sz="4" w:space="0" w:color="0067AB" w:themeColor="accent1"/>
              <w:right w:val="single" w:sz="4" w:space="0" w:color="0067AB" w:themeColor="accent1"/>
            </w:tcBorders>
            <w:vAlign w:val="center"/>
          </w:tcPr>
          <w:p w14:paraId="0A52CAC1" w14:textId="77777777" w:rsidR="00A609BA" w:rsidRPr="00A609BA" w:rsidRDefault="00A609BA" w:rsidP="00A609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38,120</w:t>
            </w:r>
          </w:p>
        </w:tc>
        <w:tc>
          <w:tcPr>
            <w:tcW w:w="1147" w:type="dxa"/>
            <w:tcBorders>
              <w:left w:val="single" w:sz="4" w:space="0" w:color="0067AB" w:themeColor="accent1"/>
              <w:right w:val="single" w:sz="4" w:space="0" w:color="0067AB" w:themeColor="accent1"/>
            </w:tcBorders>
            <w:vAlign w:val="center"/>
          </w:tcPr>
          <w:p w14:paraId="25391393" w14:textId="77777777" w:rsidR="00A609BA" w:rsidRPr="00A609BA" w:rsidRDefault="00A609BA" w:rsidP="00A609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53,177</w:t>
            </w:r>
          </w:p>
        </w:tc>
        <w:tc>
          <w:tcPr>
            <w:tcW w:w="1147" w:type="dxa"/>
            <w:tcBorders>
              <w:left w:val="single" w:sz="4" w:space="0" w:color="0067AB" w:themeColor="accent1"/>
              <w:right w:val="single" w:sz="4" w:space="0" w:color="0067AB" w:themeColor="accent1"/>
            </w:tcBorders>
            <w:vAlign w:val="center"/>
          </w:tcPr>
          <w:p w14:paraId="19B0B07E" w14:textId="77777777" w:rsidR="00A609BA" w:rsidRPr="00A609BA" w:rsidRDefault="00A609BA" w:rsidP="00A609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439</w:t>
            </w:r>
          </w:p>
        </w:tc>
        <w:tc>
          <w:tcPr>
            <w:tcW w:w="1147" w:type="dxa"/>
            <w:tcBorders>
              <w:left w:val="single" w:sz="4" w:space="0" w:color="0067AB" w:themeColor="accent1"/>
              <w:right w:val="single" w:sz="4" w:space="0" w:color="0067AB" w:themeColor="accent1"/>
            </w:tcBorders>
            <w:vAlign w:val="center"/>
          </w:tcPr>
          <w:p w14:paraId="2A6F8D31" w14:textId="77777777" w:rsidR="00A609BA" w:rsidRPr="00A609BA" w:rsidRDefault="00A609BA" w:rsidP="00A609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750</w:t>
            </w:r>
          </w:p>
        </w:tc>
        <w:tc>
          <w:tcPr>
            <w:tcW w:w="1147" w:type="dxa"/>
            <w:tcBorders>
              <w:left w:val="single" w:sz="4" w:space="0" w:color="0067AB" w:themeColor="accent1"/>
            </w:tcBorders>
            <w:vAlign w:val="center"/>
          </w:tcPr>
          <w:p w14:paraId="14886C37" w14:textId="77777777" w:rsidR="00A609BA" w:rsidRPr="00A609BA" w:rsidRDefault="009B6C93" w:rsidP="00A609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Pr>
                <w:rFonts w:asciiTheme="minorHAnsi" w:hAnsiTheme="minorHAnsi"/>
                <w:color w:val="000000"/>
                <w:sz w:val="20"/>
                <w:szCs w:val="20"/>
              </w:rPr>
              <w:t>-</w:t>
            </w:r>
          </w:p>
        </w:tc>
      </w:tr>
      <w:tr w:rsidR="009B6C93" w:rsidRPr="00315694" w14:paraId="0185CFA6" w14:textId="77777777" w:rsidTr="00F52316">
        <w:tblPrEx>
          <w:jc w:val="left"/>
        </w:tblPrEx>
        <w:tc>
          <w:tcPr>
            <w:cnfStyle w:val="001000000000" w:firstRow="0" w:lastRow="0" w:firstColumn="1" w:lastColumn="0" w:oddVBand="0" w:evenVBand="0" w:oddHBand="0" w:evenHBand="0" w:firstRowFirstColumn="0" w:firstRowLastColumn="0" w:lastRowFirstColumn="0" w:lastRowLastColumn="0"/>
            <w:tcW w:w="715" w:type="dxa"/>
            <w:vMerge w:val="restart"/>
            <w:tcBorders>
              <w:top w:val="single" w:sz="4" w:space="0" w:color="0067AB" w:themeColor="accent1"/>
              <w:bottom w:val="single" w:sz="4" w:space="0" w:color="0067AB" w:themeColor="accent1"/>
              <w:right w:val="single" w:sz="4" w:space="0" w:color="0067AB" w:themeColor="accent1"/>
            </w:tcBorders>
            <w:vAlign w:val="center"/>
          </w:tcPr>
          <w:p w14:paraId="7BCE0B57" w14:textId="77777777" w:rsidR="009B6C93" w:rsidRPr="00AF154D" w:rsidRDefault="009B6C93" w:rsidP="009B6C93">
            <w:pPr>
              <w:keepNext/>
              <w:rPr>
                <w:b w:val="0"/>
                <w:sz w:val="20"/>
                <w:szCs w:val="20"/>
              </w:rPr>
            </w:pPr>
            <w:r>
              <w:rPr>
                <w:b w:val="0"/>
                <w:sz w:val="20"/>
                <w:szCs w:val="20"/>
              </w:rPr>
              <w:t>2030</w:t>
            </w:r>
          </w:p>
        </w:tc>
        <w:tc>
          <w:tcPr>
            <w:tcW w:w="315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2A960510" w14:textId="32E72AB0" w:rsidR="009B6C93" w:rsidRPr="00315694" w:rsidRDefault="00F52316" w:rsidP="009B6C93">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Single</w:t>
            </w:r>
            <w:r w:rsidR="007B1EA8">
              <w:rPr>
                <w:sz w:val="20"/>
                <w:szCs w:val="20"/>
              </w:rPr>
              <w:t xml:space="preserve"> unit</w:t>
            </w:r>
            <w:r w:rsidR="009B6C93">
              <w:rPr>
                <w:sz w:val="20"/>
                <w:szCs w:val="20"/>
              </w:rPr>
              <w:t xml:space="preserve"> Short Haul, Gas</w:t>
            </w:r>
          </w:p>
        </w:tc>
        <w:tc>
          <w:tcPr>
            <w:tcW w:w="1146"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584D0569" w14:textId="77777777" w:rsidR="009B6C93" w:rsidRPr="00A609BA" w:rsidRDefault="009B6C93" w:rsidP="009B6C93">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57,763</w:t>
            </w:r>
          </w:p>
        </w:tc>
        <w:tc>
          <w:tcPr>
            <w:tcW w:w="114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1DD57BBE" w14:textId="77777777" w:rsidR="009B6C93" w:rsidRPr="00A609BA" w:rsidRDefault="009B6C93" w:rsidP="009B6C93">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82,065</w:t>
            </w:r>
          </w:p>
        </w:tc>
        <w:tc>
          <w:tcPr>
            <w:tcW w:w="114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21F8DF66" w14:textId="77777777" w:rsidR="009B6C93" w:rsidRPr="00A609BA" w:rsidRDefault="009B6C93" w:rsidP="009B6C93">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620</w:t>
            </w:r>
          </w:p>
        </w:tc>
        <w:tc>
          <w:tcPr>
            <w:tcW w:w="114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639F0872" w14:textId="77777777" w:rsidR="009B6C93" w:rsidRPr="00A609BA" w:rsidRDefault="009B6C93" w:rsidP="009B6C93">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w:t>
            </w:r>
          </w:p>
        </w:tc>
        <w:tc>
          <w:tcPr>
            <w:tcW w:w="1147" w:type="dxa"/>
            <w:tcBorders>
              <w:top w:val="single" w:sz="4" w:space="0" w:color="0067AB" w:themeColor="accent1"/>
              <w:left w:val="single" w:sz="4" w:space="0" w:color="0067AB" w:themeColor="accent1"/>
              <w:bottom w:val="single" w:sz="4" w:space="0" w:color="0067AB" w:themeColor="accent1"/>
            </w:tcBorders>
            <w:vAlign w:val="center"/>
          </w:tcPr>
          <w:p w14:paraId="6713E6B0" w14:textId="77777777" w:rsidR="009B6C93" w:rsidRPr="00A609BA" w:rsidRDefault="009B6C93" w:rsidP="009B6C93">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Pr>
                <w:rFonts w:asciiTheme="minorHAnsi" w:hAnsiTheme="minorHAnsi"/>
                <w:color w:val="000000"/>
                <w:sz w:val="20"/>
                <w:szCs w:val="20"/>
              </w:rPr>
              <w:t>-</w:t>
            </w:r>
          </w:p>
        </w:tc>
      </w:tr>
      <w:tr w:rsidR="009B6C93" w:rsidRPr="00315694" w14:paraId="391139C2" w14:textId="77777777" w:rsidTr="00F52316">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right w:val="single" w:sz="4" w:space="0" w:color="0067AB" w:themeColor="accent1"/>
            </w:tcBorders>
            <w:vAlign w:val="center"/>
          </w:tcPr>
          <w:p w14:paraId="057BC164" w14:textId="77777777" w:rsidR="009B6C93" w:rsidRPr="00AF154D" w:rsidRDefault="009B6C93" w:rsidP="009B6C93">
            <w:pPr>
              <w:keepNext/>
              <w:rPr>
                <w:b w:val="0"/>
                <w:sz w:val="20"/>
                <w:szCs w:val="20"/>
              </w:rPr>
            </w:pPr>
          </w:p>
        </w:tc>
        <w:tc>
          <w:tcPr>
            <w:tcW w:w="3150" w:type="dxa"/>
            <w:tcBorders>
              <w:left w:val="single" w:sz="4" w:space="0" w:color="0067AB" w:themeColor="accent1"/>
              <w:right w:val="single" w:sz="4" w:space="0" w:color="0067AB" w:themeColor="accent1"/>
            </w:tcBorders>
          </w:tcPr>
          <w:p w14:paraId="77B6C1A3" w14:textId="695D734F" w:rsidR="009B6C93" w:rsidRPr="00315694" w:rsidRDefault="00F52316" w:rsidP="009B6C93">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Single</w:t>
            </w:r>
            <w:r w:rsidR="007B1EA8">
              <w:rPr>
                <w:sz w:val="20"/>
                <w:szCs w:val="20"/>
              </w:rPr>
              <w:t xml:space="preserve"> unit</w:t>
            </w:r>
            <w:r w:rsidR="009B6C93">
              <w:rPr>
                <w:sz w:val="20"/>
                <w:szCs w:val="20"/>
              </w:rPr>
              <w:t xml:space="preserve"> Short Haul, Diesel</w:t>
            </w:r>
          </w:p>
        </w:tc>
        <w:tc>
          <w:tcPr>
            <w:tcW w:w="1146" w:type="dxa"/>
            <w:tcBorders>
              <w:left w:val="single" w:sz="4" w:space="0" w:color="0067AB" w:themeColor="accent1"/>
              <w:right w:val="single" w:sz="4" w:space="0" w:color="0067AB" w:themeColor="accent1"/>
            </w:tcBorders>
            <w:vAlign w:val="center"/>
          </w:tcPr>
          <w:p w14:paraId="392F8B46" w14:textId="77777777" w:rsidR="009B6C93" w:rsidRPr="00A609BA" w:rsidRDefault="009B6C93" w:rsidP="009B6C93">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123,351</w:t>
            </w:r>
          </w:p>
        </w:tc>
        <w:tc>
          <w:tcPr>
            <w:tcW w:w="1147" w:type="dxa"/>
            <w:tcBorders>
              <w:left w:val="single" w:sz="4" w:space="0" w:color="0067AB" w:themeColor="accent1"/>
              <w:right w:val="single" w:sz="4" w:space="0" w:color="0067AB" w:themeColor="accent1"/>
            </w:tcBorders>
            <w:vAlign w:val="center"/>
          </w:tcPr>
          <w:p w14:paraId="6FFEDD29" w14:textId="77777777" w:rsidR="009B6C93" w:rsidRPr="00A609BA" w:rsidRDefault="009B6C93" w:rsidP="009B6C93">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175,247</w:t>
            </w:r>
          </w:p>
        </w:tc>
        <w:tc>
          <w:tcPr>
            <w:tcW w:w="1147" w:type="dxa"/>
            <w:tcBorders>
              <w:left w:val="single" w:sz="4" w:space="0" w:color="0067AB" w:themeColor="accent1"/>
              <w:right w:val="single" w:sz="4" w:space="0" w:color="0067AB" w:themeColor="accent1"/>
            </w:tcBorders>
            <w:vAlign w:val="center"/>
          </w:tcPr>
          <w:p w14:paraId="1F775AD8" w14:textId="77777777" w:rsidR="009B6C93" w:rsidRPr="00A609BA" w:rsidRDefault="009B6C93" w:rsidP="009B6C93">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1,325</w:t>
            </w:r>
          </w:p>
        </w:tc>
        <w:tc>
          <w:tcPr>
            <w:tcW w:w="1147" w:type="dxa"/>
            <w:tcBorders>
              <w:left w:val="single" w:sz="4" w:space="0" w:color="0067AB" w:themeColor="accent1"/>
              <w:right w:val="single" w:sz="4" w:space="0" w:color="0067AB" w:themeColor="accent1"/>
            </w:tcBorders>
            <w:vAlign w:val="center"/>
          </w:tcPr>
          <w:p w14:paraId="40E4C824" w14:textId="77777777" w:rsidR="009B6C93" w:rsidRPr="00A609BA" w:rsidRDefault="009B6C93" w:rsidP="009B6C93">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w:t>
            </w:r>
          </w:p>
        </w:tc>
        <w:tc>
          <w:tcPr>
            <w:tcW w:w="1147" w:type="dxa"/>
            <w:tcBorders>
              <w:left w:val="single" w:sz="4" w:space="0" w:color="0067AB" w:themeColor="accent1"/>
            </w:tcBorders>
            <w:vAlign w:val="center"/>
          </w:tcPr>
          <w:p w14:paraId="23DEE558" w14:textId="77777777" w:rsidR="009B6C93" w:rsidRPr="00A609BA" w:rsidRDefault="009B6C93" w:rsidP="009B6C93">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Pr>
                <w:rFonts w:asciiTheme="minorHAnsi" w:hAnsiTheme="minorHAnsi"/>
                <w:color w:val="000000"/>
                <w:sz w:val="20"/>
                <w:szCs w:val="20"/>
              </w:rPr>
              <w:t>-</w:t>
            </w:r>
          </w:p>
        </w:tc>
      </w:tr>
      <w:tr w:rsidR="009B6C93" w:rsidRPr="00315694" w14:paraId="0964B750" w14:textId="77777777" w:rsidTr="00F52316">
        <w:tblPrEx>
          <w:jc w:val="left"/>
        </w:tblPrEx>
        <w:tc>
          <w:tcPr>
            <w:cnfStyle w:val="001000000000" w:firstRow="0" w:lastRow="0" w:firstColumn="1" w:lastColumn="0" w:oddVBand="0" w:evenVBand="0" w:oddHBand="0" w:evenHBand="0" w:firstRowFirstColumn="0" w:firstRowLastColumn="0" w:lastRowFirstColumn="0" w:lastRowLastColumn="0"/>
            <w:tcW w:w="715" w:type="dxa"/>
            <w:vMerge/>
            <w:tcBorders>
              <w:top w:val="single" w:sz="4" w:space="0" w:color="0067AB" w:themeColor="accent1"/>
              <w:bottom w:val="single" w:sz="4" w:space="0" w:color="0067AB" w:themeColor="accent1"/>
              <w:right w:val="single" w:sz="4" w:space="0" w:color="0067AB" w:themeColor="accent1"/>
            </w:tcBorders>
            <w:vAlign w:val="center"/>
          </w:tcPr>
          <w:p w14:paraId="64E1AAAE" w14:textId="77777777" w:rsidR="009B6C93" w:rsidRPr="00AF154D" w:rsidRDefault="009B6C93" w:rsidP="009B6C93">
            <w:pPr>
              <w:rPr>
                <w:b w:val="0"/>
                <w:sz w:val="20"/>
                <w:szCs w:val="20"/>
              </w:rPr>
            </w:pPr>
          </w:p>
        </w:tc>
        <w:tc>
          <w:tcPr>
            <w:tcW w:w="315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405DC1EF" w14:textId="411D8194" w:rsidR="009B6C93" w:rsidRPr="00315694" w:rsidRDefault="00F52316" w:rsidP="009B6C9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Single</w:t>
            </w:r>
            <w:r w:rsidR="007B1EA8">
              <w:rPr>
                <w:sz w:val="20"/>
                <w:szCs w:val="20"/>
              </w:rPr>
              <w:t xml:space="preserve"> unit</w:t>
            </w:r>
            <w:r w:rsidR="009B6C93">
              <w:rPr>
                <w:sz w:val="20"/>
                <w:szCs w:val="20"/>
              </w:rPr>
              <w:t xml:space="preserve"> Long Haul, Diesel</w:t>
            </w:r>
          </w:p>
        </w:tc>
        <w:tc>
          <w:tcPr>
            <w:tcW w:w="1146"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67E5B6CD" w14:textId="77777777" w:rsidR="009B6C93" w:rsidRPr="00A609BA" w:rsidRDefault="009B6C93" w:rsidP="009B6C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7,393</w:t>
            </w:r>
          </w:p>
        </w:tc>
        <w:tc>
          <w:tcPr>
            <w:tcW w:w="114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72A2D386" w14:textId="77777777" w:rsidR="009B6C93" w:rsidRPr="00A609BA" w:rsidRDefault="009B6C93" w:rsidP="009B6C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10,502</w:t>
            </w:r>
          </w:p>
        </w:tc>
        <w:tc>
          <w:tcPr>
            <w:tcW w:w="114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6B99C1F3" w14:textId="77777777" w:rsidR="009B6C93" w:rsidRPr="00A609BA" w:rsidRDefault="009B6C93" w:rsidP="009B6C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79</w:t>
            </w:r>
          </w:p>
        </w:tc>
        <w:tc>
          <w:tcPr>
            <w:tcW w:w="114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04B2744D" w14:textId="77777777" w:rsidR="009B6C93" w:rsidRPr="00A609BA" w:rsidRDefault="009B6C93" w:rsidP="009B6C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w:t>
            </w:r>
          </w:p>
        </w:tc>
        <w:tc>
          <w:tcPr>
            <w:tcW w:w="1147" w:type="dxa"/>
            <w:tcBorders>
              <w:top w:val="single" w:sz="4" w:space="0" w:color="0067AB" w:themeColor="accent1"/>
              <w:left w:val="single" w:sz="4" w:space="0" w:color="0067AB" w:themeColor="accent1"/>
              <w:bottom w:val="single" w:sz="4" w:space="0" w:color="0067AB" w:themeColor="accent1"/>
            </w:tcBorders>
            <w:vAlign w:val="center"/>
          </w:tcPr>
          <w:p w14:paraId="4D246C8A" w14:textId="77777777" w:rsidR="009B6C93" w:rsidRPr="00A609BA" w:rsidRDefault="009B6C93" w:rsidP="009B6C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Pr>
                <w:rFonts w:asciiTheme="minorHAnsi" w:hAnsiTheme="minorHAnsi"/>
                <w:color w:val="000000"/>
                <w:sz w:val="20"/>
                <w:szCs w:val="20"/>
              </w:rPr>
              <w:t>-</w:t>
            </w:r>
          </w:p>
        </w:tc>
      </w:tr>
      <w:tr w:rsidR="00A609BA" w:rsidRPr="00315694" w14:paraId="0F016844" w14:textId="77777777" w:rsidTr="00F52316">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right w:val="single" w:sz="4" w:space="0" w:color="0067AB" w:themeColor="accent1"/>
            </w:tcBorders>
            <w:vAlign w:val="center"/>
          </w:tcPr>
          <w:p w14:paraId="77D92EFB" w14:textId="77777777" w:rsidR="00A609BA" w:rsidRDefault="00A609BA" w:rsidP="00A609BA">
            <w:pPr>
              <w:rPr>
                <w:b w:val="0"/>
                <w:sz w:val="20"/>
                <w:szCs w:val="20"/>
              </w:rPr>
            </w:pPr>
          </w:p>
        </w:tc>
        <w:tc>
          <w:tcPr>
            <w:tcW w:w="3150" w:type="dxa"/>
            <w:tcBorders>
              <w:left w:val="single" w:sz="4" w:space="0" w:color="0067AB" w:themeColor="accent1"/>
              <w:right w:val="single" w:sz="4" w:space="0" w:color="0067AB" w:themeColor="accent1"/>
            </w:tcBorders>
          </w:tcPr>
          <w:p w14:paraId="61EC58DB" w14:textId="2400E97A" w:rsidR="00A609BA" w:rsidRPr="00315694" w:rsidRDefault="00F52316" w:rsidP="00A609B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Combination</w:t>
            </w:r>
            <w:r w:rsidR="007B1EA8">
              <w:rPr>
                <w:sz w:val="20"/>
                <w:szCs w:val="20"/>
              </w:rPr>
              <w:t xml:space="preserve"> unit</w:t>
            </w:r>
            <w:r w:rsidR="00A609BA">
              <w:rPr>
                <w:sz w:val="20"/>
                <w:szCs w:val="20"/>
              </w:rPr>
              <w:t xml:space="preserve"> Short Haul, Diesel</w:t>
            </w:r>
          </w:p>
        </w:tc>
        <w:tc>
          <w:tcPr>
            <w:tcW w:w="1146" w:type="dxa"/>
            <w:tcBorders>
              <w:left w:val="single" w:sz="4" w:space="0" w:color="0067AB" w:themeColor="accent1"/>
              <w:right w:val="single" w:sz="4" w:space="0" w:color="0067AB" w:themeColor="accent1"/>
            </w:tcBorders>
            <w:vAlign w:val="center"/>
          </w:tcPr>
          <w:p w14:paraId="4319A532" w14:textId="77777777" w:rsidR="00A609BA" w:rsidRPr="00A609BA" w:rsidRDefault="00A609BA" w:rsidP="00A609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30,730</w:t>
            </w:r>
          </w:p>
        </w:tc>
        <w:tc>
          <w:tcPr>
            <w:tcW w:w="1147" w:type="dxa"/>
            <w:tcBorders>
              <w:left w:val="single" w:sz="4" w:space="0" w:color="0067AB" w:themeColor="accent1"/>
              <w:right w:val="single" w:sz="4" w:space="0" w:color="0067AB" w:themeColor="accent1"/>
            </w:tcBorders>
            <w:vAlign w:val="center"/>
          </w:tcPr>
          <w:p w14:paraId="49E34E9F" w14:textId="77777777" w:rsidR="00A609BA" w:rsidRPr="00A609BA" w:rsidRDefault="00A609BA" w:rsidP="00A609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42,914</w:t>
            </w:r>
          </w:p>
        </w:tc>
        <w:tc>
          <w:tcPr>
            <w:tcW w:w="1147" w:type="dxa"/>
            <w:tcBorders>
              <w:left w:val="single" w:sz="4" w:space="0" w:color="0067AB" w:themeColor="accent1"/>
              <w:right w:val="single" w:sz="4" w:space="0" w:color="0067AB" w:themeColor="accent1"/>
            </w:tcBorders>
            <w:vAlign w:val="center"/>
          </w:tcPr>
          <w:p w14:paraId="304C1356" w14:textId="77777777" w:rsidR="00A609BA" w:rsidRPr="00A609BA" w:rsidRDefault="00A609BA" w:rsidP="00A609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352</w:t>
            </w:r>
          </w:p>
        </w:tc>
        <w:tc>
          <w:tcPr>
            <w:tcW w:w="1147" w:type="dxa"/>
            <w:tcBorders>
              <w:left w:val="single" w:sz="4" w:space="0" w:color="0067AB" w:themeColor="accent1"/>
              <w:right w:val="single" w:sz="4" w:space="0" w:color="0067AB" w:themeColor="accent1"/>
            </w:tcBorders>
            <w:vAlign w:val="center"/>
          </w:tcPr>
          <w:p w14:paraId="718EA175" w14:textId="77777777" w:rsidR="00A609BA" w:rsidRPr="00A609BA" w:rsidRDefault="00A609BA" w:rsidP="00A609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1,000</w:t>
            </w:r>
          </w:p>
        </w:tc>
        <w:tc>
          <w:tcPr>
            <w:tcW w:w="1147" w:type="dxa"/>
            <w:tcBorders>
              <w:left w:val="single" w:sz="4" w:space="0" w:color="0067AB" w:themeColor="accent1"/>
            </w:tcBorders>
            <w:vAlign w:val="center"/>
          </w:tcPr>
          <w:p w14:paraId="07D4EFD5" w14:textId="77777777" w:rsidR="00A609BA" w:rsidRPr="00A609BA" w:rsidRDefault="00A609BA" w:rsidP="00A609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5,540</w:t>
            </w:r>
          </w:p>
        </w:tc>
      </w:tr>
      <w:tr w:rsidR="00A609BA" w:rsidRPr="00315694" w14:paraId="01B44109" w14:textId="77777777" w:rsidTr="00F52316">
        <w:tblPrEx>
          <w:jc w:val="left"/>
        </w:tblPrEx>
        <w:tc>
          <w:tcPr>
            <w:cnfStyle w:val="001000000000" w:firstRow="0" w:lastRow="0" w:firstColumn="1" w:lastColumn="0" w:oddVBand="0" w:evenVBand="0" w:oddHBand="0" w:evenHBand="0" w:firstRowFirstColumn="0" w:firstRowLastColumn="0" w:lastRowFirstColumn="0" w:lastRowLastColumn="0"/>
            <w:tcW w:w="715" w:type="dxa"/>
            <w:vMerge/>
            <w:tcBorders>
              <w:top w:val="single" w:sz="4" w:space="0" w:color="0067AB" w:themeColor="accent1"/>
              <w:bottom w:val="single" w:sz="4" w:space="0" w:color="0067AB" w:themeColor="accent1"/>
              <w:right w:val="single" w:sz="4" w:space="0" w:color="0067AB" w:themeColor="accent1"/>
            </w:tcBorders>
            <w:vAlign w:val="center"/>
          </w:tcPr>
          <w:p w14:paraId="4409C0C9" w14:textId="77777777" w:rsidR="00A609BA" w:rsidRDefault="00A609BA" w:rsidP="00A609BA">
            <w:pPr>
              <w:rPr>
                <w:b w:val="0"/>
                <w:sz w:val="20"/>
                <w:szCs w:val="20"/>
              </w:rPr>
            </w:pPr>
          </w:p>
        </w:tc>
        <w:tc>
          <w:tcPr>
            <w:tcW w:w="315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4535AED1" w14:textId="5209B793" w:rsidR="00A609BA" w:rsidRPr="00315694" w:rsidRDefault="00F52316" w:rsidP="00A609B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Combination</w:t>
            </w:r>
            <w:r w:rsidR="007B1EA8">
              <w:rPr>
                <w:sz w:val="20"/>
                <w:szCs w:val="20"/>
              </w:rPr>
              <w:t xml:space="preserve"> unit</w:t>
            </w:r>
            <w:r w:rsidR="00A609BA">
              <w:rPr>
                <w:sz w:val="20"/>
                <w:szCs w:val="20"/>
              </w:rPr>
              <w:t xml:space="preserve"> Long Haul, Diesel</w:t>
            </w:r>
          </w:p>
        </w:tc>
        <w:tc>
          <w:tcPr>
            <w:tcW w:w="1146"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378072ED" w14:textId="77777777" w:rsidR="00A609BA" w:rsidRPr="00A609BA" w:rsidRDefault="00A609BA" w:rsidP="00A609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41,813</w:t>
            </w:r>
          </w:p>
        </w:tc>
        <w:tc>
          <w:tcPr>
            <w:tcW w:w="114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55C5B042" w14:textId="77777777" w:rsidR="00A609BA" w:rsidRPr="00A609BA" w:rsidRDefault="00A609BA" w:rsidP="00A609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58,329</w:t>
            </w:r>
          </w:p>
        </w:tc>
        <w:tc>
          <w:tcPr>
            <w:tcW w:w="114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1C07BCBB" w14:textId="77777777" w:rsidR="00A609BA" w:rsidRPr="00A609BA" w:rsidRDefault="00A609BA" w:rsidP="00A609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482</w:t>
            </w:r>
          </w:p>
        </w:tc>
        <w:tc>
          <w:tcPr>
            <w:tcW w:w="114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6FE002DC" w14:textId="77777777" w:rsidR="00A609BA" w:rsidRPr="00A609BA" w:rsidRDefault="00A609BA" w:rsidP="00A609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750</w:t>
            </w:r>
          </w:p>
        </w:tc>
        <w:tc>
          <w:tcPr>
            <w:tcW w:w="1147" w:type="dxa"/>
            <w:tcBorders>
              <w:top w:val="single" w:sz="4" w:space="0" w:color="0067AB" w:themeColor="accent1"/>
              <w:left w:val="single" w:sz="4" w:space="0" w:color="0067AB" w:themeColor="accent1"/>
              <w:bottom w:val="single" w:sz="4" w:space="0" w:color="0067AB" w:themeColor="accent1"/>
            </w:tcBorders>
            <w:vAlign w:val="center"/>
          </w:tcPr>
          <w:p w14:paraId="7FDAA336" w14:textId="77777777" w:rsidR="00A609BA" w:rsidRPr="00A609BA" w:rsidRDefault="009B6C93" w:rsidP="00A609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Pr>
                <w:rFonts w:asciiTheme="minorHAnsi" w:hAnsiTheme="minorHAnsi"/>
                <w:color w:val="000000"/>
                <w:sz w:val="20"/>
                <w:szCs w:val="20"/>
              </w:rPr>
              <w:t>-</w:t>
            </w:r>
          </w:p>
        </w:tc>
      </w:tr>
      <w:tr w:rsidR="009B6C93" w:rsidRPr="00315694" w14:paraId="61E75F2B" w14:textId="77777777" w:rsidTr="00F52316">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val="restart"/>
            <w:tcBorders>
              <w:right w:val="single" w:sz="4" w:space="0" w:color="0067AB" w:themeColor="accent1"/>
            </w:tcBorders>
            <w:vAlign w:val="center"/>
          </w:tcPr>
          <w:p w14:paraId="7B2FB7D4" w14:textId="77777777" w:rsidR="009B6C93" w:rsidRPr="00AF154D" w:rsidRDefault="009B6C93" w:rsidP="009B6C93">
            <w:pPr>
              <w:keepNext/>
              <w:rPr>
                <w:b w:val="0"/>
                <w:sz w:val="20"/>
                <w:szCs w:val="20"/>
              </w:rPr>
            </w:pPr>
            <w:r>
              <w:rPr>
                <w:b w:val="0"/>
                <w:sz w:val="20"/>
                <w:szCs w:val="20"/>
              </w:rPr>
              <w:t>2035</w:t>
            </w:r>
          </w:p>
        </w:tc>
        <w:tc>
          <w:tcPr>
            <w:tcW w:w="3150" w:type="dxa"/>
            <w:tcBorders>
              <w:left w:val="single" w:sz="4" w:space="0" w:color="0067AB" w:themeColor="accent1"/>
              <w:right w:val="single" w:sz="4" w:space="0" w:color="0067AB" w:themeColor="accent1"/>
            </w:tcBorders>
          </w:tcPr>
          <w:p w14:paraId="70AC3DBF" w14:textId="59D45C77" w:rsidR="009B6C93" w:rsidRPr="00315694" w:rsidRDefault="00F52316" w:rsidP="009B6C93">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Single</w:t>
            </w:r>
            <w:r w:rsidR="007B1EA8">
              <w:rPr>
                <w:sz w:val="20"/>
                <w:szCs w:val="20"/>
              </w:rPr>
              <w:t xml:space="preserve"> unit</w:t>
            </w:r>
            <w:r w:rsidR="009B6C93">
              <w:rPr>
                <w:sz w:val="20"/>
                <w:szCs w:val="20"/>
              </w:rPr>
              <w:t xml:space="preserve"> Short Haul, Gas</w:t>
            </w:r>
          </w:p>
        </w:tc>
        <w:tc>
          <w:tcPr>
            <w:tcW w:w="1146" w:type="dxa"/>
            <w:tcBorders>
              <w:left w:val="single" w:sz="4" w:space="0" w:color="0067AB" w:themeColor="accent1"/>
              <w:right w:val="single" w:sz="4" w:space="0" w:color="0067AB" w:themeColor="accent1"/>
            </w:tcBorders>
            <w:vAlign w:val="center"/>
          </w:tcPr>
          <w:p w14:paraId="1AC9B15D" w14:textId="77777777" w:rsidR="009B6C93" w:rsidRPr="00A609BA" w:rsidRDefault="009B6C93" w:rsidP="009B6C93">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61,230</w:t>
            </w:r>
          </w:p>
        </w:tc>
        <w:tc>
          <w:tcPr>
            <w:tcW w:w="1147" w:type="dxa"/>
            <w:tcBorders>
              <w:left w:val="single" w:sz="4" w:space="0" w:color="0067AB" w:themeColor="accent1"/>
              <w:right w:val="single" w:sz="4" w:space="0" w:color="0067AB" w:themeColor="accent1"/>
            </w:tcBorders>
            <w:vAlign w:val="center"/>
          </w:tcPr>
          <w:p w14:paraId="46A602B1" w14:textId="77777777" w:rsidR="009B6C93" w:rsidRPr="00A609BA" w:rsidRDefault="009B6C93" w:rsidP="009B6C93">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86,991</w:t>
            </w:r>
          </w:p>
        </w:tc>
        <w:tc>
          <w:tcPr>
            <w:tcW w:w="1147" w:type="dxa"/>
            <w:tcBorders>
              <w:left w:val="single" w:sz="4" w:space="0" w:color="0067AB" w:themeColor="accent1"/>
              <w:right w:val="single" w:sz="4" w:space="0" w:color="0067AB" w:themeColor="accent1"/>
            </w:tcBorders>
            <w:vAlign w:val="center"/>
          </w:tcPr>
          <w:p w14:paraId="69C22C32" w14:textId="77777777" w:rsidR="009B6C93" w:rsidRPr="00A609BA" w:rsidRDefault="009B6C93" w:rsidP="009B6C93">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658</w:t>
            </w:r>
          </w:p>
        </w:tc>
        <w:tc>
          <w:tcPr>
            <w:tcW w:w="1147" w:type="dxa"/>
            <w:tcBorders>
              <w:left w:val="single" w:sz="4" w:space="0" w:color="0067AB" w:themeColor="accent1"/>
              <w:right w:val="single" w:sz="4" w:space="0" w:color="0067AB" w:themeColor="accent1"/>
            </w:tcBorders>
            <w:vAlign w:val="center"/>
          </w:tcPr>
          <w:p w14:paraId="59266995" w14:textId="77777777" w:rsidR="009B6C93" w:rsidRPr="00A609BA" w:rsidRDefault="009B6C93" w:rsidP="009B6C93">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w:t>
            </w:r>
          </w:p>
        </w:tc>
        <w:tc>
          <w:tcPr>
            <w:tcW w:w="1147" w:type="dxa"/>
            <w:tcBorders>
              <w:left w:val="single" w:sz="4" w:space="0" w:color="0067AB" w:themeColor="accent1"/>
            </w:tcBorders>
            <w:vAlign w:val="center"/>
          </w:tcPr>
          <w:p w14:paraId="31AD56CA" w14:textId="77777777" w:rsidR="009B6C93" w:rsidRPr="00A609BA" w:rsidRDefault="009B6C93" w:rsidP="009B6C93">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Pr>
                <w:rFonts w:asciiTheme="minorHAnsi" w:hAnsiTheme="minorHAnsi"/>
                <w:color w:val="000000"/>
                <w:sz w:val="20"/>
                <w:szCs w:val="20"/>
              </w:rPr>
              <w:t>-</w:t>
            </w:r>
          </w:p>
        </w:tc>
      </w:tr>
      <w:tr w:rsidR="009B6C93" w:rsidRPr="00315694" w14:paraId="0074D405" w14:textId="77777777" w:rsidTr="00F52316">
        <w:tblPrEx>
          <w:jc w:val="left"/>
        </w:tblPrEx>
        <w:tc>
          <w:tcPr>
            <w:cnfStyle w:val="001000000000" w:firstRow="0" w:lastRow="0" w:firstColumn="1" w:lastColumn="0" w:oddVBand="0" w:evenVBand="0" w:oddHBand="0" w:evenHBand="0" w:firstRowFirstColumn="0" w:firstRowLastColumn="0" w:lastRowFirstColumn="0" w:lastRowLastColumn="0"/>
            <w:tcW w:w="715" w:type="dxa"/>
            <w:vMerge/>
            <w:tcBorders>
              <w:top w:val="single" w:sz="4" w:space="0" w:color="0067AB" w:themeColor="accent1"/>
              <w:bottom w:val="single" w:sz="4" w:space="0" w:color="0067AB" w:themeColor="accent1"/>
              <w:right w:val="single" w:sz="4" w:space="0" w:color="0067AB" w:themeColor="accent1"/>
            </w:tcBorders>
            <w:vAlign w:val="center"/>
          </w:tcPr>
          <w:p w14:paraId="043AE205" w14:textId="77777777" w:rsidR="009B6C93" w:rsidRPr="00AF154D" w:rsidRDefault="009B6C93" w:rsidP="009B6C93">
            <w:pPr>
              <w:rPr>
                <w:b w:val="0"/>
                <w:sz w:val="20"/>
                <w:szCs w:val="20"/>
              </w:rPr>
            </w:pPr>
          </w:p>
        </w:tc>
        <w:tc>
          <w:tcPr>
            <w:tcW w:w="315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61FD94C9" w14:textId="42EC27CF" w:rsidR="009B6C93" w:rsidRPr="00315694" w:rsidRDefault="00F52316" w:rsidP="009B6C9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Single</w:t>
            </w:r>
            <w:r w:rsidR="007B1EA8">
              <w:rPr>
                <w:sz w:val="20"/>
                <w:szCs w:val="20"/>
              </w:rPr>
              <w:t xml:space="preserve"> unit</w:t>
            </w:r>
            <w:r w:rsidR="009B6C93">
              <w:rPr>
                <w:sz w:val="20"/>
                <w:szCs w:val="20"/>
              </w:rPr>
              <w:t xml:space="preserve"> Short Haul, Diesel</w:t>
            </w:r>
          </w:p>
        </w:tc>
        <w:tc>
          <w:tcPr>
            <w:tcW w:w="1146"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5841BAFC" w14:textId="77777777" w:rsidR="009B6C93" w:rsidRPr="00A609BA" w:rsidRDefault="009B6C93" w:rsidP="009B6C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129,510</w:t>
            </w:r>
          </w:p>
        </w:tc>
        <w:tc>
          <w:tcPr>
            <w:tcW w:w="114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6CAF38D3" w14:textId="77777777" w:rsidR="009B6C93" w:rsidRPr="00A609BA" w:rsidRDefault="009B6C93" w:rsidP="009B6C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183,998</w:t>
            </w:r>
          </w:p>
        </w:tc>
        <w:tc>
          <w:tcPr>
            <w:tcW w:w="114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1923EA58" w14:textId="77777777" w:rsidR="009B6C93" w:rsidRPr="00A609BA" w:rsidRDefault="009B6C93" w:rsidP="009B6C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1,391</w:t>
            </w:r>
          </w:p>
        </w:tc>
        <w:tc>
          <w:tcPr>
            <w:tcW w:w="114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11E1F6D5" w14:textId="77777777" w:rsidR="009B6C93" w:rsidRPr="00A609BA" w:rsidRDefault="009B6C93" w:rsidP="009B6C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w:t>
            </w:r>
          </w:p>
        </w:tc>
        <w:tc>
          <w:tcPr>
            <w:tcW w:w="1147" w:type="dxa"/>
            <w:tcBorders>
              <w:top w:val="single" w:sz="4" w:space="0" w:color="0067AB" w:themeColor="accent1"/>
              <w:left w:val="single" w:sz="4" w:space="0" w:color="0067AB" w:themeColor="accent1"/>
              <w:bottom w:val="single" w:sz="4" w:space="0" w:color="0067AB" w:themeColor="accent1"/>
            </w:tcBorders>
            <w:vAlign w:val="center"/>
          </w:tcPr>
          <w:p w14:paraId="24C6FA16" w14:textId="77777777" w:rsidR="009B6C93" w:rsidRPr="00A609BA" w:rsidRDefault="009B6C93" w:rsidP="009B6C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Pr>
                <w:rFonts w:asciiTheme="minorHAnsi" w:hAnsiTheme="minorHAnsi"/>
                <w:color w:val="000000"/>
                <w:sz w:val="20"/>
                <w:szCs w:val="20"/>
              </w:rPr>
              <w:t>-</w:t>
            </w:r>
          </w:p>
        </w:tc>
      </w:tr>
      <w:tr w:rsidR="009B6C93" w:rsidRPr="00315694" w14:paraId="454EF88C" w14:textId="77777777" w:rsidTr="00F52316">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right w:val="single" w:sz="4" w:space="0" w:color="0067AB" w:themeColor="accent1"/>
            </w:tcBorders>
            <w:vAlign w:val="center"/>
          </w:tcPr>
          <w:p w14:paraId="1CF675DF" w14:textId="77777777" w:rsidR="009B6C93" w:rsidRPr="00AF154D" w:rsidRDefault="009B6C93" w:rsidP="009B6C93">
            <w:pPr>
              <w:rPr>
                <w:b w:val="0"/>
                <w:sz w:val="20"/>
                <w:szCs w:val="20"/>
              </w:rPr>
            </w:pPr>
          </w:p>
        </w:tc>
        <w:tc>
          <w:tcPr>
            <w:tcW w:w="3150" w:type="dxa"/>
            <w:tcBorders>
              <w:left w:val="single" w:sz="4" w:space="0" w:color="0067AB" w:themeColor="accent1"/>
              <w:right w:val="single" w:sz="4" w:space="0" w:color="0067AB" w:themeColor="accent1"/>
            </w:tcBorders>
          </w:tcPr>
          <w:p w14:paraId="3614AC61" w14:textId="78BFFD39" w:rsidR="009B6C93" w:rsidRPr="00315694" w:rsidRDefault="00F52316" w:rsidP="009B6C9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Single</w:t>
            </w:r>
            <w:r w:rsidR="007B1EA8">
              <w:rPr>
                <w:sz w:val="20"/>
                <w:szCs w:val="20"/>
              </w:rPr>
              <w:t xml:space="preserve"> unit</w:t>
            </w:r>
            <w:r w:rsidR="009B6C93">
              <w:rPr>
                <w:sz w:val="20"/>
                <w:szCs w:val="20"/>
              </w:rPr>
              <w:t xml:space="preserve"> Long Haul, Diesel</w:t>
            </w:r>
          </w:p>
        </w:tc>
        <w:tc>
          <w:tcPr>
            <w:tcW w:w="1146" w:type="dxa"/>
            <w:tcBorders>
              <w:left w:val="single" w:sz="4" w:space="0" w:color="0067AB" w:themeColor="accent1"/>
              <w:right w:val="single" w:sz="4" w:space="0" w:color="0067AB" w:themeColor="accent1"/>
            </w:tcBorders>
            <w:vAlign w:val="center"/>
          </w:tcPr>
          <w:p w14:paraId="5225C557" w14:textId="77777777" w:rsidR="009B6C93" w:rsidRPr="00A609BA" w:rsidRDefault="009B6C93" w:rsidP="009B6C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7,870</w:t>
            </w:r>
          </w:p>
        </w:tc>
        <w:tc>
          <w:tcPr>
            <w:tcW w:w="1147" w:type="dxa"/>
            <w:tcBorders>
              <w:left w:val="single" w:sz="4" w:space="0" w:color="0067AB" w:themeColor="accent1"/>
              <w:right w:val="single" w:sz="4" w:space="0" w:color="0067AB" w:themeColor="accent1"/>
            </w:tcBorders>
            <w:vAlign w:val="center"/>
          </w:tcPr>
          <w:p w14:paraId="0E107054" w14:textId="77777777" w:rsidR="009B6C93" w:rsidRPr="00A609BA" w:rsidRDefault="009B6C93" w:rsidP="009B6C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11,179</w:t>
            </w:r>
          </w:p>
        </w:tc>
        <w:tc>
          <w:tcPr>
            <w:tcW w:w="1147" w:type="dxa"/>
            <w:tcBorders>
              <w:left w:val="single" w:sz="4" w:space="0" w:color="0067AB" w:themeColor="accent1"/>
              <w:right w:val="single" w:sz="4" w:space="0" w:color="0067AB" w:themeColor="accent1"/>
            </w:tcBorders>
            <w:vAlign w:val="center"/>
          </w:tcPr>
          <w:p w14:paraId="27B1F233" w14:textId="77777777" w:rsidR="009B6C93" w:rsidRPr="00A609BA" w:rsidRDefault="009B6C93" w:rsidP="009B6C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85</w:t>
            </w:r>
          </w:p>
        </w:tc>
        <w:tc>
          <w:tcPr>
            <w:tcW w:w="1147" w:type="dxa"/>
            <w:tcBorders>
              <w:left w:val="single" w:sz="4" w:space="0" w:color="0067AB" w:themeColor="accent1"/>
              <w:right w:val="single" w:sz="4" w:space="0" w:color="0067AB" w:themeColor="accent1"/>
            </w:tcBorders>
            <w:vAlign w:val="center"/>
          </w:tcPr>
          <w:p w14:paraId="70A56464" w14:textId="77777777" w:rsidR="009B6C93" w:rsidRPr="00A609BA" w:rsidRDefault="009B6C93" w:rsidP="009B6C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w:t>
            </w:r>
          </w:p>
        </w:tc>
        <w:tc>
          <w:tcPr>
            <w:tcW w:w="1147" w:type="dxa"/>
            <w:tcBorders>
              <w:left w:val="single" w:sz="4" w:space="0" w:color="0067AB" w:themeColor="accent1"/>
            </w:tcBorders>
            <w:vAlign w:val="center"/>
          </w:tcPr>
          <w:p w14:paraId="140956AD" w14:textId="77777777" w:rsidR="009B6C93" w:rsidRPr="00A609BA" w:rsidRDefault="009B6C93" w:rsidP="009B6C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Pr>
                <w:rFonts w:asciiTheme="minorHAnsi" w:hAnsiTheme="minorHAnsi"/>
                <w:color w:val="000000"/>
                <w:sz w:val="20"/>
                <w:szCs w:val="20"/>
              </w:rPr>
              <w:t>-</w:t>
            </w:r>
          </w:p>
        </w:tc>
      </w:tr>
      <w:tr w:rsidR="00A609BA" w:rsidRPr="00315694" w14:paraId="33D123BA" w14:textId="77777777" w:rsidTr="00F52316">
        <w:tblPrEx>
          <w:jc w:val="left"/>
        </w:tblPrEx>
        <w:tc>
          <w:tcPr>
            <w:cnfStyle w:val="001000000000" w:firstRow="0" w:lastRow="0" w:firstColumn="1" w:lastColumn="0" w:oddVBand="0" w:evenVBand="0" w:oddHBand="0" w:evenHBand="0" w:firstRowFirstColumn="0" w:firstRowLastColumn="0" w:lastRowFirstColumn="0" w:lastRowLastColumn="0"/>
            <w:tcW w:w="715" w:type="dxa"/>
            <w:vMerge/>
            <w:tcBorders>
              <w:top w:val="single" w:sz="4" w:space="0" w:color="0067AB" w:themeColor="accent1"/>
              <w:bottom w:val="single" w:sz="4" w:space="0" w:color="0067AB" w:themeColor="accent1"/>
              <w:right w:val="single" w:sz="4" w:space="0" w:color="0067AB" w:themeColor="accent1"/>
            </w:tcBorders>
            <w:vAlign w:val="center"/>
          </w:tcPr>
          <w:p w14:paraId="01A1FA90" w14:textId="77777777" w:rsidR="00A609BA" w:rsidRDefault="00A609BA" w:rsidP="00A609BA">
            <w:pPr>
              <w:rPr>
                <w:b w:val="0"/>
                <w:sz w:val="20"/>
                <w:szCs w:val="20"/>
              </w:rPr>
            </w:pPr>
          </w:p>
        </w:tc>
        <w:tc>
          <w:tcPr>
            <w:tcW w:w="315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3E1628C6" w14:textId="7273157F" w:rsidR="00A609BA" w:rsidRPr="00315694" w:rsidRDefault="00F52316" w:rsidP="00A609B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Combination</w:t>
            </w:r>
            <w:r w:rsidR="007B1EA8">
              <w:rPr>
                <w:sz w:val="20"/>
                <w:szCs w:val="20"/>
              </w:rPr>
              <w:t xml:space="preserve"> unit</w:t>
            </w:r>
            <w:r w:rsidR="00A609BA">
              <w:rPr>
                <w:sz w:val="20"/>
                <w:szCs w:val="20"/>
              </w:rPr>
              <w:t xml:space="preserve"> Short Haul, Diesel</w:t>
            </w:r>
          </w:p>
        </w:tc>
        <w:tc>
          <w:tcPr>
            <w:tcW w:w="1146"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73271230" w14:textId="77777777" w:rsidR="00A609BA" w:rsidRPr="00A609BA" w:rsidRDefault="00A609BA" w:rsidP="00A609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33,169</w:t>
            </w:r>
          </w:p>
        </w:tc>
        <w:tc>
          <w:tcPr>
            <w:tcW w:w="114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3CF1B413" w14:textId="77777777" w:rsidR="00A609BA" w:rsidRPr="00A609BA" w:rsidRDefault="00A609BA" w:rsidP="00A609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46,312</w:t>
            </w:r>
          </w:p>
        </w:tc>
        <w:tc>
          <w:tcPr>
            <w:tcW w:w="114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1F960177" w14:textId="77777777" w:rsidR="00A609BA" w:rsidRPr="00A609BA" w:rsidRDefault="00A609BA" w:rsidP="00A609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380</w:t>
            </w:r>
          </w:p>
        </w:tc>
        <w:tc>
          <w:tcPr>
            <w:tcW w:w="114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58C2ED6C" w14:textId="77777777" w:rsidR="00A609BA" w:rsidRPr="00A609BA" w:rsidRDefault="00A609BA" w:rsidP="00A609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1,000</w:t>
            </w:r>
          </w:p>
        </w:tc>
        <w:tc>
          <w:tcPr>
            <w:tcW w:w="1147" w:type="dxa"/>
            <w:tcBorders>
              <w:top w:val="single" w:sz="4" w:space="0" w:color="0067AB" w:themeColor="accent1"/>
              <w:left w:val="single" w:sz="4" w:space="0" w:color="0067AB" w:themeColor="accent1"/>
              <w:bottom w:val="single" w:sz="4" w:space="0" w:color="0067AB" w:themeColor="accent1"/>
            </w:tcBorders>
            <w:vAlign w:val="center"/>
          </w:tcPr>
          <w:p w14:paraId="491B351B" w14:textId="77777777" w:rsidR="00A609BA" w:rsidRPr="00A609BA" w:rsidRDefault="00A609BA" w:rsidP="00A609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5,875</w:t>
            </w:r>
          </w:p>
        </w:tc>
      </w:tr>
      <w:tr w:rsidR="00A609BA" w:rsidRPr="00315694" w14:paraId="618BA685" w14:textId="77777777" w:rsidTr="00F52316">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right w:val="single" w:sz="4" w:space="0" w:color="0067AB" w:themeColor="accent1"/>
            </w:tcBorders>
            <w:vAlign w:val="center"/>
          </w:tcPr>
          <w:p w14:paraId="79546504" w14:textId="77777777" w:rsidR="00A609BA" w:rsidRDefault="00A609BA" w:rsidP="00A609BA">
            <w:pPr>
              <w:rPr>
                <w:b w:val="0"/>
                <w:sz w:val="20"/>
                <w:szCs w:val="20"/>
              </w:rPr>
            </w:pPr>
          </w:p>
        </w:tc>
        <w:tc>
          <w:tcPr>
            <w:tcW w:w="3150" w:type="dxa"/>
            <w:tcBorders>
              <w:left w:val="single" w:sz="4" w:space="0" w:color="0067AB" w:themeColor="accent1"/>
              <w:right w:val="single" w:sz="4" w:space="0" w:color="0067AB" w:themeColor="accent1"/>
            </w:tcBorders>
          </w:tcPr>
          <w:p w14:paraId="35B4517A" w14:textId="440C8B11" w:rsidR="00A609BA" w:rsidRPr="00315694" w:rsidRDefault="00F52316" w:rsidP="00A609B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Combination</w:t>
            </w:r>
            <w:r w:rsidR="007B1EA8">
              <w:rPr>
                <w:sz w:val="20"/>
                <w:szCs w:val="20"/>
              </w:rPr>
              <w:t xml:space="preserve"> unit</w:t>
            </w:r>
            <w:r w:rsidR="00A609BA">
              <w:rPr>
                <w:sz w:val="20"/>
                <w:szCs w:val="20"/>
              </w:rPr>
              <w:t xml:space="preserve"> Long Haul, Diesel</w:t>
            </w:r>
          </w:p>
        </w:tc>
        <w:tc>
          <w:tcPr>
            <w:tcW w:w="1146" w:type="dxa"/>
            <w:tcBorders>
              <w:left w:val="single" w:sz="4" w:space="0" w:color="0067AB" w:themeColor="accent1"/>
              <w:right w:val="single" w:sz="4" w:space="0" w:color="0067AB" w:themeColor="accent1"/>
            </w:tcBorders>
            <w:vAlign w:val="center"/>
          </w:tcPr>
          <w:p w14:paraId="61A67515" w14:textId="77777777" w:rsidR="00A609BA" w:rsidRPr="00A609BA" w:rsidRDefault="00A609BA" w:rsidP="00A609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44,350</w:t>
            </w:r>
          </w:p>
        </w:tc>
        <w:tc>
          <w:tcPr>
            <w:tcW w:w="1147" w:type="dxa"/>
            <w:tcBorders>
              <w:left w:val="single" w:sz="4" w:space="0" w:color="0067AB" w:themeColor="accent1"/>
              <w:right w:val="single" w:sz="4" w:space="0" w:color="0067AB" w:themeColor="accent1"/>
            </w:tcBorders>
            <w:vAlign w:val="center"/>
          </w:tcPr>
          <w:p w14:paraId="49E69692" w14:textId="77777777" w:rsidR="00A609BA" w:rsidRPr="00A609BA" w:rsidRDefault="00A609BA" w:rsidP="00A609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61,868</w:t>
            </w:r>
          </w:p>
        </w:tc>
        <w:tc>
          <w:tcPr>
            <w:tcW w:w="1147" w:type="dxa"/>
            <w:tcBorders>
              <w:left w:val="single" w:sz="4" w:space="0" w:color="0067AB" w:themeColor="accent1"/>
              <w:right w:val="single" w:sz="4" w:space="0" w:color="0067AB" w:themeColor="accent1"/>
            </w:tcBorders>
            <w:vAlign w:val="center"/>
          </w:tcPr>
          <w:p w14:paraId="2E2B471E" w14:textId="77777777" w:rsidR="00A609BA" w:rsidRPr="00A609BA" w:rsidRDefault="00A609BA" w:rsidP="00A609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511</w:t>
            </w:r>
          </w:p>
        </w:tc>
        <w:tc>
          <w:tcPr>
            <w:tcW w:w="1147" w:type="dxa"/>
            <w:tcBorders>
              <w:left w:val="single" w:sz="4" w:space="0" w:color="0067AB" w:themeColor="accent1"/>
              <w:right w:val="single" w:sz="4" w:space="0" w:color="0067AB" w:themeColor="accent1"/>
            </w:tcBorders>
            <w:vAlign w:val="center"/>
          </w:tcPr>
          <w:p w14:paraId="4D5408D6" w14:textId="77777777" w:rsidR="00A609BA" w:rsidRPr="00A609BA" w:rsidRDefault="00A609BA" w:rsidP="00A609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750</w:t>
            </w:r>
          </w:p>
        </w:tc>
        <w:tc>
          <w:tcPr>
            <w:tcW w:w="1147" w:type="dxa"/>
            <w:tcBorders>
              <w:left w:val="single" w:sz="4" w:space="0" w:color="0067AB" w:themeColor="accent1"/>
            </w:tcBorders>
            <w:vAlign w:val="center"/>
          </w:tcPr>
          <w:p w14:paraId="2BE3E9C3" w14:textId="77777777" w:rsidR="00A609BA" w:rsidRPr="00A609BA" w:rsidRDefault="00A609BA" w:rsidP="00A609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p>
        </w:tc>
      </w:tr>
      <w:tr w:rsidR="009B6C93" w:rsidRPr="00315694" w14:paraId="52E1298E" w14:textId="77777777" w:rsidTr="00F52316">
        <w:tblPrEx>
          <w:jc w:val="left"/>
        </w:tblPrEx>
        <w:tc>
          <w:tcPr>
            <w:cnfStyle w:val="001000000000" w:firstRow="0" w:lastRow="0" w:firstColumn="1" w:lastColumn="0" w:oddVBand="0" w:evenVBand="0" w:oddHBand="0" w:evenHBand="0" w:firstRowFirstColumn="0" w:firstRowLastColumn="0" w:lastRowFirstColumn="0" w:lastRowLastColumn="0"/>
            <w:tcW w:w="715" w:type="dxa"/>
            <w:vMerge w:val="restart"/>
            <w:tcBorders>
              <w:top w:val="single" w:sz="4" w:space="0" w:color="0067AB" w:themeColor="accent1"/>
              <w:bottom w:val="single" w:sz="4" w:space="0" w:color="0067AB" w:themeColor="accent1"/>
              <w:right w:val="single" w:sz="4" w:space="0" w:color="0067AB" w:themeColor="accent1"/>
            </w:tcBorders>
            <w:vAlign w:val="center"/>
          </w:tcPr>
          <w:p w14:paraId="45801D80" w14:textId="77777777" w:rsidR="009B6C93" w:rsidRPr="00AF154D" w:rsidRDefault="009B6C93" w:rsidP="009B6C93">
            <w:pPr>
              <w:keepNext/>
              <w:rPr>
                <w:b w:val="0"/>
                <w:sz w:val="20"/>
                <w:szCs w:val="20"/>
              </w:rPr>
            </w:pPr>
            <w:r>
              <w:rPr>
                <w:b w:val="0"/>
                <w:sz w:val="20"/>
                <w:szCs w:val="20"/>
              </w:rPr>
              <w:t>2040</w:t>
            </w:r>
          </w:p>
        </w:tc>
        <w:tc>
          <w:tcPr>
            <w:tcW w:w="315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5EF88187" w14:textId="303FF49A" w:rsidR="009B6C93" w:rsidRPr="00315694" w:rsidRDefault="00F52316" w:rsidP="009B6C93">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Single</w:t>
            </w:r>
            <w:r w:rsidR="007B1EA8">
              <w:rPr>
                <w:sz w:val="20"/>
                <w:szCs w:val="20"/>
              </w:rPr>
              <w:t xml:space="preserve"> unit</w:t>
            </w:r>
            <w:r w:rsidR="009B6C93">
              <w:rPr>
                <w:sz w:val="20"/>
                <w:szCs w:val="20"/>
              </w:rPr>
              <w:t xml:space="preserve"> Short Haul, Gas</w:t>
            </w:r>
          </w:p>
        </w:tc>
        <w:tc>
          <w:tcPr>
            <w:tcW w:w="1146"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7E8E0390" w14:textId="77777777" w:rsidR="009B6C93" w:rsidRPr="00A609BA" w:rsidRDefault="009B6C93" w:rsidP="009B6C93">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64,417</w:t>
            </w:r>
          </w:p>
        </w:tc>
        <w:tc>
          <w:tcPr>
            <w:tcW w:w="114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292B9E41" w14:textId="77777777" w:rsidR="009B6C93" w:rsidRPr="00A609BA" w:rsidRDefault="009B6C93" w:rsidP="009B6C93">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91,518</w:t>
            </w:r>
          </w:p>
        </w:tc>
        <w:tc>
          <w:tcPr>
            <w:tcW w:w="114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0962EFAB" w14:textId="77777777" w:rsidR="009B6C93" w:rsidRPr="00A609BA" w:rsidRDefault="009B6C93" w:rsidP="009B6C93">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692</w:t>
            </w:r>
          </w:p>
        </w:tc>
        <w:tc>
          <w:tcPr>
            <w:tcW w:w="114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3391349C" w14:textId="77777777" w:rsidR="009B6C93" w:rsidRPr="00A609BA" w:rsidRDefault="009B6C93" w:rsidP="009B6C93">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w:t>
            </w:r>
          </w:p>
        </w:tc>
        <w:tc>
          <w:tcPr>
            <w:tcW w:w="1147" w:type="dxa"/>
            <w:tcBorders>
              <w:top w:val="single" w:sz="4" w:space="0" w:color="0067AB" w:themeColor="accent1"/>
              <w:left w:val="single" w:sz="4" w:space="0" w:color="0067AB" w:themeColor="accent1"/>
              <w:bottom w:val="single" w:sz="4" w:space="0" w:color="0067AB" w:themeColor="accent1"/>
            </w:tcBorders>
            <w:vAlign w:val="center"/>
          </w:tcPr>
          <w:p w14:paraId="649C1511" w14:textId="77777777" w:rsidR="009B6C93" w:rsidRPr="00A609BA" w:rsidRDefault="009B6C93" w:rsidP="009B6C93">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Pr>
                <w:rFonts w:asciiTheme="minorHAnsi" w:hAnsiTheme="minorHAnsi"/>
                <w:color w:val="000000"/>
                <w:sz w:val="20"/>
                <w:szCs w:val="20"/>
              </w:rPr>
              <w:t>-</w:t>
            </w:r>
          </w:p>
        </w:tc>
      </w:tr>
      <w:tr w:rsidR="009B6C93" w:rsidRPr="00315694" w14:paraId="3DCA4D1B" w14:textId="77777777" w:rsidTr="00F52316">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right w:val="single" w:sz="4" w:space="0" w:color="0067AB" w:themeColor="accent1"/>
            </w:tcBorders>
          </w:tcPr>
          <w:p w14:paraId="23041A82" w14:textId="77777777" w:rsidR="009B6C93" w:rsidRPr="00AF154D" w:rsidRDefault="009B6C93" w:rsidP="009B6C93">
            <w:pPr>
              <w:jc w:val="center"/>
              <w:rPr>
                <w:b w:val="0"/>
                <w:sz w:val="20"/>
                <w:szCs w:val="20"/>
              </w:rPr>
            </w:pPr>
          </w:p>
        </w:tc>
        <w:tc>
          <w:tcPr>
            <w:tcW w:w="3150" w:type="dxa"/>
            <w:tcBorders>
              <w:left w:val="single" w:sz="4" w:space="0" w:color="0067AB" w:themeColor="accent1"/>
              <w:right w:val="single" w:sz="4" w:space="0" w:color="0067AB" w:themeColor="accent1"/>
            </w:tcBorders>
          </w:tcPr>
          <w:p w14:paraId="6F79B29C" w14:textId="2097813A" w:rsidR="009B6C93" w:rsidRPr="00315694" w:rsidRDefault="00F52316" w:rsidP="009B6C9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Single</w:t>
            </w:r>
            <w:r w:rsidR="007B1EA8">
              <w:rPr>
                <w:sz w:val="20"/>
                <w:szCs w:val="20"/>
              </w:rPr>
              <w:t xml:space="preserve"> unit</w:t>
            </w:r>
            <w:r w:rsidR="009B6C93">
              <w:rPr>
                <w:sz w:val="20"/>
                <w:szCs w:val="20"/>
              </w:rPr>
              <w:t xml:space="preserve"> Short Haul, Diesel</w:t>
            </w:r>
          </w:p>
        </w:tc>
        <w:tc>
          <w:tcPr>
            <w:tcW w:w="1146" w:type="dxa"/>
            <w:tcBorders>
              <w:left w:val="single" w:sz="4" w:space="0" w:color="0067AB" w:themeColor="accent1"/>
              <w:right w:val="single" w:sz="4" w:space="0" w:color="0067AB" w:themeColor="accent1"/>
            </w:tcBorders>
            <w:vAlign w:val="center"/>
          </w:tcPr>
          <w:p w14:paraId="2AC5EC28" w14:textId="77777777" w:rsidR="009B6C93" w:rsidRPr="00A609BA" w:rsidRDefault="009B6C93" w:rsidP="009B6C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135,304</w:t>
            </w:r>
          </w:p>
        </w:tc>
        <w:tc>
          <w:tcPr>
            <w:tcW w:w="1147" w:type="dxa"/>
            <w:tcBorders>
              <w:left w:val="single" w:sz="4" w:space="0" w:color="0067AB" w:themeColor="accent1"/>
              <w:right w:val="single" w:sz="4" w:space="0" w:color="0067AB" w:themeColor="accent1"/>
            </w:tcBorders>
            <w:vAlign w:val="center"/>
          </w:tcPr>
          <w:p w14:paraId="06017A26" w14:textId="77777777" w:rsidR="009B6C93" w:rsidRPr="00A609BA" w:rsidRDefault="009B6C93" w:rsidP="009B6C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192,229</w:t>
            </w:r>
          </w:p>
        </w:tc>
        <w:tc>
          <w:tcPr>
            <w:tcW w:w="1147" w:type="dxa"/>
            <w:tcBorders>
              <w:left w:val="single" w:sz="4" w:space="0" w:color="0067AB" w:themeColor="accent1"/>
              <w:right w:val="single" w:sz="4" w:space="0" w:color="0067AB" w:themeColor="accent1"/>
            </w:tcBorders>
            <w:vAlign w:val="center"/>
          </w:tcPr>
          <w:p w14:paraId="01B7BF74" w14:textId="77777777" w:rsidR="009B6C93" w:rsidRPr="00A609BA" w:rsidRDefault="009B6C93" w:rsidP="009B6C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1,453</w:t>
            </w:r>
          </w:p>
        </w:tc>
        <w:tc>
          <w:tcPr>
            <w:tcW w:w="1147" w:type="dxa"/>
            <w:tcBorders>
              <w:left w:val="single" w:sz="4" w:space="0" w:color="0067AB" w:themeColor="accent1"/>
              <w:right w:val="single" w:sz="4" w:space="0" w:color="0067AB" w:themeColor="accent1"/>
            </w:tcBorders>
            <w:vAlign w:val="center"/>
          </w:tcPr>
          <w:p w14:paraId="013868BC" w14:textId="77777777" w:rsidR="009B6C93" w:rsidRPr="00A609BA" w:rsidRDefault="009B6C93" w:rsidP="009B6C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w:t>
            </w:r>
          </w:p>
        </w:tc>
        <w:tc>
          <w:tcPr>
            <w:tcW w:w="1147" w:type="dxa"/>
            <w:tcBorders>
              <w:left w:val="single" w:sz="4" w:space="0" w:color="0067AB" w:themeColor="accent1"/>
            </w:tcBorders>
            <w:vAlign w:val="center"/>
          </w:tcPr>
          <w:p w14:paraId="6C16B27D" w14:textId="77777777" w:rsidR="009B6C93" w:rsidRPr="00A609BA" w:rsidRDefault="009B6C93" w:rsidP="009B6C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Pr>
                <w:rFonts w:asciiTheme="minorHAnsi" w:hAnsiTheme="minorHAnsi"/>
                <w:color w:val="000000"/>
                <w:sz w:val="20"/>
                <w:szCs w:val="20"/>
              </w:rPr>
              <w:t>-</w:t>
            </w:r>
          </w:p>
        </w:tc>
      </w:tr>
      <w:tr w:rsidR="009B6C93" w:rsidRPr="00315694" w14:paraId="2F15312D" w14:textId="77777777" w:rsidTr="00F52316">
        <w:tblPrEx>
          <w:jc w:val="left"/>
        </w:tblPrEx>
        <w:tc>
          <w:tcPr>
            <w:cnfStyle w:val="001000000000" w:firstRow="0" w:lastRow="0" w:firstColumn="1" w:lastColumn="0" w:oddVBand="0" w:evenVBand="0" w:oddHBand="0" w:evenHBand="0" w:firstRowFirstColumn="0" w:firstRowLastColumn="0" w:lastRowFirstColumn="0" w:lastRowLastColumn="0"/>
            <w:tcW w:w="715" w:type="dxa"/>
            <w:vMerge/>
            <w:tcBorders>
              <w:top w:val="single" w:sz="4" w:space="0" w:color="0067AB" w:themeColor="accent1"/>
              <w:bottom w:val="single" w:sz="4" w:space="0" w:color="0067AB" w:themeColor="accent1"/>
              <w:right w:val="single" w:sz="4" w:space="0" w:color="0067AB" w:themeColor="accent1"/>
            </w:tcBorders>
          </w:tcPr>
          <w:p w14:paraId="14FCDA9B" w14:textId="77777777" w:rsidR="009B6C93" w:rsidRPr="00AF154D" w:rsidRDefault="009B6C93" w:rsidP="009B6C93">
            <w:pPr>
              <w:jc w:val="center"/>
              <w:rPr>
                <w:b w:val="0"/>
                <w:sz w:val="20"/>
                <w:szCs w:val="20"/>
              </w:rPr>
            </w:pPr>
          </w:p>
        </w:tc>
        <w:tc>
          <w:tcPr>
            <w:tcW w:w="315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435B1EF6" w14:textId="6F455A45" w:rsidR="009B6C93" w:rsidRPr="00315694" w:rsidRDefault="00F52316" w:rsidP="009B6C9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Single</w:t>
            </w:r>
            <w:r w:rsidR="007B1EA8">
              <w:rPr>
                <w:sz w:val="20"/>
                <w:szCs w:val="20"/>
              </w:rPr>
              <w:t xml:space="preserve"> unit</w:t>
            </w:r>
            <w:r w:rsidR="009B6C93">
              <w:rPr>
                <w:sz w:val="20"/>
                <w:szCs w:val="20"/>
              </w:rPr>
              <w:t xml:space="preserve"> Long Haul, Diesel</w:t>
            </w:r>
          </w:p>
        </w:tc>
        <w:tc>
          <w:tcPr>
            <w:tcW w:w="1146"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19BF951E" w14:textId="77777777" w:rsidR="009B6C93" w:rsidRPr="00A609BA" w:rsidRDefault="009B6C93" w:rsidP="009B6C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8,266</w:t>
            </w:r>
          </w:p>
        </w:tc>
        <w:tc>
          <w:tcPr>
            <w:tcW w:w="114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65C859E4" w14:textId="77777777" w:rsidR="009B6C93" w:rsidRPr="00A609BA" w:rsidRDefault="009B6C93" w:rsidP="009B6C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11,741</w:t>
            </w:r>
          </w:p>
        </w:tc>
        <w:tc>
          <w:tcPr>
            <w:tcW w:w="114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522D704B" w14:textId="77777777" w:rsidR="009B6C93" w:rsidRPr="00A609BA" w:rsidRDefault="009B6C93" w:rsidP="009B6C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89</w:t>
            </w:r>
          </w:p>
        </w:tc>
        <w:tc>
          <w:tcPr>
            <w:tcW w:w="114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3439DFBD" w14:textId="77777777" w:rsidR="009B6C93" w:rsidRPr="00A609BA" w:rsidRDefault="009B6C93" w:rsidP="009B6C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w:t>
            </w:r>
          </w:p>
        </w:tc>
        <w:tc>
          <w:tcPr>
            <w:tcW w:w="1147" w:type="dxa"/>
            <w:tcBorders>
              <w:top w:val="single" w:sz="4" w:space="0" w:color="0067AB" w:themeColor="accent1"/>
              <w:left w:val="single" w:sz="4" w:space="0" w:color="0067AB" w:themeColor="accent1"/>
              <w:bottom w:val="single" w:sz="4" w:space="0" w:color="0067AB" w:themeColor="accent1"/>
            </w:tcBorders>
            <w:vAlign w:val="center"/>
          </w:tcPr>
          <w:p w14:paraId="2B491E1E" w14:textId="77777777" w:rsidR="009B6C93" w:rsidRPr="00A609BA" w:rsidRDefault="009B6C93" w:rsidP="009B6C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Pr>
                <w:rFonts w:asciiTheme="minorHAnsi" w:hAnsiTheme="minorHAnsi"/>
                <w:color w:val="000000"/>
                <w:sz w:val="20"/>
                <w:szCs w:val="20"/>
              </w:rPr>
              <w:t>-</w:t>
            </w:r>
          </w:p>
        </w:tc>
      </w:tr>
      <w:tr w:rsidR="00A609BA" w:rsidRPr="00315694" w14:paraId="705D37E1" w14:textId="77777777" w:rsidTr="00F52316">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right w:val="single" w:sz="4" w:space="0" w:color="0067AB" w:themeColor="accent1"/>
            </w:tcBorders>
          </w:tcPr>
          <w:p w14:paraId="5B0C61BD" w14:textId="77777777" w:rsidR="00A609BA" w:rsidRDefault="00A609BA" w:rsidP="00A609BA">
            <w:pPr>
              <w:jc w:val="center"/>
              <w:rPr>
                <w:b w:val="0"/>
                <w:sz w:val="20"/>
                <w:szCs w:val="20"/>
              </w:rPr>
            </w:pPr>
          </w:p>
        </w:tc>
        <w:tc>
          <w:tcPr>
            <w:tcW w:w="3150" w:type="dxa"/>
            <w:tcBorders>
              <w:left w:val="single" w:sz="4" w:space="0" w:color="0067AB" w:themeColor="accent1"/>
              <w:right w:val="single" w:sz="4" w:space="0" w:color="0067AB" w:themeColor="accent1"/>
            </w:tcBorders>
          </w:tcPr>
          <w:p w14:paraId="050E7A10" w14:textId="52A4FEDA" w:rsidR="00A609BA" w:rsidRPr="00315694" w:rsidRDefault="00F52316" w:rsidP="00A609B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Combination</w:t>
            </w:r>
            <w:r w:rsidR="007B1EA8">
              <w:rPr>
                <w:sz w:val="20"/>
                <w:szCs w:val="20"/>
              </w:rPr>
              <w:t xml:space="preserve"> unit</w:t>
            </w:r>
            <w:r w:rsidR="00A609BA">
              <w:rPr>
                <w:sz w:val="20"/>
                <w:szCs w:val="20"/>
              </w:rPr>
              <w:t xml:space="preserve"> Short Haul, Diesel</w:t>
            </w:r>
          </w:p>
        </w:tc>
        <w:tc>
          <w:tcPr>
            <w:tcW w:w="1146" w:type="dxa"/>
            <w:tcBorders>
              <w:left w:val="single" w:sz="4" w:space="0" w:color="0067AB" w:themeColor="accent1"/>
              <w:right w:val="single" w:sz="4" w:space="0" w:color="0067AB" w:themeColor="accent1"/>
            </w:tcBorders>
            <w:vAlign w:val="center"/>
          </w:tcPr>
          <w:p w14:paraId="176D6898" w14:textId="77777777" w:rsidR="00A609BA" w:rsidRPr="00A609BA" w:rsidRDefault="00A609BA" w:rsidP="00A609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36,209</w:t>
            </w:r>
          </w:p>
        </w:tc>
        <w:tc>
          <w:tcPr>
            <w:tcW w:w="1147" w:type="dxa"/>
            <w:tcBorders>
              <w:left w:val="single" w:sz="4" w:space="0" w:color="0067AB" w:themeColor="accent1"/>
              <w:right w:val="single" w:sz="4" w:space="0" w:color="0067AB" w:themeColor="accent1"/>
            </w:tcBorders>
            <w:vAlign w:val="center"/>
          </w:tcPr>
          <w:p w14:paraId="5B524C36" w14:textId="77777777" w:rsidR="00A609BA" w:rsidRPr="00A609BA" w:rsidRDefault="00A609BA" w:rsidP="00A609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50,566</w:t>
            </w:r>
          </w:p>
        </w:tc>
        <w:tc>
          <w:tcPr>
            <w:tcW w:w="1147" w:type="dxa"/>
            <w:tcBorders>
              <w:left w:val="single" w:sz="4" w:space="0" w:color="0067AB" w:themeColor="accent1"/>
              <w:right w:val="single" w:sz="4" w:space="0" w:color="0067AB" w:themeColor="accent1"/>
            </w:tcBorders>
            <w:vAlign w:val="center"/>
          </w:tcPr>
          <w:p w14:paraId="7F4287E8" w14:textId="77777777" w:rsidR="00A609BA" w:rsidRPr="00A609BA" w:rsidRDefault="00A609BA" w:rsidP="00A609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415</w:t>
            </w:r>
          </w:p>
        </w:tc>
        <w:tc>
          <w:tcPr>
            <w:tcW w:w="1147" w:type="dxa"/>
            <w:tcBorders>
              <w:left w:val="single" w:sz="4" w:space="0" w:color="0067AB" w:themeColor="accent1"/>
              <w:right w:val="single" w:sz="4" w:space="0" w:color="0067AB" w:themeColor="accent1"/>
            </w:tcBorders>
            <w:vAlign w:val="center"/>
          </w:tcPr>
          <w:p w14:paraId="3664DCBF" w14:textId="77777777" w:rsidR="00A609BA" w:rsidRPr="00A609BA" w:rsidRDefault="00A609BA" w:rsidP="00A609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1,000</w:t>
            </w:r>
          </w:p>
        </w:tc>
        <w:tc>
          <w:tcPr>
            <w:tcW w:w="1147" w:type="dxa"/>
            <w:tcBorders>
              <w:left w:val="single" w:sz="4" w:space="0" w:color="0067AB" w:themeColor="accent1"/>
            </w:tcBorders>
            <w:vAlign w:val="center"/>
          </w:tcPr>
          <w:p w14:paraId="567562D4" w14:textId="77777777" w:rsidR="00A609BA" w:rsidRPr="00A609BA" w:rsidRDefault="00A609BA" w:rsidP="00A609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6,228</w:t>
            </w:r>
          </w:p>
        </w:tc>
      </w:tr>
      <w:tr w:rsidR="00A609BA" w:rsidRPr="00315694" w14:paraId="482742CF" w14:textId="77777777" w:rsidTr="00F52316">
        <w:tblPrEx>
          <w:jc w:val="left"/>
        </w:tblPrEx>
        <w:tc>
          <w:tcPr>
            <w:cnfStyle w:val="001000000000" w:firstRow="0" w:lastRow="0" w:firstColumn="1" w:lastColumn="0" w:oddVBand="0" w:evenVBand="0" w:oddHBand="0" w:evenHBand="0" w:firstRowFirstColumn="0" w:firstRowLastColumn="0" w:lastRowFirstColumn="0" w:lastRowLastColumn="0"/>
            <w:tcW w:w="715" w:type="dxa"/>
            <w:vMerge/>
            <w:tcBorders>
              <w:top w:val="single" w:sz="4" w:space="0" w:color="0067AB" w:themeColor="accent1"/>
              <w:bottom w:val="single" w:sz="4" w:space="0" w:color="0067AB" w:themeColor="accent1"/>
              <w:right w:val="single" w:sz="4" w:space="0" w:color="0067AB" w:themeColor="accent1"/>
            </w:tcBorders>
          </w:tcPr>
          <w:p w14:paraId="43359CE9" w14:textId="77777777" w:rsidR="00A609BA" w:rsidRDefault="00A609BA" w:rsidP="00A609BA">
            <w:pPr>
              <w:jc w:val="center"/>
              <w:rPr>
                <w:b w:val="0"/>
                <w:sz w:val="20"/>
                <w:szCs w:val="20"/>
              </w:rPr>
            </w:pPr>
          </w:p>
        </w:tc>
        <w:tc>
          <w:tcPr>
            <w:tcW w:w="315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7AD17F51" w14:textId="1ED1DFB8" w:rsidR="00A609BA" w:rsidRPr="00315694" w:rsidRDefault="00F52316" w:rsidP="00A609B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Combination</w:t>
            </w:r>
            <w:r w:rsidR="007B1EA8">
              <w:rPr>
                <w:sz w:val="20"/>
                <w:szCs w:val="20"/>
              </w:rPr>
              <w:t xml:space="preserve"> unit</w:t>
            </w:r>
            <w:r w:rsidR="00A609BA">
              <w:rPr>
                <w:sz w:val="20"/>
                <w:szCs w:val="20"/>
              </w:rPr>
              <w:t xml:space="preserve"> Long Haul, Diesel</w:t>
            </w:r>
          </w:p>
        </w:tc>
        <w:tc>
          <w:tcPr>
            <w:tcW w:w="1146"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520E3D1D" w14:textId="77777777" w:rsidR="00A609BA" w:rsidRPr="00A609BA" w:rsidRDefault="00A609BA" w:rsidP="00A609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47,111</w:t>
            </w:r>
          </w:p>
        </w:tc>
        <w:tc>
          <w:tcPr>
            <w:tcW w:w="114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074B5097" w14:textId="77777777" w:rsidR="00A609BA" w:rsidRPr="00A609BA" w:rsidRDefault="00A609BA" w:rsidP="00A609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65,719</w:t>
            </w:r>
          </w:p>
        </w:tc>
        <w:tc>
          <w:tcPr>
            <w:tcW w:w="114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6F5F562B" w14:textId="77777777" w:rsidR="00A609BA" w:rsidRPr="00A609BA" w:rsidRDefault="00A609BA" w:rsidP="00A609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543</w:t>
            </w:r>
          </w:p>
        </w:tc>
        <w:tc>
          <w:tcPr>
            <w:tcW w:w="114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37799AFF" w14:textId="77777777" w:rsidR="00A609BA" w:rsidRPr="00A609BA" w:rsidRDefault="00A609BA" w:rsidP="00A609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A609BA">
              <w:rPr>
                <w:rFonts w:asciiTheme="minorHAnsi" w:hAnsiTheme="minorHAnsi"/>
                <w:color w:val="000000"/>
                <w:sz w:val="20"/>
                <w:szCs w:val="20"/>
              </w:rPr>
              <w:t>750</w:t>
            </w:r>
          </w:p>
        </w:tc>
        <w:tc>
          <w:tcPr>
            <w:tcW w:w="1147" w:type="dxa"/>
            <w:tcBorders>
              <w:top w:val="single" w:sz="4" w:space="0" w:color="0067AB" w:themeColor="accent1"/>
              <w:left w:val="single" w:sz="4" w:space="0" w:color="0067AB" w:themeColor="accent1"/>
              <w:bottom w:val="single" w:sz="4" w:space="0" w:color="0067AB" w:themeColor="accent1"/>
            </w:tcBorders>
            <w:vAlign w:val="center"/>
          </w:tcPr>
          <w:p w14:paraId="4F3BE75A" w14:textId="77777777" w:rsidR="00A609BA" w:rsidRPr="00A609BA" w:rsidRDefault="009B6C93" w:rsidP="00A609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Pr>
                <w:rFonts w:asciiTheme="minorHAnsi" w:hAnsiTheme="minorHAnsi"/>
                <w:color w:val="000000"/>
                <w:sz w:val="20"/>
                <w:szCs w:val="20"/>
              </w:rPr>
              <w:t>-</w:t>
            </w:r>
          </w:p>
        </w:tc>
      </w:tr>
    </w:tbl>
    <w:p w14:paraId="253AD43F" w14:textId="7480463F" w:rsidR="00A609BA" w:rsidRDefault="009B6C93" w:rsidP="009B6C93">
      <w:pPr>
        <w:spacing w:before="240" w:after="240" w:line="276" w:lineRule="auto"/>
      </w:pPr>
      <w:r>
        <w:t>Average extended idle hours for combination</w:t>
      </w:r>
      <w:r w:rsidR="007B1EA8">
        <w:t xml:space="preserve"> unit</w:t>
      </w:r>
      <w:r>
        <w:t xml:space="preserve"> long haul trucks were also determined from MOVES by calendar year.</w:t>
      </w:r>
      <w:r w:rsidR="00330080">
        <w:t xml:space="preserve"> </w:t>
      </w:r>
      <w:r w:rsidR="004E1497">
        <w:t xml:space="preserve">They are shown in </w:t>
      </w:r>
      <w:r w:rsidR="00833B69">
        <w:fldChar w:fldCharType="begin"/>
      </w:r>
      <w:r w:rsidR="00DF14A2">
        <w:instrText xml:space="preserve"> REF _Ref459993982 \h </w:instrText>
      </w:r>
      <w:r w:rsidR="00833B69">
        <w:fldChar w:fldCharType="separate"/>
      </w:r>
      <w:r w:rsidR="00C42F38">
        <w:t xml:space="preserve">Table </w:t>
      </w:r>
      <w:r w:rsidR="00C42F38">
        <w:rPr>
          <w:noProof/>
        </w:rPr>
        <w:t>18</w:t>
      </w:r>
      <w:r w:rsidR="00833B69">
        <w:fldChar w:fldCharType="end"/>
      </w:r>
      <w:r w:rsidR="004E1497">
        <w:t>.</w:t>
      </w:r>
    </w:p>
    <w:p w14:paraId="5CED2E94" w14:textId="77777777" w:rsidR="00DF14A2" w:rsidRDefault="00DF14A2" w:rsidP="00DF14A2">
      <w:pPr>
        <w:pStyle w:val="TableCaption"/>
      </w:pPr>
      <w:bookmarkStart w:id="73" w:name="_Ref459993982"/>
      <w:bookmarkStart w:id="74" w:name="_Toc482973598"/>
      <w:r>
        <w:t xml:space="preserve">Table </w:t>
      </w:r>
      <w:r w:rsidR="00833B69">
        <w:fldChar w:fldCharType="begin"/>
      </w:r>
      <w:r>
        <w:instrText xml:space="preserve"> SEQ Table \* ARABIC </w:instrText>
      </w:r>
      <w:r w:rsidR="00833B69">
        <w:fldChar w:fldCharType="separate"/>
      </w:r>
      <w:r w:rsidR="00305706">
        <w:t>18</w:t>
      </w:r>
      <w:r w:rsidR="00833B69">
        <w:fldChar w:fldCharType="end"/>
      </w:r>
      <w:bookmarkEnd w:id="73"/>
      <w:r w:rsidR="00C43F06">
        <w:t>.</w:t>
      </w:r>
      <w:r>
        <w:t xml:space="preserve"> Default Extended Annual Idle Hours by Geographic Scale</w:t>
      </w:r>
      <w:bookmarkEnd w:id="74"/>
    </w:p>
    <w:tbl>
      <w:tblPr>
        <w:tblStyle w:val="ListTable3-Accent11"/>
        <w:tblW w:w="6827" w:type="dxa"/>
        <w:jc w:val="center"/>
        <w:tblLayout w:type="fixed"/>
        <w:tblLook w:val="04A0" w:firstRow="1" w:lastRow="0" w:firstColumn="1" w:lastColumn="0" w:noHBand="0" w:noVBand="1"/>
      </w:tblPr>
      <w:tblGrid>
        <w:gridCol w:w="985"/>
        <w:gridCol w:w="1459"/>
        <w:gridCol w:w="1461"/>
        <w:gridCol w:w="1461"/>
        <w:gridCol w:w="1461"/>
      </w:tblGrid>
      <w:tr w:rsidR="004E1497" w:rsidRPr="00315694" w14:paraId="6BD2D625" w14:textId="77777777" w:rsidTr="004E1497">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985" w:type="dxa"/>
            <w:tcBorders>
              <w:left w:val="single" w:sz="4" w:space="0" w:color="0067AB" w:themeColor="accent1"/>
              <w:bottom w:val="single" w:sz="4" w:space="0" w:color="0067AB" w:themeColor="accent1"/>
              <w:right w:val="single" w:sz="4" w:space="0" w:color="0067AB" w:themeColor="accent1"/>
            </w:tcBorders>
            <w:vAlign w:val="center"/>
          </w:tcPr>
          <w:p w14:paraId="1220DEBA" w14:textId="77777777" w:rsidR="004E1497" w:rsidRPr="00315694" w:rsidRDefault="004E1497" w:rsidP="00045955">
            <w:pPr>
              <w:keepNext/>
              <w:jc w:val="center"/>
              <w:rPr>
                <w:sz w:val="20"/>
                <w:szCs w:val="20"/>
              </w:rPr>
            </w:pPr>
            <w:r>
              <w:rPr>
                <w:sz w:val="20"/>
                <w:szCs w:val="20"/>
              </w:rPr>
              <w:t>Year</w:t>
            </w:r>
          </w:p>
        </w:tc>
        <w:tc>
          <w:tcPr>
            <w:tcW w:w="1459" w:type="dxa"/>
            <w:tcBorders>
              <w:left w:val="single" w:sz="4" w:space="0" w:color="0067AB" w:themeColor="accent1"/>
              <w:bottom w:val="single" w:sz="4" w:space="0" w:color="0067AB" w:themeColor="accent1"/>
              <w:right w:val="single" w:sz="4" w:space="0" w:color="0067AB" w:themeColor="accent1"/>
            </w:tcBorders>
            <w:vAlign w:val="center"/>
          </w:tcPr>
          <w:p w14:paraId="120D3BD2" w14:textId="77777777" w:rsidR="004E1497" w:rsidRPr="00315694" w:rsidRDefault="004E1497" w:rsidP="00045955">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State</w:t>
            </w:r>
          </w:p>
        </w:tc>
        <w:tc>
          <w:tcPr>
            <w:tcW w:w="1461" w:type="dxa"/>
            <w:tcBorders>
              <w:left w:val="single" w:sz="4" w:space="0" w:color="0067AB" w:themeColor="accent1"/>
              <w:bottom w:val="single" w:sz="4" w:space="0" w:color="0067AB" w:themeColor="accent1"/>
              <w:right w:val="single" w:sz="4" w:space="0" w:color="0067AB" w:themeColor="accent1"/>
            </w:tcBorders>
            <w:vAlign w:val="center"/>
          </w:tcPr>
          <w:p w14:paraId="20BCAE40" w14:textId="77777777" w:rsidR="004E1497" w:rsidRPr="00315694" w:rsidRDefault="004E1497" w:rsidP="00045955">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Metro</w:t>
            </w:r>
          </w:p>
        </w:tc>
        <w:tc>
          <w:tcPr>
            <w:tcW w:w="1461" w:type="dxa"/>
            <w:tcBorders>
              <w:left w:val="single" w:sz="4" w:space="0" w:color="0067AB" w:themeColor="accent1"/>
              <w:bottom w:val="single" w:sz="4" w:space="0" w:color="0067AB" w:themeColor="accent1"/>
              <w:right w:val="single" w:sz="4" w:space="0" w:color="0067AB" w:themeColor="accent1"/>
            </w:tcBorders>
            <w:vAlign w:val="center"/>
          </w:tcPr>
          <w:p w14:paraId="01758141" w14:textId="77777777" w:rsidR="004E1497" w:rsidRPr="00315694" w:rsidRDefault="004E1497" w:rsidP="00045955">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County</w:t>
            </w:r>
          </w:p>
        </w:tc>
        <w:tc>
          <w:tcPr>
            <w:tcW w:w="1461" w:type="dxa"/>
            <w:tcBorders>
              <w:left w:val="single" w:sz="4" w:space="0" w:color="0067AB" w:themeColor="accent1"/>
              <w:bottom w:val="single" w:sz="4" w:space="0" w:color="0067AB" w:themeColor="accent1"/>
            </w:tcBorders>
            <w:vAlign w:val="center"/>
          </w:tcPr>
          <w:p w14:paraId="13EC5057" w14:textId="77777777" w:rsidR="004E1497" w:rsidRPr="00315694" w:rsidRDefault="004E1497" w:rsidP="00045955">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Dist Ctr</w:t>
            </w:r>
          </w:p>
        </w:tc>
      </w:tr>
      <w:tr w:rsidR="004E1497" w:rsidRPr="00A609BA" w14:paraId="6204532D" w14:textId="77777777" w:rsidTr="004E14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5" w:type="dxa"/>
            <w:tcBorders>
              <w:left w:val="single" w:sz="4" w:space="0" w:color="0067AB" w:themeColor="accent1"/>
              <w:right w:val="single" w:sz="4" w:space="0" w:color="0067AB" w:themeColor="accent1"/>
            </w:tcBorders>
            <w:vAlign w:val="center"/>
          </w:tcPr>
          <w:p w14:paraId="126E4C28" w14:textId="77777777" w:rsidR="004E1497" w:rsidRPr="004E1497" w:rsidRDefault="004E1497" w:rsidP="004E1497">
            <w:pPr>
              <w:keepNext/>
              <w:jc w:val="center"/>
              <w:rPr>
                <w:b w:val="0"/>
                <w:sz w:val="20"/>
                <w:szCs w:val="20"/>
              </w:rPr>
            </w:pPr>
            <w:r w:rsidRPr="004E1497">
              <w:rPr>
                <w:b w:val="0"/>
                <w:sz w:val="20"/>
                <w:szCs w:val="20"/>
              </w:rPr>
              <w:t>2015</w:t>
            </w:r>
          </w:p>
        </w:tc>
        <w:tc>
          <w:tcPr>
            <w:tcW w:w="1459" w:type="dxa"/>
            <w:tcBorders>
              <w:left w:val="single" w:sz="4" w:space="0" w:color="0067AB" w:themeColor="accent1"/>
              <w:right w:val="single" w:sz="4" w:space="0" w:color="0067AB" w:themeColor="accent1"/>
            </w:tcBorders>
            <w:vAlign w:val="center"/>
          </w:tcPr>
          <w:p w14:paraId="2C6C5C65" w14:textId="77777777" w:rsidR="004E1497" w:rsidRPr="004E1497" w:rsidRDefault="004E1497" w:rsidP="004E1497">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E1497">
              <w:rPr>
                <w:color w:val="000000"/>
                <w:sz w:val="20"/>
                <w:szCs w:val="20"/>
              </w:rPr>
              <w:t>1,145</w:t>
            </w:r>
          </w:p>
        </w:tc>
        <w:tc>
          <w:tcPr>
            <w:tcW w:w="1461" w:type="dxa"/>
            <w:tcBorders>
              <w:left w:val="single" w:sz="4" w:space="0" w:color="0067AB" w:themeColor="accent1"/>
              <w:right w:val="single" w:sz="4" w:space="0" w:color="0067AB" w:themeColor="accent1"/>
            </w:tcBorders>
            <w:vAlign w:val="center"/>
          </w:tcPr>
          <w:p w14:paraId="54215B91" w14:textId="77777777" w:rsidR="004E1497" w:rsidRPr="004E1497" w:rsidRDefault="004E1497" w:rsidP="004E1497">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E1497">
              <w:rPr>
                <w:color w:val="000000"/>
                <w:sz w:val="20"/>
                <w:szCs w:val="20"/>
              </w:rPr>
              <w:t>859</w:t>
            </w:r>
          </w:p>
        </w:tc>
        <w:tc>
          <w:tcPr>
            <w:tcW w:w="1461" w:type="dxa"/>
            <w:tcBorders>
              <w:left w:val="single" w:sz="4" w:space="0" w:color="0067AB" w:themeColor="accent1"/>
              <w:right w:val="single" w:sz="4" w:space="0" w:color="0067AB" w:themeColor="accent1"/>
            </w:tcBorders>
            <w:vAlign w:val="center"/>
          </w:tcPr>
          <w:p w14:paraId="1EC2B174" w14:textId="77777777" w:rsidR="004E1497" w:rsidRPr="004E1497" w:rsidRDefault="004E1497" w:rsidP="004E1497">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E1497">
              <w:rPr>
                <w:color w:val="000000"/>
                <w:sz w:val="20"/>
                <w:szCs w:val="20"/>
              </w:rPr>
              <w:t>1,834</w:t>
            </w:r>
          </w:p>
        </w:tc>
        <w:tc>
          <w:tcPr>
            <w:tcW w:w="1461" w:type="dxa"/>
            <w:tcBorders>
              <w:left w:val="single" w:sz="4" w:space="0" w:color="0067AB" w:themeColor="accent1"/>
            </w:tcBorders>
            <w:vAlign w:val="center"/>
          </w:tcPr>
          <w:p w14:paraId="2E1E7892" w14:textId="77777777" w:rsidR="004E1497" w:rsidRPr="004E1497" w:rsidRDefault="004E1497" w:rsidP="004E1497">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E1497">
              <w:rPr>
                <w:color w:val="000000"/>
                <w:sz w:val="20"/>
                <w:szCs w:val="20"/>
              </w:rPr>
              <w:t>1,834</w:t>
            </w:r>
          </w:p>
        </w:tc>
      </w:tr>
      <w:tr w:rsidR="004E1497" w:rsidRPr="00A609BA" w14:paraId="08CDF0D7" w14:textId="77777777" w:rsidTr="004E1497">
        <w:trPr>
          <w:jc w:val="center"/>
        </w:trPr>
        <w:tc>
          <w:tcPr>
            <w:cnfStyle w:val="001000000000" w:firstRow="0" w:lastRow="0" w:firstColumn="1" w:lastColumn="0" w:oddVBand="0" w:evenVBand="0" w:oddHBand="0" w:evenHBand="0" w:firstRowFirstColumn="0" w:firstRowLastColumn="0" w:lastRowFirstColumn="0" w:lastRowLastColumn="0"/>
            <w:tcW w:w="985"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5AF7D2E4" w14:textId="77777777" w:rsidR="004E1497" w:rsidRPr="004E1497" w:rsidRDefault="004E1497" w:rsidP="004E1497">
            <w:pPr>
              <w:keepNext/>
              <w:jc w:val="center"/>
              <w:rPr>
                <w:b w:val="0"/>
                <w:sz w:val="20"/>
                <w:szCs w:val="20"/>
              </w:rPr>
            </w:pPr>
            <w:r w:rsidRPr="004E1497">
              <w:rPr>
                <w:b w:val="0"/>
                <w:sz w:val="20"/>
                <w:szCs w:val="20"/>
              </w:rPr>
              <w:t>2020</w:t>
            </w:r>
          </w:p>
        </w:tc>
        <w:tc>
          <w:tcPr>
            <w:tcW w:w="1459"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70626418" w14:textId="77777777" w:rsidR="004E1497" w:rsidRPr="004E1497" w:rsidRDefault="004E1497" w:rsidP="004E1497">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E1497">
              <w:rPr>
                <w:color w:val="000000"/>
                <w:sz w:val="20"/>
                <w:szCs w:val="20"/>
              </w:rPr>
              <w:t>964</w:t>
            </w:r>
          </w:p>
        </w:tc>
        <w:tc>
          <w:tcPr>
            <w:tcW w:w="1461"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09A6E2CF" w14:textId="77777777" w:rsidR="004E1497" w:rsidRPr="004E1497" w:rsidRDefault="004E1497" w:rsidP="004E1497">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E1497">
              <w:rPr>
                <w:color w:val="000000"/>
                <w:sz w:val="20"/>
                <w:szCs w:val="20"/>
              </w:rPr>
              <w:t>724</w:t>
            </w:r>
          </w:p>
        </w:tc>
        <w:tc>
          <w:tcPr>
            <w:tcW w:w="1461"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6257DCDD" w14:textId="77777777" w:rsidR="004E1497" w:rsidRPr="004E1497" w:rsidRDefault="004E1497" w:rsidP="004E1497">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E1497">
              <w:rPr>
                <w:color w:val="000000"/>
                <w:sz w:val="20"/>
                <w:szCs w:val="20"/>
              </w:rPr>
              <w:t>1,545</w:t>
            </w:r>
          </w:p>
        </w:tc>
        <w:tc>
          <w:tcPr>
            <w:tcW w:w="1461" w:type="dxa"/>
            <w:tcBorders>
              <w:top w:val="single" w:sz="4" w:space="0" w:color="0067AB" w:themeColor="accent1"/>
              <w:left w:val="single" w:sz="4" w:space="0" w:color="0067AB" w:themeColor="accent1"/>
              <w:bottom w:val="single" w:sz="4" w:space="0" w:color="0067AB" w:themeColor="accent1"/>
            </w:tcBorders>
            <w:vAlign w:val="center"/>
          </w:tcPr>
          <w:p w14:paraId="5FC0F6EE" w14:textId="77777777" w:rsidR="004E1497" w:rsidRPr="004E1497" w:rsidRDefault="004E1497" w:rsidP="004E1497">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E1497">
              <w:rPr>
                <w:color w:val="000000"/>
                <w:sz w:val="20"/>
                <w:szCs w:val="20"/>
              </w:rPr>
              <w:t>1,545</w:t>
            </w:r>
          </w:p>
        </w:tc>
      </w:tr>
      <w:tr w:rsidR="004E1497" w:rsidRPr="00A609BA" w14:paraId="038A2F9B" w14:textId="77777777" w:rsidTr="004E14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5" w:type="dxa"/>
            <w:tcBorders>
              <w:left w:val="single" w:sz="4" w:space="0" w:color="0067AB" w:themeColor="accent1"/>
              <w:right w:val="single" w:sz="4" w:space="0" w:color="0067AB" w:themeColor="accent1"/>
            </w:tcBorders>
            <w:vAlign w:val="center"/>
          </w:tcPr>
          <w:p w14:paraId="5F9D1C8E" w14:textId="77777777" w:rsidR="004E1497" w:rsidRPr="004E1497" w:rsidRDefault="004E1497" w:rsidP="004E1497">
            <w:pPr>
              <w:keepNext/>
              <w:jc w:val="center"/>
              <w:rPr>
                <w:b w:val="0"/>
                <w:sz w:val="20"/>
                <w:szCs w:val="20"/>
              </w:rPr>
            </w:pPr>
            <w:r w:rsidRPr="004E1497">
              <w:rPr>
                <w:b w:val="0"/>
                <w:sz w:val="20"/>
                <w:szCs w:val="20"/>
              </w:rPr>
              <w:t>2025</w:t>
            </w:r>
          </w:p>
        </w:tc>
        <w:tc>
          <w:tcPr>
            <w:tcW w:w="1459" w:type="dxa"/>
            <w:tcBorders>
              <w:left w:val="single" w:sz="4" w:space="0" w:color="0067AB" w:themeColor="accent1"/>
              <w:right w:val="single" w:sz="4" w:space="0" w:color="0067AB" w:themeColor="accent1"/>
            </w:tcBorders>
            <w:vAlign w:val="center"/>
          </w:tcPr>
          <w:p w14:paraId="295D531F" w14:textId="77777777" w:rsidR="004E1497" w:rsidRPr="004E1497" w:rsidRDefault="004E1497" w:rsidP="004E1497">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E1497">
              <w:rPr>
                <w:color w:val="000000"/>
                <w:sz w:val="20"/>
                <w:szCs w:val="20"/>
              </w:rPr>
              <w:t>855</w:t>
            </w:r>
          </w:p>
        </w:tc>
        <w:tc>
          <w:tcPr>
            <w:tcW w:w="1461" w:type="dxa"/>
            <w:tcBorders>
              <w:left w:val="single" w:sz="4" w:space="0" w:color="0067AB" w:themeColor="accent1"/>
              <w:right w:val="single" w:sz="4" w:space="0" w:color="0067AB" w:themeColor="accent1"/>
            </w:tcBorders>
            <w:vAlign w:val="center"/>
          </w:tcPr>
          <w:p w14:paraId="7C4A9670" w14:textId="77777777" w:rsidR="004E1497" w:rsidRPr="004E1497" w:rsidRDefault="004E1497" w:rsidP="004E1497">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E1497">
              <w:rPr>
                <w:color w:val="000000"/>
                <w:sz w:val="20"/>
                <w:szCs w:val="20"/>
              </w:rPr>
              <w:t>642</w:t>
            </w:r>
          </w:p>
        </w:tc>
        <w:tc>
          <w:tcPr>
            <w:tcW w:w="1461" w:type="dxa"/>
            <w:tcBorders>
              <w:left w:val="single" w:sz="4" w:space="0" w:color="0067AB" w:themeColor="accent1"/>
              <w:right w:val="single" w:sz="4" w:space="0" w:color="0067AB" w:themeColor="accent1"/>
            </w:tcBorders>
            <w:vAlign w:val="center"/>
          </w:tcPr>
          <w:p w14:paraId="547A4025" w14:textId="77777777" w:rsidR="004E1497" w:rsidRPr="004E1497" w:rsidRDefault="004E1497" w:rsidP="004E1497">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E1497">
              <w:rPr>
                <w:color w:val="000000"/>
                <w:sz w:val="20"/>
                <w:szCs w:val="20"/>
              </w:rPr>
              <w:t>1,370</w:t>
            </w:r>
          </w:p>
        </w:tc>
        <w:tc>
          <w:tcPr>
            <w:tcW w:w="1461" w:type="dxa"/>
            <w:tcBorders>
              <w:left w:val="single" w:sz="4" w:space="0" w:color="0067AB" w:themeColor="accent1"/>
            </w:tcBorders>
            <w:vAlign w:val="center"/>
          </w:tcPr>
          <w:p w14:paraId="70FBB636" w14:textId="77777777" w:rsidR="004E1497" w:rsidRPr="004E1497" w:rsidRDefault="004E1497" w:rsidP="004E1497">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E1497">
              <w:rPr>
                <w:color w:val="000000"/>
                <w:sz w:val="20"/>
                <w:szCs w:val="20"/>
              </w:rPr>
              <w:t>1,370</w:t>
            </w:r>
          </w:p>
        </w:tc>
      </w:tr>
      <w:tr w:rsidR="004E1497" w:rsidRPr="00A609BA" w14:paraId="366C9CEF" w14:textId="77777777" w:rsidTr="004E1497">
        <w:trPr>
          <w:jc w:val="center"/>
        </w:trPr>
        <w:tc>
          <w:tcPr>
            <w:cnfStyle w:val="001000000000" w:firstRow="0" w:lastRow="0" w:firstColumn="1" w:lastColumn="0" w:oddVBand="0" w:evenVBand="0" w:oddHBand="0" w:evenHBand="0" w:firstRowFirstColumn="0" w:firstRowLastColumn="0" w:lastRowFirstColumn="0" w:lastRowLastColumn="0"/>
            <w:tcW w:w="985"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6750F5B1" w14:textId="77777777" w:rsidR="004E1497" w:rsidRPr="004E1497" w:rsidRDefault="004E1497" w:rsidP="004E1497">
            <w:pPr>
              <w:keepNext/>
              <w:jc w:val="center"/>
              <w:rPr>
                <w:b w:val="0"/>
                <w:sz w:val="20"/>
                <w:szCs w:val="20"/>
              </w:rPr>
            </w:pPr>
            <w:r w:rsidRPr="004E1497">
              <w:rPr>
                <w:b w:val="0"/>
                <w:sz w:val="20"/>
                <w:szCs w:val="20"/>
              </w:rPr>
              <w:t>2030</w:t>
            </w:r>
          </w:p>
        </w:tc>
        <w:tc>
          <w:tcPr>
            <w:tcW w:w="1459"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27EE83D5" w14:textId="77777777" w:rsidR="004E1497" w:rsidRPr="004E1497" w:rsidRDefault="004E1497" w:rsidP="004E1497">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E1497">
              <w:rPr>
                <w:color w:val="000000"/>
                <w:sz w:val="20"/>
                <w:szCs w:val="20"/>
              </w:rPr>
              <w:t>804</w:t>
            </w:r>
          </w:p>
        </w:tc>
        <w:tc>
          <w:tcPr>
            <w:tcW w:w="1461"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044457E0" w14:textId="77777777" w:rsidR="004E1497" w:rsidRPr="004E1497" w:rsidRDefault="004E1497" w:rsidP="004E1497">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E1497">
              <w:rPr>
                <w:color w:val="000000"/>
                <w:sz w:val="20"/>
                <w:szCs w:val="20"/>
              </w:rPr>
              <w:t>603</w:t>
            </w:r>
          </w:p>
        </w:tc>
        <w:tc>
          <w:tcPr>
            <w:tcW w:w="1461"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4CEBE984" w14:textId="77777777" w:rsidR="004E1497" w:rsidRPr="004E1497" w:rsidRDefault="004E1497" w:rsidP="004E1497">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E1497">
              <w:rPr>
                <w:color w:val="000000"/>
                <w:sz w:val="20"/>
                <w:szCs w:val="20"/>
              </w:rPr>
              <w:t>1,288</w:t>
            </w:r>
          </w:p>
        </w:tc>
        <w:tc>
          <w:tcPr>
            <w:tcW w:w="1461" w:type="dxa"/>
            <w:tcBorders>
              <w:top w:val="single" w:sz="4" w:space="0" w:color="0067AB" w:themeColor="accent1"/>
              <w:left w:val="single" w:sz="4" w:space="0" w:color="0067AB" w:themeColor="accent1"/>
              <w:bottom w:val="single" w:sz="4" w:space="0" w:color="0067AB" w:themeColor="accent1"/>
            </w:tcBorders>
            <w:vAlign w:val="center"/>
          </w:tcPr>
          <w:p w14:paraId="116A4F30" w14:textId="77777777" w:rsidR="004E1497" w:rsidRPr="004E1497" w:rsidRDefault="004E1497" w:rsidP="004E1497">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E1497">
              <w:rPr>
                <w:color w:val="000000"/>
                <w:sz w:val="20"/>
                <w:szCs w:val="20"/>
              </w:rPr>
              <w:t>1,288</w:t>
            </w:r>
          </w:p>
        </w:tc>
      </w:tr>
      <w:tr w:rsidR="004E1497" w:rsidRPr="00A609BA" w14:paraId="564EC0BE" w14:textId="77777777" w:rsidTr="004E14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5" w:type="dxa"/>
            <w:tcBorders>
              <w:left w:val="single" w:sz="4" w:space="0" w:color="0067AB" w:themeColor="accent1"/>
              <w:right w:val="single" w:sz="4" w:space="0" w:color="0067AB" w:themeColor="accent1"/>
            </w:tcBorders>
            <w:vAlign w:val="center"/>
          </w:tcPr>
          <w:p w14:paraId="7FCD5503" w14:textId="77777777" w:rsidR="004E1497" w:rsidRPr="004E1497" w:rsidRDefault="004E1497" w:rsidP="004E1497">
            <w:pPr>
              <w:jc w:val="center"/>
              <w:rPr>
                <w:b w:val="0"/>
                <w:sz w:val="20"/>
                <w:szCs w:val="20"/>
              </w:rPr>
            </w:pPr>
            <w:r w:rsidRPr="004E1497">
              <w:rPr>
                <w:b w:val="0"/>
                <w:sz w:val="20"/>
                <w:szCs w:val="20"/>
              </w:rPr>
              <w:t>2035</w:t>
            </w:r>
          </w:p>
        </w:tc>
        <w:tc>
          <w:tcPr>
            <w:tcW w:w="1459" w:type="dxa"/>
            <w:tcBorders>
              <w:left w:val="single" w:sz="4" w:space="0" w:color="0067AB" w:themeColor="accent1"/>
              <w:right w:val="single" w:sz="4" w:space="0" w:color="0067AB" w:themeColor="accent1"/>
            </w:tcBorders>
            <w:vAlign w:val="center"/>
          </w:tcPr>
          <w:p w14:paraId="03434C47" w14:textId="77777777" w:rsidR="004E1497" w:rsidRPr="004E1497" w:rsidRDefault="004E1497" w:rsidP="004E14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E1497">
              <w:rPr>
                <w:color w:val="000000"/>
                <w:sz w:val="20"/>
                <w:szCs w:val="20"/>
              </w:rPr>
              <w:t>796</w:t>
            </w:r>
          </w:p>
        </w:tc>
        <w:tc>
          <w:tcPr>
            <w:tcW w:w="1461" w:type="dxa"/>
            <w:tcBorders>
              <w:left w:val="single" w:sz="4" w:space="0" w:color="0067AB" w:themeColor="accent1"/>
              <w:right w:val="single" w:sz="4" w:space="0" w:color="0067AB" w:themeColor="accent1"/>
            </w:tcBorders>
            <w:vAlign w:val="center"/>
          </w:tcPr>
          <w:p w14:paraId="47D200C1" w14:textId="77777777" w:rsidR="004E1497" w:rsidRPr="004E1497" w:rsidRDefault="004E1497" w:rsidP="004E14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E1497">
              <w:rPr>
                <w:color w:val="000000"/>
                <w:sz w:val="20"/>
                <w:szCs w:val="20"/>
              </w:rPr>
              <w:t>598</w:t>
            </w:r>
          </w:p>
        </w:tc>
        <w:tc>
          <w:tcPr>
            <w:tcW w:w="1461" w:type="dxa"/>
            <w:tcBorders>
              <w:left w:val="single" w:sz="4" w:space="0" w:color="0067AB" w:themeColor="accent1"/>
              <w:right w:val="single" w:sz="4" w:space="0" w:color="0067AB" w:themeColor="accent1"/>
            </w:tcBorders>
            <w:vAlign w:val="center"/>
          </w:tcPr>
          <w:p w14:paraId="5E73D876" w14:textId="77777777" w:rsidR="004E1497" w:rsidRPr="004E1497" w:rsidRDefault="004E1497" w:rsidP="004E14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E1497">
              <w:rPr>
                <w:color w:val="000000"/>
                <w:sz w:val="20"/>
                <w:szCs w:val="20"/>
              </w:rPr>
              <w:t>1,276</w:t>
            </w:r>
          </w:p>
        </w:tc>
        <w:tc>
          <w:tcPr>
            <w:tcW w:w="1461" w:type="dxa"/>
            <w:tcBorders>
              <w:left w:val="single" w:sz="4" w:space="0" w:color="0067AB" w:themeColor="accent1"/>
            </w:tcBorders>
            <w:vAlign w:val="center"/>
          </w:tcPr>
          <w:p w14:paraId="1D440A60" w14:textId="77777777" w:rsidR="004E1497" w:rsidRPr="004E1497" w:rsidRDefault="004E1497" w:rsidP="004E14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E1497">
              <w:rPr>
                <w:color w:val="000000"/>
                <w:sz w:val="20"/>
                <w:szCs w:val="20"/>
              </w:rPr>
              <w:t>1,276</w:t>
            </w:r>
          </w:p>
        </w:tc>
      </w:tr>
      <w:tr w:rsidR="004E1497" w:rsidRPr="00A609BA" w14:paraId="67223A55" w14:textId="77777777" w:rsidTr="004E1497">
        <w:trPr>
          <w:jc w:val="center"/>
        </w:trPr>
        <w:tc>
          <w:tcPr>
            <w:cnfStyle w:val="001000000000" w:firstRow="0" w:lastRow="0" w:firstColumn="1" w:lastColumn="0" w:oddVBand="0" w:evenVBand="0" w:oddHBand="0" w:evenHBand="0" w:firstRowFirstColumn="0" w:firstRowLastColumn="0" w:lastRowFirstColumn="0" w:lastRowLastColumn="0"/>
            <w:tcW w:w="985" w:type="dxa"/>
            <w:tcBorders>
              <w:left w:val="single" w:sz="4" w:space="0" w:color="0067AB" w:themeColor="accent1"/>
              <w:right w:val="single" w:sz="4" w:space="0" w:color="0067AB" w:themeColor="accent1"/>
            </w:tcBorders>
            <w:vAlign w:val="center"/>
          </w:tcPr>
          <w:p w14:paraId="264517E2" w14:textId="77777777" w:rsidR="004E1497" w:rsidRPr="004E1497" w:rsidRDefault="004E1497" w:rsidP="004E1497">
            <w:pPr>
              <w:jc w:val="center"/>
              <w:rPr>
                <w:b w:val="0"/>
                <w:sz w:val="20"/>
                <w:szCs w:val="20"/>
              </w:rPr>
            </w:pPr>
            <w:r w:rsidRPr="004E1497">
              <w:rPr>
                <w:b w:val="0"/>
                <w:sz w:val="20"/>
                <w:szCs w:val="20"/>
              </w:rPr>
              <w:t>2040</w:t>
            </w:r>
          </w:p>
        </w:tc>
        <w:tc>
          <w:tcPr>
            <w:tcW w:w="1459" w:type="dxa"/>
            <w:tcBorders>
              <w:left w:val="single" w:sz="4" w:space="0" w:color="0067AB" w:themeColor="accent1"/>
              <w:right w:val="single" w:sz="4" w:space="0" w:color="0067AB" w:themeColor="accent1"/>
            </w:tcBorders>
            <w:vAlign w:val="center"/>
          </w:tcPr>
          <w:p w14:paraId="43B2114B" w14:textId="77777777" w:rsidR="004E1497" w:rsidRPr="004E1497" w:rsidRDefault="004E1497" w:rsidP="004E14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E1497">
              <w:rPr>
                <w:color w:val="000000"/>
                <w:sz w:val="20"/>
                <w:szCs w:val="20"/>
              </w:rPr>
              <w:t>801</w:t>
            </w:r>
          </w:p>
        </w:tc>
        <w:tc>
          <w:tcPr>
            <w:tcW w:w="1461" w:type="dxa"/>
            <w:tcBorders>
              <w:left w:val="single" w:sz="4" w:space="0" w:color="0067AB" w:themeColor="accent1"/>
              <w:right w:val="single" w:sz="4" w:space="0" w:color="0067AB" w:themeColor="accent1"/>
            </w:tcBorders>
            <w:vAlign w:val="center"/>
          </w:tcPr>
          <w:p w14:paraId="214E3C12" w14:textId="77777777" w:rsidR="004E1497" w:rsidRPr="004E1497" w:rsidRDefault="004E1497" w:rsidP="004E14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E1497">
              <w:rPr>
                <w:color w:val="000000"/>
                <w:sz w:val="20"/>
                <w:szCs w:val="20"/>
              </w:rPr>
              <w:t>601</w:t>
            </w:r>
          </w:p>
        </w:tc>
        <w:tc>
          <w:tcPr>
            <w:tcW w:w="1461" w:type="dxa"/>
            <w:tcBorders>
              <w:left w:val="single" w:sz="4" w:space="0" w:color="0067AB" w:themeColor="accent1"/>
              <w:right w:val="single" w:sz="4" w:space="0" w:color="0067AB" w:themeColor="accent1"/>
            </w:tcBorders>
            <w:vAlign w:val="center"/>
          </w:tcPr>
          <w:p w14:paraId="51633F80" w14:textId="77777777" w:rsidR="004E1497" w:rsidRPr="004E1497" w:rsidRDefault="004E1497" w:rsidP="004E14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E1497">
              <w:rPr>
                <w:color w:val="000000"/>
                <w:sz w:val="20"/>
                <w:szCs w:val="20"/>
              </w:rPr>
              <w:t>1,283</w:t>
            </w:r>
          </w:p>
        </w:tc>
        <w:tc>
          <w:tcPr>
            <w:tcW w:w="1461" w:type="dxa"/>
            <w:tcBorders>
              <w:left w:val="single" w:sz="4" w:space="0" w:color="0067AB" w:themeColor="accent1"/>
            </w:tcBorders>
            <w:vAlign w:val="center"/>
          </w:tcPr>
          <w:p w14:paraId="6787FDD8" w14:textId="77777777" w:rsidR="004E1497" w:rsidRPr="004E1497" w:rsidRDefault="004E1497" w:rsidP="004E14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E1497">
              <w:rPr>
                <w:color w:val="000000"/>
                <w:sz w:val="20"/>
                <w:szCs w:val="20"/>
              </w:rPr>
              <w:t>1,283</w:t>
            </w:r>
          </w:p>
        </w:tc>
      </w:tr>
    </w:tbl>
    <w:p w14:paraId="2724BA2E" w14:textId="2996B2D1" w:rsidR="002E4D87" w:rsidRDefault="002E4D87" w:rsidP="002E4D87">
      <w:pPr>
        <w:pStyle w:val="Heading2"/>
      </w:pPr>
      <w:bookmarkStart w:id="75" w:name="_Toc482973565"/>
      <w:r>
        <w:lastRenderedPageBreak/>
        <w:t>Relative Reduction Factors</w:t>
      </w:r>
      <w:bookmarkEnd w:id="75"/>
    </w:p>
    <w:p w14:paraId="47072E62" w14:textId="77777777" w:rsidR="002E4D87" w:rsidRDefault="002E4D87" w:rsidP="002E4D87">
      <w:pPr>
        <w:spacing w:after="240" w:line="276" w:lineRule="auto"/>
      </w:pPr>
      <w:r>
        <w:t>To calculate the benefits of various strategies, relative reduction factors (RRFs) were determined for each strategy and truck type.</w:t>
      </w:r>
      <w:r w:rsidR="00330080">
        <w:t xml:space="preserve"> </w:t>
      </w:r>
      <w:r>
        <w:t>An RRF is applied to the baseline or new conventional fuel vehicle emissions to determine the reductions due to the strategy.</w:t>
      </w:r>
      <w:r w:rsidR="00330080">
        <w:t xml:space="preserve"> </w:t>
      </w:r>
      <w:r>
        <w:t>In cases where the strategy calls for an add-on device or retrofit, the RRF is applied to the baseline emissions.</w:t>
      </w:r>
      <w:r w:rsidR="00330080">
        <w:t xml:space="preserve"> </w:t>
      </w:r>
      <w:r>
        <w:t>For those strategies that require purchase of a new vehicle, the RRF is applied to the newest model year within the analysis year of the truck type in question.</w:t>
      </w:r>
    </w:p>
    <w:p w14:paraId="798B3DDD" w14:textId="7C12C0D5" w:rsidR="00DF14A2" w:rsidRDefault="00DF14A2" w:rsidP="002E4D87">
      <w:pPr>
        <w:spacing w:after="240" w:line="276" w:lineRule="auto"/>
      </w:pPr>
      <w:r>
        <w:t>For the accelerated retirement option, the user specifies the model year range that they want to scrap and the model year range for the replacement vehicles. The Tool calculates emissions for the scrapped trucks and for the replacement trucks. Emission reductions in this case are simply the difference between the average emissions for the scrapped trucks and the average emissions for the replacement trucks.</w:t>
      </w:r>
    </w:p>
    <w:p w14:paraId="6DD14670" w14:textId="3715C411" w:rsidR="00DF14A2" w:rsidRDefault="002E4D87" w:rsidP="002E4D87">
      <w:pPr>
        <w:spacing w:after="240" w:line="276" w:lineRule="auto"/>
      </w:pPr>
      <w:r>
        <w:t>For alternative fuels, the 2015 version of Argonne National Laborator</w:t>
      </w:r>
      <w:r w:rsidR="007B1EA8">
        <w:t>y’s</w:t>
      </w:r>
      <w:r>
        <w:t xml:space="preserve"> </w:t>
      </w:r>
      <w:r w:rsidRPr="00013075">
        <w:t>Greenhouse Gases, Regulated Emissions, and Energy Use in Transportation</w:t>
      </w:r>
      <w:r>
        <w:t xml:space="preserve"> (GREET2015)</w:t>
      </w:r>
      <w:r w:rsidRPr="00013075">
        <w:t xml:space="preserve"> Model</w:t>
      </w:r>
      <w:r>
        <w:t xml:space="preserve"> was used to determine relative emission reduction factors by truck type.</w:t>
      </w:r>
      <w:r w:rsidR="007B1EA8">
        <w:rPr>
          <w:rStyle w:val="FootnoteReference"/>
        </w:rPr>
        <w:footnoteReference w:id="6"/>
      </w:r>
      <w:r w:rsidR="00330080">
        <w:t xml:space="preserve"> </w:t>
      </w:r>
      <w:r>
        <w:t xml:space="preserve">These are shown </w:t>
      </w:r>
      <w:r w:rsidR="00DF14A2">
        <w:t xml:space="preserve">in </w:t>
      </w:r>
      <w:r w:rsidR="00833B69">
        <w:fldChar w:fldCharType="begin"/>
      </w:r>
      <w:r w:rsidR="00DF14A2">
        <w:instrText xml:space="preserve"> REF _Ref459994214 \h </w:instrText>
      </w:r>
      <w:r w:rsidR="00833B69">
        <w:fldChar w:fldCharType="separate"/>
      </w:r>
      <w:r w:rsidR="00C42F38">
        <w:t xml:space="preserve">Table </w:t>
      </w:r>
      <w:r w:rsidR="00C42F38">
        <w:rPr>
          <w:noProof/>
        </w:rPr>
        <w:t>19</w:t>
      </w:r>
      <w:r w:rsidR="00833B69">
        <w:fldChar w:fldCharType="end"/>
      </w:r>
      <w:r>
        <w:t>.</w:t>
      </w:r>
    </w:p>
    <w:p w14:paraId="108819F9" w14:textId="77777777" w:rsidR="002E4D87" w:rsidRDefault="00DF14A2" w:rsidP="008B361F">
      <w:pPr>
        <w:pStyle w:val="TableCaption"/>
      </w:pPr>
      <w:bookmarkStart w:id="76" w:name="_Ref459994214"/>
      <w:bookmarkStart w:id="77" w:name="_Toc482973599"/>
      <w:r>
        <w:t xml:space="preserve">Table </w:t>
      </w:r>
      <w:r w:rsidR="00833B69">
        <w:fldChar w:fldCharType="begin"/>
      </w:r>
      <w:r>
        <w:instrText xml:space="preserve"> SEQ Table \* ARABIC </w:instrText>
      </w:r>
      <w:r w:rsidR="00833B69">
        <w:fldChar w:fldCharType="separate"/>
      </w:r>
      <w:r w:rsidR="00305706">
        <w:t>19</w:t>
      </w:r>
      <w:r w:rsidR="00833B69">
        <w:fldChar w:fldCharType="end"/>
      </w:r>
      <w:bookmarkEnd w:id="76"/>
      <w:r w:rsidR="00C43F06">
        <w:t>.</w:t>
      </w:r>
      <w:r>
        <w:t xml:space="preserve"> RRFs for Alternative Fuel Scenarios</w:t>
      </w:r>
      <w:bookmarkEnd w:id="77"/>
      <w:r w:rsidR="00330080">
        <w:t xml:space="preserve"> </w:t>
      </w:r>
    </w:p>
    <w:tbl>
      <w:tblPr>
        <w:tblStyle w:val="ListTable3-Accent11"/>
        <w:tblW w:w="9180" w:type="dxa"/>
        <w:jc w:val="center"/>
        <w:tblLook w:val="04A0" w:firstRow="1" w:lastRow="0" w:firstColumn="1" w:lastColumn="0" w:noHBand="0" w:noVBand="1"/>
      </w:tblPr>
      <w:tblGrid>
        <w:gridCol w:w="1705"/>
        <w:gridCol w:w="2700"/>
        <w:gridCol w:w="1076"/>
        <w:gridCol w:w="1233"/>
        <w:gridCol w:w="1233"/>
        <w:gridCol w:w="1233"/>
      </w:tblGrid>
      <w:tr w:rsidR="002E4D87" w:rsidRPr="00AF154D" w14:paraId="2E367445" w14:textId="77777777" w:rsidTr="00F620BF">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1705" w:type="dxa"/>
            <w:tcBorders>
              <w:top w:val="single" w:sz="4" w:space="0" w:color="0067AB" w:themeColor="accent1"/>
              <w:bottom w:val="single" w:sz="4" w:space="0" w:color="0067AB" w:themeColor="accent1"/>
              <w:right w:val="single" w:sz="4" w:space="0" w:color="FFFFFF" w:themeColor="background1"/>
            </w:tcBorders>
            <w:vAlign w:val="center"/>
          </w:tcPr>
          <w:p w14:paraId="50590C7E" w14:textId="77777777" w:rsidR="002E4D87" w:rsidRPr="00AF154D" w:rsidRDefault="002E4D87" w:rsidP="002E4D87">
            <w:pPr>
              <w:jc w:val="center"/>
              <w:rPr>
                <w:sz w:val="20"/>
                <w:szCs w:val="20"/>
              </w:rPr>
            </w:pPr>
            <w:r w:rsidRPr="00AF154D">
              <w:rPr>
                <w:sz w:val="20"/>
                <w:szCs w:val="20"/>
              </w:rPr>
              <w:t>Fuel</w:t>
            </w:r>
          </w:p>
        </w:tc>
        <w:tc>
          <w:tcPr>
            <w:tcW w:w="2700" w:type="dxa"/>
            <w:tcBorders>
              <w:top w:val="single" w:sz="4" w:space="0" w:color="0067AB" w:themeColor="accent1"/>
              <w:left w:val="single" w:sz="4" w:space="0" w:color="FFFFFF" w:themeColor="background1"/>
              <w:bottom w:val="single" w:sz="4" w:space="0" w:color="0067AB" w:themeColor="accent1"/>
              <w:right w:val="single" w:sz="4" w:space="0" w:color="FFFFFF" w:themeColor="background1"/>
            </w:tcBorders>
            <w:vAlign w:val="center"/>
          </w:tcPr>
          <w:p w14:paraId="03412FF8" w14:textId="77777777" w:rsidR="002E4D87" w:rsidRPr="00AF154D" w:rsidRDefault="002E4D87" w:rsidP="002E4D87">
            <w:pPr>
              <w:jc w:val="center"/>
              <w:cnfStyle w:val="100000000000" w:firstRow="1" w:lastRow="0" w:firstColumn="0" w:lastColumn="0" w:oddVBand="0" w:evenVBand="0" w:oddHBand="0" w:evenHBand="0" w:firstRowFirstColumn="0" w:firstRowLastColumn="0" w:lastRowFirstColumn="0" w:lastRowLastColumn="0"/>
              <w:rPr>
                <w:sz w:val="20"/>
                <w:szCs w:val="20"/>
              </w:rPr>
            </w:pPr>
            <w:r w:rsidRPr="00AF154D">
              <w:rPr>
                <w:sz w:val="20"/>
                <w:szCs w:val="20"/>
              </w:rPr>
              <w:t>Truck Type</w:t>
            </w:r>
          </w:p>
        </w:tc>
        <w:tc>
          <w:tcPr>
            <w:tcW w:w="1076" w:type="dxa"/>
            <w:tcBorders>
              <w:top w:val="single" w:sz="4" w:space="0" w:color="0067AB" w:themeColor="accent1"/>
              <w:left w:val="single" w:sz="4" w:space="0" w:color="FFFFFF" w:themeColor="background1"/>
              <w:bottom w:val="single" w:sz="4" w:space="0" w:color="0067AB" w:themeColor="accent1"/>
              <w:right w:val="single" w:sz="4" w:space="0" w:color="FFFFFF" w:themeColor="background1"/>
            </w:tcBorders>
            <w:vAlign w:val="center"/>
          </w:tcPr>
          <w:p w14:paraId="76D9E9AC" w14:textId="77777777" w:rsidR="002E4D87" w:rsidRPr="00AF154D" w:rsidRDefault="002E4D87" w:rsidP="002E4D87">
            <w:pPr>
              <w:jc w:val="center"/>
              <w:cnfStyle w:val="100000000000" w:firstRow="1" w:lastRow="0" w:firstColumn="0" w:lastColumn="0" w:oddVBand="0" w:evenVBand="0" w:oddHBand="0" w:evenHBand="0" w:firstRowFirstColumn="0" w:firstRowLastColumn="0" w:lastRowFirstColumn="0" w:lastRowLastColumn="0"/>
              <w:rPr>
                <w:sz w:val="20"/>
                <w:szCs w:val="20"/>
              </w:rPr>
            </w:pPr>
            <w:r w:rsidRPr="00AF154D">
              <w:rPr>
                <w:sz w:val="20"/>
                <w:szCs w:val="20"/>
              </w:rPr>
              <w:t>NOx</w:t>
            </w:r>
          </w:p>
        </w:tc>
        <w:tc>
          <w:tcPr>
            <w:tcW w:w="1233" w:type="dxa"/>
            <w:tcBorders>
              <w:top w:val="single" w:sz="4" w:space="0" w:color="0067AB" w:themeColor="accent1"/>
              <w:left w:val="single" w:sz="4" w:space="0" w:color="FFFFFF" w:themeColor="background1"/>
              <w:bottom w:val="single" w:sz="4" w:space="0" w:color="0067AB" w:themeColor="accent1"/>
              <w:right w:val="single" w:sz="4" w:space="0" w:color="FFFFFF" w:themeColor="background1"/>
            </w:tcBorders>
            <w:vAlign w:val="center"/>
          </w:tcPr>
          <w:p w14:paraId="20E66E9D" w14:textId="77777777" w:rsidR="002E4D87" w:rsidRPr="00AF154D" w:rsidRDefault="002E4D87" w:rsidP="002E4D87">
            <w:pPr>
              <w:jc w:val="center"/>
              <w:cnfStyle w:val="100000000000" w:firstRow="1" w:lastRow="0" w:firstColumn="0" w:lastColumn="0" w:oddVBand="0" w:evenVBand="0" w:oddHBand="0" w:evenHBand="0" w:firstRowFirstColumn="0" w:firstRowLastColumn="0" w:lastRowFirstColumn="0" w:lastRowLastColumn="0"/>
              <w:rPr>
                <w:sz w:val="20"/>
                <w:szCs w:val="20"/>
              </w:rPr>
            </w:pPr>
            <w:r w:rsidRPr="00AF154D">
              <w:rPr>
                <w:sz w:val="20"/>
                <w:szCs w:val="20"/>
              </w:rPr>
              <w:t>PM</w:t>
            </w:r>
          </w:p>
        </w:tc>
        <w:tc>
          <w:tcPr>
            <w:tcW w:w="1233" w:type="dxa"/>
            <w:tcBorders>
              <w:top w:val="single" w:sz="4" w:space="0" w:color="0067AB" w:themeColor="accent1"/>
              <w:left w:val="single" w:sz="4" w:space="0" w:color="FFFFFF" w:themeColor="background1"/>
              <w:bottom w:val="single" w:sz="4" w:space="0" w:color="0067AB" w:themeColor="accent1"/>
              <w:right w:val="single" w:sz="4" w:space="0" w:color="FFFFFF" w:themeColor="background1"/>
            </w:tcBorders>
            <w:vAlign w:val="center"/>
          </w:tcPr>
          <w:p w14:paraId="432E42A5" w14:textId="77777777" w:rsidR="002E4D87" w:rsidRPr="00AF154D" w:rsidRDefault="002E4D87" w:rsidP="002E4D87">
            <w:pPr>
              <w:jc w:val="center"/>
              <w:cnfStyle w:val="100000000000" w:firstRow="1" w:lastRow="0" w:firstColumn="0" w:lastColumn="0" w:oddVBand="0" w:evenVBand="0" w:oddHBand="0" w:evenHBand="0" w:firstRowFirstColumn="0" w:firstRowLastColumn="0" w:lastRowFirstColumn="0" w:lastRowLastColumn="0"/>
              <w:rPr>
                <w:sz w:val="20"/>
                <w:szCs w:val="20"/>
              </w:rPr>
            </w:pPr>
            <w:r w:rsidRPr="00AF154D">
              <w:rPr>
                <w:sz w:val="20"/>
                <w:szCs w:val="20"/>
              </w:rPr>
              <w:t>CO2</w:t>
            </w:r>
          </w:p>
        </w:tc>
        <w:tc>
          <w:tcPr>
            <w:tcW w:w="1233" w:type="dxa"/>
            <w:tcBorders>
              <w:top w:val="single" w:sz="4" w:space="0" w:color="0067AB" w:themeColor="accent1"/>
              <w:left w:val="single" w:sz="4" w:space="0" w:color="FFFFFF" w:themeColor="background1"/>
              <w:bottom w:val="single" w:sz="4" w:space="0" w:color="0067AB" w:themeColor="accent1"/>
            </w:tcBorders>
            <w:vAlign w:val="center"/>
          </w:tcPr>
          <w:p w14:paraId="60BF83F7" w14:textId="77777777" w:rsidR="002E4D87" w:rsidRPr="00AF154D" w:rsidRDefault="002E4D87" w:rsidP="002E4D87">
            <w:pPr>
              <w:jc w:val="center"/>
              <w:cnfStyle w:val="100000000000" w:firstRow="1" w:lastRow="0" w:firstColumn="0" w:lastColumn="0" w:oddVBand="0" w:evenVBand="0" w:oddHBand="0" w:evenHBand="0" w:firstRowFirstColumn="0" w:firstRowLastColumn="0" w:lastRowFirstColumn="0" w:lastRowLastColumn="0"/>
              <w:rPr>
                <w:sz w:val="20"/>
                <w:szCs w:val="20"/>
              </w:rPr>
            </w:pPr>
            <w:r w:rsidRPr="00AF154D">
              <w:rPr>
                <w:sz w:val="20"/>
                <w:szCs w:val="20"/>
              </w:rPr>
              <w:t>Fuel</w:t>
            </w:r>
          </w:p>
        </w:tc>
      </w:tr>
      <w:tr w:rsidR="002E4D87" w:rsidRPr="00AF154D" w14:paraId="7B0F3F42" w14:textId="77777777" w:rsidTr="00F620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5" w:type="dxa"/>
            <w:vMerge w:val="restart"/>
            <w:tcBorders>
              <w:bottom w:val="single" w:sz="4" w:space="0" w:color="auto"/>
              <w:right w:val="single" w:sz="4" w:space="0" w:color="0067AB" w:themeColor="accent1"/>
            </w:tcBorders>
            <w:vAlign w:val="center"/>
          </w:tcPr>
          <w:p w14:paraId="7A17573A" w14:textId="77777777" w:rsidR="002E4D87" w:rsidRPr="00AF154D" w:rsidRDefault="002E4D87" w:rsidP="002E4D87">
            <w:pPr>
              <w:rPr>
                <w:b w:val="0"/>
                <w:sz w:val="20"/>
                <w:szCs w:val="20"/>
              </w:rPr>
            </w:pPr>
            <w:r w:rsidRPr="00AF154D">
              <w:rPr>
                <w:b w:val="0"/>
                <w:sz w:val="20"/>
                <w:szCs w:val="20"/>
              </w:rPr>
              <w:t>CNG</w:t>
            </w:r>
          </w:p>
        </w:tc>
        <w:tc>
          <w:tcPr>
            <w:tcW w:w="2700" w:type="dxa"/>
            <w:tcBorders>
              <w:left w:val="single" w:sz="4" w:space="0" w:color="0067AB" w:themeColor="accent1"/>
              <w:right w:val="single" w:sz="4" w:space="0" w:color="0067AB" w:themeColor="accent1"/>
            </w:tcBorders>
            <w:vAlign w:val="center"/>
          </w:tcPr>
          <w:p w14:paraId="6C7A35F1" w14:textId="43B489B2" w:rsidR="002E4D87" w:rsidRPr="00AF154D" w:rsidRDefault="002E4D87" w:rsidP="008B361F">
            <w:pPr>
              <w:cnfStyle w:val="000000100000" w:firstRow="0" w:lastRow="0" w:firstColumn="0" w:lastColumn="0" w:oddVBand="0" w:evenVBand="0" w:oddHBand="1" w:evenHBand="0" w:firstRowFirstColumn="0" w:firstRowLastColumn="0" w:lastRowFirstColumn="0" w:lastRowLastColumn="0"/>
              <w:rPr>
                <w:sz w:val="20"/>
                <w:szCs w:val="20"/>
              </w:rPr>
            </w:pPr>
            <w:r w:rsidRPr="00AF154D">
              <w:rPr>
                <w:sz w:val="20"/>
                <w:szCs w:val="20"/>
              </w:rPr>
              <w:t>Single</w:t>
            </w:r>
            <w:r w:rsidR="007B1EA8">
              <w:rPr>
                <w:sz w:val="20"/>
                <w:szCs w:val="20"/>
              </w:rPr>
              <w:t xml:space="preserve"> unit</w:t>
            </w:r>
            <w:r w:rsidRPr="00AF154D">
              <w:rPr>
                <w:sz w:val="20"/>
                <w:szCs w:val="20"/>
              </w:rPr>
              <w:t xml:space="preserve"> Short Haul</w:t>
            </w:r>
          </w:p>
        </w:tc>
        <w:tc>
          <w:tcPr>
            <w:tcW w:w="1076" w:type="dxa"/>
            <w:tcBorders>
              <w:left w:val="single" w:sz="4" w:space="0" w:color="0067AB" w:themeColor="accent1"/>
              <w:right w:val="single" w:sz="4" w:space="0" w:color="0067AB" w:themeColor="accent1"/>
            </w:tcBorders>
            <w:vAlign w:val="center"/>
          </w:tcPr>
          <w:p w14:paraId="277451B8" w14:textId="77777777" w:rsidR="002E4D87" w:rsidRPr="00AF154D" w:rsidRDefault="002E4D87" w:rsidP="002E4D87">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F154D">
              <w:rPr>
                <w:color w:val="000000"/>
                <w:sz w:val="20"/>
                <w:szCs w:val="20"/>
              </w:rPr>
              <w:t>50%</w:t>
            </w:r>
          </w:p>
        </w:tc>
        <w:tc>
          <w:tcPr>
            <w:tcW w:w="1233" w:type="dxa"/>
            <w:tcBorders>
              <w:left w:val="single" w:sz="4" w:space="0" w:color="0067AB" w:themeColor="accent1"/>
              <w:right w:val="single" w:sz="4" w:space="0" w:color="0067AB" w:themeColor="accent1"/>
            </w:tcBorders>
            <w:vAlign w:val="center"/>
          </w:tcPr>
          <w:p w14:paraId="346FBA5D" w14:textId="77777777" w:rsidR="002E4D87" w:rsidRPr="00AF154D" w:rsidRDefault="002E4D87" w:rsidP="002E4D87">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F154D">
              <w:rPr>
                <w:color w:val="000000"/>
                <w:sz w:val="20"/>
                <w:szCs w:val="20"/>
              </w:rPr>
              <w:t>0%</w:t>
            </w:r>
          </w:p>
        </w:tc>
        <w:tc>
          <w:tcPr>
            <w:tcW w:w="1233" w:type="dxa"/>
            <w:tcBorders>
              <w:left w:val="single" w:sz="4" w:space="0" w:color="0067AB" w:themeColor="accent1"/>
              <w:right w:val="single" w:sz="4" w:space="0" w:color="0067AB" w:themeColor="accent1"/>
            </w:tcBorders>
            <w:vAlign w:val="center"/>
          </w:tcPr>
          <w:p w14:paraId="3D4D564E" w14:textId="77777777" w:rsidR="002E4D87" w:rsidRPr="00AF154D" w:rsidRDefault="002E4D87" w:rsidP="002E4D87">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F154D">
              <w:rPr>
                <w:color w:val="000000"/>
                <w:sz w:val="20"/>
                <w:szCs w:val="20"/>
              </w:rPr>
              <w:t>17.6%</w:t>
            </w:r>
          </w:p>
        </w:tc>
        <w:tc>
          <w:tcPr>
            <w:tcW w:w="1233" w:type="dxa"/>
            <w:tcBorders>
              <w:left w:val="single" w:sz="4" w:space="0" w:color="0067AB" w:themeColor="accent1"/>
            </w:tcBorders>
            <w:vAlign w:val="center"/>
          </w:tcPr>
          <w:p w14:paraId="5AF4C3FA" w14:textId="77777777" w:rsidR="002E4D87" w:rsidRPr="00AF154D" w:rsidRDefault="002E4D87" w:rsidP="002E4D87">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F154D">
              <w:rPr>
                <w:color w:val="000000"/>
                <w:sz w:val="20"/>
                <w:szCs w:val="20"/>
              </w:rPr>
              <w:t>-10%</w:t>
            </w:r>
          </w:p>
        </w:tc>
      </w:tr>
      <w:tr w:rsidR="002E4D87" w:rsidRPr="00AF154D" w14:paraId="299B9EF4" w14:textId="77777777" w:rsidTr="00F620BF">
        <w:trPr>
          <w:jc w:val="center"/>
        </w:trPr>
        <w:tc>
          <w:tcPr>
            <w:cnfStyle w:val="001000000000" w:firstRow="0" w:lastRow="0" w:firstColumn="1" w:lastColumn="0" w:oddVBand="0" w:evenVBand="0" w:oddHBand="0" w:evenHBand="0" w:firstRowFirstColumn="0" w:firstRowLastColumn="0" w:lastRowFirstColumn="0" w:lastRowLastColumn="0"/>
            <w:tcW w:w="1705" w:type="dxa"/>
            <w:vMerge/>
            <w:tcBorders>
              <w:top w:val="single" w:sz="4" w:space="0" w:color="0067AB" w:themeColor="accent1"/>
              <w:bottom w:val="single" w:sz="4" w:space="0" w:color="auto"/>
              <w:right w:val="single" w:sz="4" w:space="0" w:color="0067AB" w:themeColor="accent1"/>
            </w:tcBorders>
            <w:vAlign w:val="center"/>
          </w:tcPr>
          <w:p w14:paraId="12FAC755" w14:textId="77777777" w:rsidR="002E4D87" w:rsidRPr="00AF154D" w:rsidRDefault="002E4D87" w:rsidP="002E4D87">
            <w:pPr>
              <w:rPr>
                <w:b w:val="0"/>
                <w:sz w:val="20"/>
                <w:szCs w:val="20"/>
              </w:rPr>
            </w:pPr>
          </w:p>
        </w:tc>
        <w:tc>
          <w:tcPr>
            <w:tcW w:w="270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39BDC133" w14:textId="00DF730C" w:rsidR="002E4D87" w:rsidRPr="00AF154D" w:rsidRDefault="002E4D87" w:rsidP="008B361F">
            <w:pPr>
              <w:cnfStyle w:val="000000000000" w:firstRow="0" w:lastRow="0" w:firstColumn="0" w:lastColumn="0" w:oddVBand="0" w:evenVBand="0" w:oddHBand="0" w:evenHBand="0" w:firstRowFirstColumn="0" w:firstRowLastColumn="0" w:lastRowFirstColumn="0" w:lastRowLastColumn="0"/>
              <w:rPr>
                <w:sz w:val="20"/>
                <w:szCs w:val="20"/>
              </w:rPr>
            </w:pPr>
            <w:r w:rsidRPr="00AF154D">
              <w:rPr>
                <w:sz w:val="20"/>
                <w:szCs w:val="20"/>
              </w:rPr>
              <w:t>Single</w:t>
            </w:r>
            <w:r w:rsidR="007B1EA8">
              <w:rPr>
                <w:sz w:val="20"/>
                <w:szCs w:val="20"/>
              </w:rPr>
              <w:t xml:space="preserve"> unit</w:t>
            </w:r>
            <w:r w:rsidRPr="00AF154D">
              <w:rPr>
                <w:sz w:val="20"/>
                <w:szCs w:val="20"/>
              </w:rPr>
              <w:t xml:space="preserve"> Long Haul</w:t>
            </w:r>
          </w:p>
        </w:tc>
        <w:tc>
          <w:tcPr>
            <w:tcW w:w="1076"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3FA999A5" w14:textId="77777777" w:rsidR="002E4D87" w:rsidRPr="00AF154D" w:rsidRDefault="002E4D87" w:rsidP="002E4D87">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F154D">
              <w:rPr>
                <w:color w:val="000000"/>
                <w:sz w:val="20"/>
                <w:szCs w:val="20"/>
              </w:rPr>
              <w:t>50%</w:t>
            </w:r>
          </w:p>
        </w:tc>
        <w:tc>
          <w:tcPr>
            <w:tcW w:w="1233"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687819CB" w14:textId="77777777" w:rsidR="002E4D87" w:rsidRPr="00AF154D" w:rsidRDefault="002E4D87" w:rsidP="002E4D87">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F154D">
              <w:rPr>
                <w:color w:val="000000"/>
                <w:sz w:val="20"/>
                <w:szCs w:val="20"/>
              </w:rPr>
              <w:t>0%</w:t>
            </w:r>
          </w:p>
        </w:tc>
        <w:tc>
          <w:tcPr>
            <w:tcW w:w="1233"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62826C31" w14:textId="77777777" w:rsidR="002E4D87" w:rsidRPr="00AF154D" w:rsidRDefault="002E4D87" w:rsidP="002E4D87">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F154D">
              <w:rPr>
                <w:color w:val="000000"/>
                <w:sz w:val="20"/>
                <w:szCs w:val="20"/>
              </w:rPr>
              <w:t>17.6%</w:t>
            </w:r>
          </w:p>
        </w:tc>
        <w:tc>
          <w:tcPr>
            <w:tcW w:w="1233" w:type="dxa"/>
            <w:tcBorders>
              <w:top w:val="single" w:sz="4" w:space="0" w:color="0067AB" w:themeColor="accent1"/>
              <w:left w:val="single" w:sz="4" w:space="0" w:color="0067AB" w:themeColor="accent1"/>
              <w:bottom w:val="single" w:sz="4" w:space="0" w:color="0067AB" w:themeColor="accent1"/>
            </w:tcBorders>
            <w:vAlign w:val="center"/>
          </w:tcPr>
          <w:p w14:paraId="407D7FC6" w14:textId="77777777" w:rsidR="002E4D87" w:rsidRPr="00AF154D" w:rsidRDefault="002E4D87" w:rsidP="002E4D87">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F154D">
              <w:rPr>
                <w:color w:val="000000"/>
                <w:sz w:val="20"/>
                <w:szCs w:val="20"/>
              </w:rPr>
              <w:t>-10%</w:t>
            </w:r>
          </w:p>
        </w:tc>
      </w:tr>
      <w:tr w:rsidR="002E4D87" w:rsidRPr="00AF154D" w14:paraId="534453A3" w14:textId="77777777" w:rsidTr="00F620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5" w:type="dxa"/>
            <w:vMerge/>
            <w:tcBorders>
              <w:bottom w:val="single" w:sz="4" w:space="0" w:color="auto"/>
              <w:right w:val="single" w:sz="4" w:space="0" w:color="0067AB" w:themeColor="accent1"/>
            </w:tcBorders>
            <w:vAlign w:val="center"/>
          </w:tcPr>
          <w:p w14:paraId="522DD02E" w14:textId="77777777" w:rsidR="002E4D87" w:rsidRPr="00AF154D" w:rsidRDefault="002E4D87" w:rsidP="002E4D87">
            <w:pPr>
              <w:rPr>
                <w:b w:val="0"/>
                <w:sz w:val="20"/>
                <w:szCs w:val="20"/>
              </w:rPr>
            </w:pPr>
          </w:p>
        </w:tc>
        <w:tc>
          <w:tcPr>
            <w:tcW w:w="2700" w:type="dxa"/>
            <w:tcBorders>
              <w:left w:val="single" w:sz="4" w:space="0" w:color="0067AB" w:themeColor="accent1"/>
              <w:right w:val="single" w:sz="4" w:space="0" w:color="0067AB" w:themeColor="accent1"/>
            </w:tcBorders>
            <w:vAlign w:val="center"/>
          </w:tcPr>
          <w:p w14:paraId="429850DF" w14:textId="174D3887" w:rsidR="002E4D87" w:rsidRPr="00AF154D" w:rsidRDefault="002E4D87" w:rsidP="002E4D87">
            <w:pPr>
              <w:cnfStyle w:val="000000100000" w:firstRow="0" w:lastRow="0" w:firstColumn="0" w:lastColumn="0" w:oddVBand="0" w:evenVBand="0" w:oddHBand="1" w:evenHBand="0" w:firstRowFirstColumn="0" w:firstRowLastColumn="0" w:lastRowFirstColumn="0" w:lastRowLastColumn="0"/>
              <w:rPr>
                <w:sz w:val="20"/>
                <w:szCs w:val="20"/>
              </w:rPr>
            </w:pPr>
            <w:r w:rsidRPr="00AF154D">
              <w:rPr>
                <w:sz w:val="20"/>
                <w:szCs w:val="20"/>
              </w:rPr>
              <w:t>Combination</w:t>
            </w:r>
            <w:r w:rsidR="007B1EA8">
              <w:rPr>
                <w:sz w:val="20"/>
                <w:szCs w:val="20"/>
              </w:rPr>
              <w:t xml:space="preserve"> unit</w:t>
            </w:r>
            <w:r w:rsidRPr="00AF154D">
              <w:rPr>
                <w:sz w:val="20"/>
                <w:szCs w:val="20"/>
              </w:rPr>
              <w:t xml:space="preserve"> Short Haul</w:t>
            </w:r>
          </w:p>
        </w:tc>
        <w:tc>
          <w:tcPr>
            <w:tcW w:w="1076" w:type="dxa"/>
            <w:tcBorders>
              <w:left w:val="single" w:sz="4" w:space="0" w:color="0067AB" w:themeColor="accent1"/>
              <w:right w:val="single" w:sz="4" w:space="0" w:color="0067AB" w:themeColor="accent1"/>
            </w:tcBorders>
            <w:vAlign w:val="center"/>
          </w:tcPr>
          <w:p w14:paraId="686364E2" w14:textId="77777777" w:rsidR="002E4D87" w:rsidRPr="00AF154D" w:rsidRDefault="002E4D87" w:rsidP="002E4D87">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F154D">
              <w:rPr>
                <w:color w:val="000000"/>
                <w:sz w:val="20"/>
                <w:szCs w:val="20"/>
              </w:rPr>
              <w:t>50%</w:t>
            </w:r>
          </w:p>
        </w:tc>
        <w:tc>
          <w:tcPr>
            <w:tcW w:w="1233" w:type="dxa"/>
            <w:tcBorders>
              <w:left w:val="single" w:sz="4" w:space="0" w:color="0067AB" w:themeColor="accent1"/>
              <w:right w:val="single" w:sz="4" w:space="0" w:color="0067AB" w:themeColor="accent1"/>
            </w:tcBorders>
            <w:vAlign w:val="center"/>
          </w:tcPr>
          <w:p w14:paraId="48222531" w14:textId="77777777" w:rsidR="002E4D87" w:rsidRPr="00AF154D" w:rsidRDefault="002E4D87" w:rsidP="002E4D87">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F154D">
              <w:rPr>
                <w:color w:val="000000"/>
                <w:sz w:val="20"/>
                <w:szCs w:val="20"/>
              </w:rPr>
              <w:t>0%</w:t>
            </w:r>
          </w:p>
        </w:tc>
        <w:tc>
          <w:tcPr>
            <w:tcW w:w="1233" w:type="dxa"/>
            <w:tcBorders>
              <w:left w:val="single" w:sz="4" w:space="0" w:color="0067AB" w:themeColor="accent1"/>
              <w:right w:val="single" w:sz="4" w:space="0" w:color="0067AB" w:themeColor="accent1"/>
            </w:tcBorders>
            <w:vAlign w:val="center"/>
          </w:tcPr>
          <w:p w14:paraId="60F9A2A3" w14:textId="77777777" w:rsidR="002E4D87" w:rsidRPr="00AF154D" w:rsidRDefault="002E4D87" w:rsidP="002E4D87">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F154D">
              <w:rPr>
                <w:color w:val="000000"/>
                <w:sz w:val="20"/>
                <w:szCs w:val="20"/>
              </w:rPr>
              <w:t>17.6%</w:t>
            </w:r>
          </w:p>
        </w:tc>
        <w:tc>
          <w:tcPr>
            <w:tcW w:w="1233" w:type="dxa"/>
            <w:tcBorders>
              <w:left w:val="single" w:sz="4" w:space="0" w:color="0067AB" w:themeColor="accent1"/>
            </w:tcBorders>
            <w:vAlign w:val="center"/>
          </w:tcPr>
          <w:p w14:paraId="63E13F40" w14:textId="77777777" w:rsidR="002E4D87" w:rsidRPr="00AF154D" w:rsidRDefault="002E4D87" w:rsidP="002E4D87">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F154D">
              <w:rPr>
                <w:color w:val="000000"/>
                <w:sz w:val="20"/>
                <w:szCs w:val="20"/>
              </w:rPr>
              <w:t>-10%</w:t>
            </w:r>
          </w:p>
        </w:tc>
      </w:tr>
      <w:tr w:rsidR="002E4D87" w:rsidRPr="00AF154D" w14:paraId="4340F620" w14:textId="77777777" w:rsidTr="00F620BF">
        <w:trPr>
          <w:jc w:val="center"/>
        </w:trPr>
        <w:tc>
          <w:tcPr>
            <w:cnfStyle w:val="001000000000" w:firstRow="0" w:lastRow="0" w:firstColumn="1" w:lastColumn="0" w:oddVBand="0" w:evenVBand="0" w:oddHBand="0" w:evenHBand="0" w:firstRowFirstColumn="0" w:firstRowLastColumn="0" w:lastRowFirstColumn="0" w:lastRowLastColumn="0"/>
            <w:tcW w:w="1705" w:type="dxa"/>
            <w:vMerge/>
            <w:tcBorders>
              <w:top w:val="single" w:sz="4" w:space="0" w:color="0067AB" w:themeColor="accent1"/>
              <w:bottom w:val="single" w:sz="4" w:space="0" w:color="auto"/>
              <w:right w:val="single" w:sz="4" w:space="0" w:color="0067AB" w:themeColor="accent1"/>
            </w:tcBorders>
            <w:vAlign w:val="center"/>
          </w:tcPr>
          <w:p w14:paraId="7F4988CD" w14:textId="77777777" w:rsidR="002E4D87" w:rsidRPr="00AF154D" w:rsidRDefault="002E4D87" w:rsidP="002E4D87">
            <w:pPr>
              <w:rPr>
                <w:b w:val="0"/>
                <w:sz w:val="20"/>
                <w:szCs w:val="20"/>
              </w:rPr>
            </w:pPr>
          </w:p>
        </w:tc>
        <w:tc>
          <w:tcPr>
            <w:tcW w:w="270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43121297" w14:textId="087E57C6" w:rsidR="002E4D87" w:rsidRPr="00AF154D" w:rsidRDefault="002E4D87" w:rsidP="002E4D87">
            <w:pPr>
              <w:cnfStyle w:val="000000000000" w:firstRow="0" w:lastRow="0" w:firstColumn="0" w:lastColumn="0" w:oddVBand="0" w:evenVBand="0" w:oddHBand="0" w:evenHBand="0" w:firstRowFirstColumn="0" w:firstRowLastColumn="0" w:lastRowFirstColumn="0" w:lastRowLastColumn="0"/>
              <w:rPr>
                <w:sz w:val="20"/>
                <w:szCs w:val="20"/>
              </w:rPr>
            </w:pPr>
            <w:r w:rsidRPr="00AF154D">
              <w:rPr>
                <w:sz w:val="20"/>
                <w:szCs w:val="20"/>
              </w:rPr>
              <w:t>Combination</w:t>
            </w:r>
            <w:r w:rsidR="007B1EA8">
              <w:rPr>
                <w:sz w:val="20"/>
                <w:szCs w:val="20"/>
              </w:rPr>
              <w:t xml:space="preserve"> unit</w:t>
            </w:r>
            <w:r w:rsidRPr="00AF154D">
              <w:rPr>
                <w:sz w:val="20"/>
                <w:szCs w:val="20"/>
              </w:rPr>
              <w:t xml:space="preserve"> Long Haul</w:t>
            </w:r>
          </w:p>
        </w:tc>
        <w:tc>
          <w:tcPr>
            <w:tcW w:w="1076"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275FF6E9" w14:textId="77777777" w:rsidR="002E4D87" w:rsidRPr="00AF154D" w:rsidRDefault="002E4D87" w:rsidP="002E4D87">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F154D">
              <w:rPr>
                <w:color w:val="000000"/>
                <w:sz w:val="20"/>
                <w:szCs w:val="20"/>
              </w:rPr>
              <w:t>50%</w:t>
            </w:r>
          </w:p>
        </w:tc>
        <w:tc>
          <w:tcPr>
            <w:tcW w:w="1233"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27900A22" w14:textId="77777777" w:rsidR="002E4D87" w:rsidRPr="00AF154D" w:rsidRDefault="002E4D87" w:rsidP="002E4D87">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F154D">
              <w:rPr>
                <w:color w:val="000000"/>
                <w:sz w:val="20"/>
                <w:szCs w:val="20"/>
              </w:rPr>
              <w:t>0%</w:t>
            </w:r>
          </w:p>
        </w:tc>
        <w:tc>
          <w:tcPr>
            <w:tcW w:w="1233"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5BE18AC0" w14:textId="77777777" w:rsidR="002E4D87" w:rsidRPr="00AF154D" w:rsidRDefault="002E4D87" w:rsidP="002E4D87">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F154D">
              <w:rPr>
                <w:color w:val="000000"/>
                <w:sz w:val="20"/>
                <w:szCs w:val="20"/>
              </w:rPr>
              <w:t>19%</w:t>
            </w:r>
          </w:p>
        </w:tc>
        <w:tc>
          <w:tcPr>
            <w:tcW w:w="1233" w:type="dxa"/>
            <w:tcBorders>
              <w:top w:val="single" w:sz="4" w:space="0" w:color="0067AB" w:themeColor="accent1"/>
              <w:left w:val="single" w:sz="4" w:space="0" w:color="0067AB" w:themeColor="accent1"/>
              <w:bottom w:val="single" w:sz="4" w:space="0" w:color="0067AB" w:themeColor="accent1"/>
            </w:tcBorders>
            <w:vAlign w:val="center"/>
          </w:tcPr>
          <w:p w14:paraId="7694BDC4" w14:textId="77777777" w:rsidR="002E4D87" w:rsidRPr="00AF154D" w:rsidRDefault="002E4D87" w:rsidP="002E4D87">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F154D">
              <w:rPr>
                <w:color w:val="000000"/>
                <w:sz w:val="20"/>
                <w:szCs w:val="20"/>
              </w:rPr>
              <w:t>-10%</w:t>
            </w:r>
          </w:p>
        </w:tc>
      </w:tr>
      <w:tr w:rsidR="002E4D87" w:rsidRPr="00AF154D" w14:paraId="3C01E4DB" w14:textId="77777777" w:rsidTr="00F620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5" w:type="dxa"/>
            <w:tcBorders>
              <w:bottom w:val="single" w:sz="4" w:space="0" w:color="auto"/>
              <w:right w:val="single" w:sz="4" w:space="0" w:color="0067AB" w:themeColor="accent1"/>
            </w:tcBorders>
            <w:vAlign w:val="center"/>
          </w:tcPr>
          <w:p w14:paraId="2E2EEF16" w14:textId="77777777" w:rsidR="002E4D87" w:rsidRPr="00AF154D" w:rsidRDefault="002E4D87" w:rsidP="002E4D87">
            <w:pPr>
              <w:rPr>
                <w:b w:val="0"/>
                <w:sz w:val="20"/>
                <w:szCs w:val="20"/>
              </w:rPr>
            </w:pPr>
            <w:r w:rsidRPr="00AF154D">
              <w:rPr>
                <w:b w:val="0"/>
                <w:sz w:val="20"/>
                <w:szCs w:val="20"/>
              </w:rPr>
              <w:t>LNG</w:t>
            </w:r>
          </w:p>
        </w:tc>
        <w:tc>
          <w:tcPr>
            <w:tcW w:w="2700" w:type="dxa"/>
            <w:tcBorders>
              <w:left w:val="single" w:sz="4" w:space="0" w:color="0067AB" w:themeColor="accent1"/>
              <w:right w:val="single" w:sz="4" w:space="0" w:color="0067AB" w:themeColor="accent1"/>
            </w:tcBorders>
            <w:vAlign w:val="center"/>
          </w:tcPr>
          <w:p w14:paraId="5996E114" w14:textId="71F9FCB5" w:rsidR="002E4D87" w:rsidRPr="00AF154D" w:rsidRDefault="002E4D87" w:rsidP="002E4D87">
            <w:pPr>
              <w:cnfStyle w:val="000000100000" w:firstRow="0" w:lastRow="0" w:firstColumn="0" w:lastColumn="0" w:oddVBand="0" w:evenVBand="0" w:oddHBand="1" w:evenHBand="0" w:firstRowFirstColumn="0" w:firstRowLastColumn="0" w:lastRowFirstColumn="0" w:lastRowLastColumn="0"/>
              <w:rPr>
                <w:sz w:val="20"/>
                <w:szCs w:val="20"/>
              </w:rPr>
            </w:pPr>
            <w:r w:rsidRPr="00AF154D">
              <w:rPr>
                <w:sz w:val="20"/>
                <w:szCs w:val="20"/>
              </w:rPr>
              <w:t>Combination</w:t>
            </w:r>
            <w:r w:rsidR="007B1EA8">
              <w:rPr>
                <w:sz w:val="20"/>
                <w:szCs w:val="20"/>
              </w:rPr>
              <w:t xml:space="preserve"> unit</w:t>
            </w:r>
            <w:r w:rsidRPr="00AF154D">
              <w:rPr>
                <w:sz w:val="20"/>
                <w:szCs w:val="20"/>
              </w:rPr>
              <w:t xml:space="preserve"> Long Haul</w:t>
            </w:r>
          </w:p>
        </w:tc>
        <w:tc>
          <w:tcPr>
            <w:tcW w:w="1076" w:type="dxa"/>
            <w:tcBorders>
              <w:left w:val="single" w:sz="4" w:space="0" w:color="0067AB" w:themeColor="accent1"/>
              <w:right w:val="single" w:sz="4" w:space="0" w:color="0067AB" w:themeColor="accent1"/>
            </w:tcBorders>
            <w:vAlign w:val="center"/>
          </w:tcPr>
          <w:p w14:paraId="0C459E0D" w14:textId="77777777" w:rsidR="002E4D87" w:rsidRPr="00AF154D" w:rsidRDefault="002E4D87" w:rsidP="002E4D87">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F154D">
              <w:rPr>
                <w:color w:val="000000"/>
                <w:sz w:val="20"/>
                <w:szCs w:val="20"/>
              </w:rPr>
              <w:t>50%</w:t>
            </w:r>
          </w:p>
        </w:tc>
        <w:tc>
          <w:tcPr>
            <w:tcW w:w="1233" w:type="dxa"/>
            <w:tcBorders>
              <w:left w:val="single" w:sz="4" w:space="0" w:color="0067AB" w:themeColor="accent1"/>
              <w:right w:val="single" w:sz="4" w:space="0" w:color="0067AB" w:themeColor="accent1"/>
            </w:tcBorders>
            <w:vAlign w:val="center"/>
          </w:tcPr>
          <w:p w14:paraId="65CD0DC5" w14:textId="77777777" w:rsidR="002E4D87" w:rsidRPr="00AF154D" w:rsidRDefault="002E4D87" w:rsidP="002E4D87">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F154D">
              <w:rPr>
                <w:color w:val="000000"/>
                <w:sz w:val="20"/>
                <w:szCs w:val="20"/>
              </w:rPr>
              <w:t>0%</w:t>
            </w:r>
          </w:p>
        </w:tc>
        <w:tc>
          <w:tcPr>
            <w:tcW w:w="1233" w:type="dxa"/>
            <w:tcBorders>
              <w:left w:val="single" w:sz="4" w:space="0" w:color="0067AB" w:themeColor="accent1"/>
              <w:right w:val="single" w:sz="4" w:space="0" w:color="0067AB" w:themeColor="accent1"/>
            </w:tcBorders>
            <w:vAlign w:val="center"/>
          </w:tcPr>
          <w:p w14:paraId="06962F7D" w14:textId="77777777" w:rsidR="002E4D87" w:rsidRPr="00AF154D" w:rsidRDefault="002E4D87" w:rsidP="002E4D87">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F154D">
              <w:rPr>
                <w:color w:val="000000"/>
                <w:sz w:val="20"/>
                <w:szCs w:val="20"/>
              </w:rPr>
              <w:t>19%</w:t>
            </w:r>
          </w:p>
        </w:tc>
        <w:tc>
          <w:tcPr>
            <w:tcW w:w="1233" w:type="dxa"/>
            <w:tcBorders>
              <w:left w:val="single" w:sz="4" w:space="0" w:color="0067AB" w:themeColor="accent1"/>
            </w:tcBorders>
            <w:vAlign w:val="center"/>
          </w:tcPr>
          <w:p w14:paraId="4AA8779F" w14:textId="77777777" w:rsidR="002E4D87" w:rsidRPr="00AF154D" w:rsidRDefault="002E4D87" w:rsidP="002E4D87">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F154D">
              <w:rPr>
                <w:color w:val="000000"/>
                <w:sz w:val="20"/>
                <w:szCs w:val="20"/>
              </w:rPr>
              <w:t>-10%</w:t>
            </w:r>
          </w:p>
        </w:tc>
      </w:tr>
      <w:tr w:rsidR="00F620BF" w:rsidRPr="00AF154D" w14:paraId="125D317D" w14:textId="77777777" w:rsidTr="00F620BF">
        <w:trPr>
          <w:jc w:val="center"/>
        </w:trPr>
        <w:tc>
          <w:tcPr>
            <w:cnfStyle w:val="001000000000" w:firstRow="0" w:lastRow="0" w:firstColumn="1" w:lastColumn="0" w:oddVBand="0" w:evenVBand="0" w:oddHBand="0" w:evenHBand="0" w:firstRowFirstColumn="0" w:firstRowLastColumn="0" w:lastRowFirstColumn="0" w:lastRowLastColumn="0"/>
            <w:tcW w:w="1705" w:type="dxa"/>
            <w:vMerge w:val="restart"/>
            <w:tcBorders>
              <w:top w:val="single" w:sz="4" w:space="0" w:color="0067AB" w:themeColor="accent1"/>
              <w:bottom w:val="single" w:sz="4" w:space="0" w:color="auto"/>
              <w:right w:val="single" w:sz="4" w:space="0" w:color="0067AB" w:themeColor="accent1"/>
            </w:tcBorders>
            <w:vAlign w:val="center"/>
          </w:tcPr>
          <w:p w14:paraId="1944E75D" w14:textId="3362B5BA" w:rsidR="00F620BF" w:rsidRDefault="00F620BF" w:rsidP="00F620BF">
            <w:pPr>
              <w:rPr>
                <w:b w:val="0"/>
                <w:sz w:val="20"/>
                <w:szCs w:val="20"/>
              </w:rPr>
            </w:pPr>
            <w:r>
              <w:rPr>
                <w:b w:val="0"/>
                <w:sz w:val="20"/>
                <w:szCs w:val="20"/>
              </w:rPr>
              <w:t>RCNG</w:t>
            </w:r>
          </w:p>
        </w:tc>
        <w:tc>
          <w:tcPr>
            <w:tcW w:w="2700" w:type="dxa"/>
            <w:tcBorders>
              <w:left w:val="single" w:sz="4" w:space="0" w:color="0067AB" w:themeColor="accent1"/>
              <w:right w:val="single" w:sz="4" w:space="0" w:color="0067AB" w:themeColor="accent1"/>
            </w:tcBorders>
            <w:vAlign w:val="center"/>
          </w:tcPr>
          <w:p w14:paraId="036CA8F0" w14:textId="7B8628C2" w:rsidR="00F620BF" w:rsidRPr="00AF154D" w:rsidRDefault="00F620BF" w:rsidP="00F620BF">
            <w:pPr>
              <w:cnfStyle w:val="000000000000" w:firstRow="0" w:lastRow="0" w:firstColumn="0" w:lastColumn="0" w:oddVBand="0" w:evenVBand="0" w:oddHBand="0" w:evenHBand="0" w:firstRowFirstColumn="0" w:firstRowLastColumn="0" w:lastRowFirstColumn="0" w:lastRowLastColumn="0"/>
              <w:rPr>
                <w:sz w:val="20"/>
                <w:szCs w:val="20"/>
              </w:rPr>
            </w:pPr>
            <w:r w:rsidRPr="00AF154D">
              <w:rPr>
                <w:sz w:val="20"/>
                <w:szCs w:val="20"/>
              </w:rPr>
              <w:t>Single</w:t>
            </w:r>
            <w:r w:rsidR="007B1EA8">
              <w:rPr>
                <w:sz w:val="20"/>
                <w:szCs w:val="20"/>
              </w:rPr>
              <w:t xml:space="preserve"> unit</w:t>
            </w:r>
            <w:r w:rsidRPr="00AF154D">
              <w:rPr>
                <w:sz w:val="20"/>
                <w:szCs w:val="20"/>
              </w:rPr>
              <w:t xml:space="preserve"> Short Haul</w:t>
            </w:r>
          </w:p>
        </w:tc>
        <w:tc>
          <w:tcPr>
            <w:tcW w:w="1076" w:type="dxa"/>
            <w:tcBorders>
              <w:left w:val="single" w:sz="4" w:space="0" w:color="0067AB" w:themeColor="accent1"/>
              <w:right w:val="single" w:sz="4" w:space="0" w:color="0067AB" w:themeColor="accent1"/>
            </w:tcBorders>
            <w:vAlign w:val="center"/>
          </w:tcPr>
          <w:p w14:paraId="7A99C3F8" w14:textId="47FA232D" w:rsidR="00F620BF" w:rsidRDefault="00F620BF" w:rsidP="00F620B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F154D">
              <w:rPr>
                <w:color w:val="000000"/>
                <w:sz w:val="20"/>
                <w:szCs w:val="20"/>
              </w:rPr>
              <w:t>50%</w:t>
            </w:r>
          </w:p>
        </w:tc>
        <w:tc>
          <w:tcPr>
            <w:tcW w:w="1233" w:type="dxa"/>
            <w:tcBorders>
              <w:left w:val="single" w:sz="4" w:space="0" w:color="0067AB" w:themeColor="accent1"/>
              <w:right w:val="single" w:sz="4" w:space="0" w:color="0067AB" w:themeColor="accent1"/>
            </w:tcBorders>
            <w:vAlign w:val="center"/>
          </w:tcPr>
          <w:p w14:paraId="77FFF78D" w14:textId="62244B5D" w:rsidR="00F620BF" w:rsidRDefault="00F620BF" w:rsidP="00F620B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F154D">
              <w:rPr>
                <w:color w:val="000000"/>
                <w:sz w:val="20"/>
                <w:szCs w:val="20"/>
              </w:rPr>
              <w:t>0%</w:t>
            </w:r>
          </w:p>
        </w:tc>
        <w:tc>
          <w:tcPr>
            <w:tcW w:w="1233" w:type="dxa"/>
            <w:tcBorders>
              <w:left w:val="single" w:sz="4" w:space="0" w:color="0067AB" w:themeColor="accent1"/>
              <w:right w:val="single" w:sz="4" w:space="0" w:color="0067AB" w:themeColor="accent1"/>
            </w:tcBorders>
            <w:vAlign w:val="center"/>
          </w:tcPr>
          <w:p w14:paraId="31C8E32B" w14:textId="2FDA41CB" w:rsidR="00F620BF" w:rsidRDefault="00F620BF" w:rsidP="00F620B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62%</w:t>
            </w:r>
          </w:p>
        </w:tc>
        <w:tc>
          <w:tcPr>
            <w:tcW w:w="1233" w:type="dxa"/>
            <w:tcBorders>
              <w:left w:val="single" w:sz="4" w:space="0" w:color="0067AB" w:themeColor="accent1"/>
            </w:tcBorders>
            <w:vAlign w:val="center"/>
          </w:tcPr>
          <w:p w14:paraId="02BFC7B6" w14:textId="3F961123" w:rsidR="00F620BF" w:rsidRDefault="00F620BF" w:rsidP="00F620B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F154D">
              <w:rPr>
                <w:color w:val="000000"/>
                <w:sz w:val="20"/>
                <w:szCs w:val="20"/>
              </w:rPr>
              <w:t>-10%</w:t>
            </w:r>
          </w:p>
        </w:tc>
      </w:tr>
      <w:tr w:rsidR="00F620BF" w:rsidRPr="00AF154D" w14:paraId="440D1CA7" w14:textId="77777777" w:rsidTr="00F620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5" w:type="dxa"/>
            <w:vMerge/>
            <w:tcBorders>
              <w:bottom w:val="single" w:sz="4" w:space="0" w:color="auto"/>
              <w:right w:val="single" w:sz="4" w:space="0" w:color="0067AB" w:themeColor="accent1"/>
            </w:tcBorders>
            <w:vAlign w:val="center"/>
          </w:tcPr>
          <w:p w14:paraId="1C404DE0" w14:textId="77777777" w:rsidR="00F620BF" w:rsidRDefault="00F620BF" w:rsidP="00F620BF">
            <w:pPr>
              <w:rPr>
                <w:b w:val="0"/>
                <w:sz w:val="20"/>
                <w:szCs w:val="20"/>
              </w:rPr>
            </w:pPr>
          </w:p>
        </w:tc>
        <w:tc>
          <w:tcPr>
            <w:tcW w:w="2700" w:type="dxa"/>
            <w:tcBorders>
              <w:left w:val="single" w:sz="4" w:space="0" w:color="0067AB" w:themeColor="accent1"/>
              <w:right w:val="single" w:sz="4" w:space="0" w:color="0067AB" w:themeColor="accent1"/>
            </w:tcBorders>
            <w:vAlign w:val="center"/>
          </w:tcPr>
          <w:p w14:paraId="69F83D19" w14:textId="17D378B7" w:rsidR="00F620BF" w:rsidRPr="00AF154D" w:rsidRDefault="00F620BF" w:rsidP="00F620BF">
            <w:pPr>
              <w:cnfStyle w:val="000000100000" w:firstRow="0" w:lastRow="0" w:firstColumn="0" w:lastColumn="0" w:oddVBand="0" w:evenVBand="0" w:oddHBand="1" w:evenHBand="0" w:firstRowFirstColumn="0" w:firstRowLastColumn="0" w:lastRowFirstColumn="0" w:lastRowLastColumn="0"/>
              <w:rPr>
                <w:sz w:val="20"/>
                <w:szCs w:val="20"/>
              </w:rPr>
            </w:pPr>
            <w:r w:rsidRPr="00AF154D">
              <w:rPr>
                <w:sz w:val="20"/>
                <w:szCs w:val="20"/>
              </w:rPr>
              <w:t>Single</w:t>
            </w:r>
            <w:r w:rsidR="007B1EA8">
              <w:rPr>
                <w:sz w:val="20"/>
                <w:szCs w:val="20"/>
              </w:rPr>
              <w:t xml:space="preserve"> unit</w:t>
            </w:r>
            <w:r w:rsidRPr="00AF154D">
              <w:rPr>
                <w:sz w:val="20"/>
                <w:szCs w:val="20"/>
              </w:rPr>
              <w:t xml:space="preserve"> Long Haul</w:t>
            </w:r>
          </w:p>
        </w:tc>
        <w:tc>
          <w:tcPr>
            <w:tcW w:w="1076" w:type="dxa"/>
            <w:tcBorders>
              <w:left w:val="single" w:sz="4" w:space="0" w:color="0067AB" w:themeColor="accent1"/>
              <w:right w:val="single" w:sz="4" w:space="0" w:color="0067AB" w:themeColor="accent1"/>
            </w:tcBorders>
            <w:vAlign w:val="center"/>
          </w:tcPr>
          <w:p w14:paraId="734CE728" w14:textId="07CA5D12" w:rsidR="00F620BF" w:rsidRDefault="00F620BF" w:rsidP="00F620B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F154D">
              <w:rPr>
                <w:color w:val="000000"/>
                <w:sz w:val="20"/>
                <w:szCs w:val="20"/>
              </w:rPr>
              <w:t>50%</w:t>
            </w:r>
          </w:p>
        </w:tc>
        <w:tc>
          <w:tcPr>
            <w:tcW w:w="1233" w:type="dxa"/>
            <w:tcBorders>
              <w:left w:val="single" w:sz="4" w:space="0" w:color="0067AB" w:themeColor="accent1"/>
              <w:right w:val="single" w:sz="4" w:space="0" w:color="0067AB" w:themeColor="accent1"/>
            </w:tcBorders>
            <w:vAlign w:val="center"/>
          </w:tcPr>
          <w:p w14:paraId="684CEC21" w14:textId="79613036" w:rsidR="00F620BF" w:rsidRDefault="00F620BF" w:rsidP="00F620B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F154D">
              <w:rPr>
                <w:color w:val="000000"/>
                <w:sz w:val="20"/>
                <w:szCs w:val="20"/>
              </w:rPr>
              <w:t>0%</w:t>
            </w:r>
          </w:p>
        </w:tc>
        <w:tc>
          <w:tcPr>
            <w:tcW w:w="1233" w:type="dxa"/>
            <w:tcBorders>
              <w:left w:val="single" w:sz="4" w:space="0" w:color="0067AB" w:themeColor="accent1"/>
              <w:right w:val="single" w:sz="4" w:space="0" w:color="0067AB" w:themeColor="accent1"/>
            </w:tcBorders>
            <w:vAlign w:val="center"/>
          </w:tcPr>
          <w:p w14:paraId="6A0B9EE7" w14:textId="15B9111A" w:rsidR="00F620BF" w:rsidRDefault="00F620BF" w:rsidP="00F620B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62%</w:t>
            </w:r>
          </w:p>
        </w:tc>
        <w:tc>
          <w:tcPr>
            <w:tcW w:w="1233" w:type="dxa"/>
            <w:tcBorders>
              <w:left w:val="single" w:sz="4" w:space="0" w:color="0067AB" w:themeColor="accent1"/>
            </w:tcBorders>
            <w:vAlign w:val="center"/>
          </w:tcPr>
          <w:p w14:paraId="5ADBF9DB" w14:textId="6F3B096A" w:rsidR="00F620BF" w:rsidRDefault="00F620BF" w:rsidP="00F620B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F154D">
              <w:rPr>
                <w:color w:val="000000"/>
                <w:sz w:val="20"/>
                <w:szCs w:val="20"/>
              </w:rPr>
              <w:t>-10%</w:t>
            </w:r>
          </w:p>
        </w:tc>
      </w:tr>
      <w:tr w:rsidR="00F620BF" w:rsidRPr="00AF154D" w14:paraId="5BF3899E" w14:textId="77777777" w:rsidTr="00F620BF">
        <w:trPr>
          <w:jc w:val="center"/>
        </w:trPr>
        <w:tc>
          <w:tcPr>
            <w:cnfStyle w:val="001000000000" w:firstRow="0" w:lastRow="0" w:firstColumn="1" w:lastColumn="0" w:oddVBand="0" w:evenVBand="0" w:oddHBand="0" w:evenHBand="0" w:firstRowFirstColumn="0" w:firstRowLastColumn="0" w:lastRowFirstColumn="0" w:lastRowLastColumn="0"/>
            <w:tcW w:w="1705" w:type="dxa"/>
            <w:vMerge/>
            <w:tcBorders>
              <w:top w:val="single" w:sz="4" w:space="0" w:color="0067AB" w:themeColor="accent1"/>
              <w:bottom w:val="single" w:sz="4" w:space="0" w:color="auto"/>
              <w:right w:val="single" w:sz="4" w:space="0" w:color="0067AB" w:themeColor="accent1"/>
            </w:tcBorders>
            <w:vAlign w:val="center"/>
          </w:tcPr>
          <w:p w14:paraId="46110131" w14:textId="77777777" w:rsidR="00F620BF" w:rsidRDefault="00F620BF" w:rsidP="00F620BF">
            <w:pPr>
              <w:rPr>
                <w:b w:val="0"/>
                <w:sz w:val="20"/>
                <w:szCs w:val="20"/>
              </w:rPr>
            </w:pPr>
          </w:p>
        </w:tc>
        <w:tc>
          <w:tcPr>
            <w:tcW w:w="2700" w:type="dxa"/>
            <w:tcBorders>
              <w:left w:val="single" w:sz="4" w:space="0" w:color="0067AB" w:themeColor="accent1"/>
              <w:right w:val="single" w:sz="4" w:space="0" w:color="0067AB" w:themeColor="accent1"/>
            </w:tcBorders>
            <w:vAlign w:val="center"/>
          </w:tcPr>
          <w:p w14:paraId="15679C6E" w14:textId="26CAD4A8" w:rsidR="00F620BF" w:rsidRPr="00AF154D" w:rsidRDefault="00F620BF" w:rsidP="00F620BF">
            <w:pPr>
              <w:cnfStyle w:val="000000000000" w:firstRow="0" w:lastRow="0" w:firstColumn="0" w:lastColumn="0" w:oddVBand="0" w:evenVBand="0" w:oddHBand="0" w:evenHBand="0" w:firstRowFirstColumn="0" w:firstRowLastColumn="0" w:lastRowFirstColumn="0" w:lastRowLastColumn="0"/>
              <w:rPr>
                <w:sz w:val="20"/>
                <w:szCs w:val="20"/>
              </w:rPr>
            </w:pPr>
            <w:r w:rsidRPr="00AF154D">
              <w:rPr>
                <w:sz w:val="20"/>
                <w:szCs w:val="20"/>
              </w:rPr>
              <w:t>Combination</w:t>
            </w:r>
            <w:r w:rsidR="007B1EA8">
              <w:rPr>
                <w:sz w:val="20"/>
                <w:szCs w:val="20"/>
              </w:rPr>
              <w:t xml:space="preserve"> unit</w:t>
            </w:r>
            <w:r w:rsidRPr="00AF154D">
              <w:rPr>
                <w:sz w:val="20"/>
                <w:szCs w:val="20"/>
              </w:rPr>
              <w:t xml:space="preserve"> Short Haul</w:t>
            </w:r>
          </w:p>
        </w:tc>
        <w:tc>
          <w:tcPr>
            <w:tcW w:w="1076" w:type="dxa"/>
            <w:tcBorders>
              <w:left w:val="single" w:sz="4" w:space="0" w:color="0067AB" w:themeColor="accent1"/>
              <w:right w:val="single" w:sz="4" w:space="0" w:color="0067AB" w:themeColor="accent1"/>
            </w:tcBorders>
            <w:vAlign w:val="center"/>
          </w:tcPr>
          <w:p w14:paraId="42E8E374" w14:textId="5BB096CC" w:rsidR="00F620BF" w:rsidRDefault="00F620BF" w:rsidP="00F620B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F154D">
              <w:rPr>
                <w:color w:val="000000"/>
                <w:sz w:val="20"/>
                <w:szCs w:val="20"/>
              </w:rPr>
              <w:t>50%</w:t>
            </w:r>
          </w:p>
        </w:tc>
        <w:tc>
          <w:tcPr>
            <w:tcW w:w="1233" w:type="dxa"/>
            <w:tcBorders>
              <w:left w:val="single" w:sz="4" w:space="0" w:color="0067AB" w:themeColor="accent1"/>
              <w:right w:val="single" w:sz="4" w:space="0" w:color="0067AB" w:themeColor="accent1"/>
            </w:tcBorders>
            <w:vAlign w:val="center"/>
          </w:tcPr>
          <w:p w14:paraId="7B6ABB85" w14:textId="2095FA5C" w:rsidR="00F620BF" w:rsidRDefault="00F620BF" w:rsidP="00F620B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F154D">
              <w:rPr>
                <w:color w:val="000000"/>
                <w:sz w:val="20"/>
                <w:szCs w:val="20"/>
              </w:rPr>
              <w:t>0%</w:t>
            </w:r>
          </w:p>
        </w:tc>
        <w:tc>
          <w:tcPr>
            <w:tcW w:w="1233" w:type="dxa"/>
            <w:tcBorders>
              <w:left w:val="single" w:sz="4" w:space="0" w:color="0067AB" w:themeColor="accent1"/>
              <w:right w:val="single" w:sz="4" w:space="0" w:color="0067AB" w:themeColor="accent1"/>
            </w:tcBorders>
            <w:vAlign w:val="center"/>
          </w:tcPr>
          <w:p w14:paraId="48A8CA1D" w14:textId="4962D536" w:rsidR="00F620BF" w:rsidRDefault="00F620BF" w:rsidP="00F620B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62%</w:t>
            </w:r>
          </w:p>
        </w:tc>
        <w:tc>
          <w:tcPr>
            <w:tcW w:w="1233" w:type="dxa"/>
            <w:tcBorders>
              <w:left w:val="single" w:sz="4" w:space="0" w:color="0067AB" w:themeColor="accent1"/>
            </w:tcBorders>
            <w:vAlign w:val="center"/>
          </w:tcPr>
          <w:p w14:paraId="0E5E8A7D" w14:textId="3ACB39B9" w:rsidR="00F620BF" w:rsidRDefault="00F620BF" w:rsidP="00F620B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F154D">
              <w:rPr>
                <w:color w:val="000000"/>
                <w:sz w:val="20"/>
                <w:szCs w:val="20"/>
              </w:rPr>
              <w:t>-10%</w:t>
            </w:r>
          </w:p>
        </w:tc>
      </w:tr>
      <w:tr w:rsidR="00F620BF" w:rsidRPr="00AF154D" w14:paraId="6A30977C" w14:textId="77777777" w:rsidTr="00F620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5" w:type="dxa"/>
            <w:vMerge/>
            <w:tcBorders>
              <w:bottom w:val="single" w:sz="4" w:space="0" w:color="auto"/>
              <w:right w:val="single" w:sz="4" w:space="0" w:color="0067AB" w:themeColor="accent1"/>
            </w:tcBorders>
            <w:vAlign w:val="center"/>
          </w:tcPr>
          <w:p w14:paraId="28F352AF" w14:textId="77777777" w:rsidR="00F620BF" w:rsidRDefault="00F620BF" w:rsidP="00F620BF">
            <w:pPr>
              <w:rPr>
                <w:b w:val="0"/>
                <w:sz w:val="20"/>
                <w:szCs w:val="20"/>
              </w:rPr>
            </w:pPr>
          </w:p>
        </w:tc>
        <w:tc>
          <w:tcPr>
            <w:tcW w:w="2700" w:type="dxa"/>
            <w:tcBorders>
              <w:left w:val="single" w:sz="4" w:space="0" w:color="0067AB" w:themeColor="accent1"/>
              <w:bottom w:val="single" w:sz="4" w:space="0" w:color="auto"/>
              <w:right w:val="single" w:sz="4" w:space="0" w:color="0067AB" w:themeColor="accent1"/>
            </w:tcBorders>
            <w:vAlign w:val="center"/>
          </w:tcPr>
          <w:p w14:paraId="19B7C6B6" w14:textId="4E4CF225" w:rsidR="00F620BF" w:rsidRPr="00AF154D" w:rsidRDefault="00F620BF" w:rsidP="00F620BF">
            <w:pPr>
              <w:cnfStyle w:val="000000100000" w:firstRow="0" w:lastRow="0" w:firstColumn="0" w:lastColumn="0" w:oddVBand="0" w:evenVBand="0" w:oddHBand="1" w:evenHBand="0" w:firstRowFirstColumn="0" w:firstRowLastColumn="0" w:lastRowFirstColumn="0" w:lastRowLastColumn="0"/>
              <w:rPr>
                <w:sz w:val="20"/>
                <w:szCs w:val="20"/>
              </w:rPr>
            </w:pPr>
            <w:r w:rsidRPr="00AF154D">
              <w:rPr>
                <w:sz w:val="20"/>
                <w:szCs w:val="20"/>
              </w:rPr>
              <w:t>Combination</w:t>
            </w:r>
            <w:r w:rsidR="007B1EA8">
              <w:rPr>
                <w:sz w:val="20"/>
                <w:szCs w:val="20"/>
              </w:rPr>
              <w:t xml:space="preserve"> unit</w:t>
            </w:r>
            <w:r w:rsidRPr="00AF154D">
              <w:rPr>
                <w:sz w:val="20"/>
                <w:szCs w:val="20"/>
              </w:rPr>
              <w:t xml:space="preserve"> Long Haul</w:t>
            </w:r>
          </w:p>
        </w:tc>
        <w:tc>
          <w:tcPr>
            <w:tcW w:w="1076" w:type="dxa"/>
            <w:tcBorders>
              <w:left w:val="single" w:sz="4" w:space="0" w:color="0067AB" w:themeColor="accent1"/>
              <w:bottom w:val="single" w:sz="4" w:space="0" w:color="auto"/>
              <w:right w:val="single" w:sz="4" w:space="0" w:color="0067AB" w:themeColor="accent1"/>
            </w:tcBorders>
            <w:vAlign w:val="center"/>
          </w:tcPr>
          <w:p w14:paraId="3A4F045E" w14:textId="375150E5" w:rsidR="00F620BF" w:rsidRDefault="00F620BF" w:rsidP="00F620B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F154D">
              <w:rPr>
                <w:color w:val="000000"/>
                <w:sz w:val="20"/>
                <w:szCs w:val="20"/>
              </w:rPr>
              <w:t>50%</w:t>
            </w:r>
          </w:p>
        </w:tc>
        <w:tc>
          <w:tcPr>
            <w:tcW w:w="1233" w:type="dxa"/>
            <w:tcBorders>
              <w:left w:val="single" w:sz="4" w:space="0" w:color="0067AB" w:themeColor="accent1"/>
              <w:bottom w:val="single" w:sz="4" w:space="0" w:color="auto"/>
              <w:right w:val="single" w:sz="4" w:space="0" w:color="0067AB" w:themeColor="accent1"/>
            </w:tcBorders>
            <w:vAlign w:val="center"/>
          </w:tcPr>
          <w:p w14:paraId="0467523C" w14:textId="45993B7B" w:rsidR="00F620BF" w:rsidRDefault="00F620BF" w:rsidP="00F620B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F154D">
              <w:rPr>
                <w:color w:val="000000"/>
                <w:sz w:val="20"/>
                <w:szCs w:val="20"/>
              </w:rPr>
              <w:t>0%</w:t>
            </w:r>
          </w:p>
        </w:tc>
        <w:tc>
          <w:tcPr>
            <w:tcW w:w="1233" w:type="dxa"/>
            <w:tcBorders>
              <w:left w:val="single" w:sz="4" w:space="0" w:color="0067AB" w:themeColor="accent1"/>
              <w:bottom w:val="single" w:sz="4" w:space="0" w:color="auto"/>
              <w:right w:val="single" w:sz="4" w:space="0" w:color="0067AB" w:themeColor="accent1"/>
            </w:tcBorders>
            <w:vAlign w:val="center"/>
          </w:tcPr>
          <w:p w14:paraId="0ACA713C" w14:textId="0EFB1CF0" w:rsidR="00F620BF" w:rsidRDefault="00F620BF" w:rsidP="00F620B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62%</w:t>
            </w:r>
          </w:p>
        </w:tc>
        <w:tc>
          <w:tcPr>
            <w:tcW w:w="1233" w:type="dxa"/>
            <w:tcBorders>
              <w:left w:val="single" w:sz="4" w:space="0" w:color="0067AB" w:themeColor="accent1"/>
              <w:bottom w:val="single" w:sz="4" w:space="0" w:color="auto"/>
            </w:tcBorders>
            <w:vAlign w:val="center"/>
          </w:tcPr>
          <w:p w14:paraId="1366CF6F" w14:textId="6457497F" w:rsidR="00F620BF" w:rsidRDefault="00F620BF" w:rsidP="00F620B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F154D">
              <w:rPr>
                <w:color w:val="000000"/>
                <w:sz w:val="20"/>
                <w:szCs w:val="20"/>
              </w:rPr>
              <w:t>-10%</w:t>
            </w:r>
          </w:p>
        </w:tc>
      </w:tr>
      <w:tr w:rsidR="00F620BF" w:rsidRPr="00AF154D" w14:paraId="3DA30E27" w14:textId="77777777" w:rsidTr="00F620BF">
        <w:trPr>
          <w:jc w:val="center"/>
        </w:trPr>
        <w:tc>
          <w:tcPr>
            <w:cnfStyle w:val="001000000000" w:firstRow="0" w:lastRow="0" w:firstColumn="1" w:lastColumn="0" w:oddVBand="0" w:evenVBand="0" w:oddHBand="0" w:evenHBand="0" w:firstRowFirstColumn="0" w:firstRowLastColumn="0" w:lastRowFirstColumn="0" w:lastRowLastColumn="0"/>
            <w:tcW w:w="1705" w:type="dxa"/>
            <w:tcBorders>
              <w:top w:val="single" w:sz="4" w:space="0" w:color="auto"/>
              <w:left w:val="single" w:sz="4" w:space="0" w:color="auto"/>
              <w:bottom w:val="single" w:sz="4" w:space="0" w:color="auto"/>
              <w:right w:val="single" w:sz="4" w:space="0" w:color="auto"/>
            </w:tcBorders>
            <w:vAlign w:val="center"/>
          </w:tcPr>
          <w:p w14:paraId="653058CB" w14:textId="2B692FC7" w:rsidR="00F620BF" w:rsidRDefault="00F620BF" w:rsidP="00F620BF">
            <w:pPr>
              <w:rPr>
                <w:b w:val="0"/>
                <w:sz w:val="20"/>
                <w:szCs w:val="20"/>
              </w:rPr>
            </w:pPr>
            <w:r>
              <w:rPr>
                <w:b w:val="0"/>
                <w:sz w:val="20"/>
                <w:szCs w:val="20"/>
              </w:rPr>
              <w:t>RLNG</w:t>
            </w:r>
          </w:p>
        </w:tc>
        <w:tc>
          <w:tcPr>
            <w:tcW w:w="2700" w:type="dxa"/>
            <w:tcBorders>
              <w:top w:val="single" w:sz="4" w:space="0" w:color="auto"/>
              <w:left w:val="single" w:sz="4" w:space="0" w:color="auto"/>
              <w:bottom w:val="single" w:sz="4" w:space="0" w:color="auto"/>
              <w:right w:val="single" w:sz="4" w:space="0" w:color="auto"/>
            </w:tcBorders>
            <w:vAlign w:val="center"/>
          </w:tcPr>
          <w:p w14:paraId="0ACB6168" w14:textId="78F2495C" w:rsidR="00F620BF" w:rsidRPr="00AF154D" w:rsidRDefault="00F620BF" w:rsidP="00F620BF">
            <w:pPr>
              <w:cnfStyle w:val="000000000000" w:firstRow="0" w:lastRow="0" w:firstColumn="0" w:lastColumn="0" w:oddVBand="0" w:evenVBand="0" w:oddHBand="0" w:evenHBand="0" w:firstRowFirstColumn="0" w:firstRowLastColumn="0" w:lastRowFirstColumn="0" w:lastRowLastColumn="0"/>
              <w:rPr>
                <w:sz w:val="20"/>
                <w:szCs w:val="20"/>
              </w:rPr>
            </w:pPr>
            <w:r w:rsidRPr="00AF154D">
              <w:rPr>
                <w:sz w:val="20"/>
                <w:szCs w:val="20"/>
              </w:rPr>
              <w:t>Combination</w:t>
            </w:r>
            <w:r w:rsidR="007B1EA8">
              <w:rPr>
                <w:sz w:val="20"/>
                <w:szCs w:val="20"/>
              </w:rPr>
              <w:t xml:space="preserve"> unit</w:t>
            </w:r>
            <w:r w:rsidRPr="00AF154D">
              <w:rPr>
                <w:sz w:val="20"/>
                <w:szCs w:val="20"/>
              </w:rPr>
              <w:t xml:space="preserve"> Long Haul</w:t>
            </w:r>
          </w:p>
        </w:tc>
        <w:tc>
          <w:tcPr>
            <w:tcW w:w="1076" w:type="dxa"/>
            <w:tcBorders>
              <w:top w:val="single" w:sz="4" w:space="0" w:color="auto"/>
              <w:left w:val="single" w:sz="4" w:space="0" w:color="auto"/>
              <w:bottom w:val="single" w:sz="4" w:space="0" w:color="auto"/>
              <w:right w:val="single" w:sz="4" w:space="0" w:color="auto"/>
            </w:tcBorders>
            <w:vAlign w:val="center"/>
          </w:tcPr>
          <w:p w14:paraId="37647759" w14:textId="282E7E63" w:rsidR="00F620BF" w:rsidRDefault="00F620BF" w:rsidP="00F620B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F154D">
              <w:rPr>
                <w:color w:val="000000"/>
                <w:sz w:val="20"/>
                <w:szCs w:val="20"/>
              </w:rPr>
              <w:t>50%</w:t>
            </w:r>
          </w:p>
        </w:tc>
        <w:tc>
          <w:tcPr>
            <w:tcW w:w="1233" w:type="dxa"/>
            <w:tcBorders>
              <w:top w:val="single" w:sz="4" w:space="0" w:color="auto"/>
              <w:left w:val="single" w:sz="4" w:space="0" w:color="auto"/>
              <w:bottom w:val="single" w:sz="4" w:space="0" w:color="auto"/>
              <w:right w:val="single" w:sz="4" w:space="0" w:color="auto"/>
            </w:tcBorders>
            <w:vAlign w:val="center"/>
          </w:tcPr>
          <w:p w14:paraId="24435D63" w14:textId="1AB359B5" w:rsidR="00F620BF" w:rsidRDefault="00F620BF" w:rsidP="00F620B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F154D">
              <w:rPr>
                <w:color w:val="000000"/>
                <w:sz w:val="20"/>
                <w:szCs w:val="20"/>
              </w:rPr>
              <w:t>0%</w:t>
            </w:r>
          </w:p>
        </w:tc>
        <w:tc>
          <w:tcPr>
            <w:tcW w:w="1233" w:type="dxa"/>
            <w:tcBorders>
              <w:top w:val="single" w:sz="4" w:space="0" w:color="auto"/>
              <w:left w:val="single" w:sz="4" w:space="0" w:color="auto"/>
              <w:bottom w:val="single" w:sz="4" w:space="0" w:color="auto"/>
              <w:right w:val="single" w:sz="4" w:space="0" w:color="auto"/>
            </w:tcBorders>
            <w:vAlign w:val="center"/>
          </w:tcPr>
          <w:p w14:paraId="47626074" w14:textId="5291D5C3" w:rsidR="00F620BF" w:rsidRDefault="00F620BF" w:rsidP="00F620B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57%</w:t>
            </w:r>
          </w:p>
        </w:tc>
        <w:tc>
          <w:tcPr>
            <w:tcW w:w="1233" w:type="dxa"/>
            <w:tcBorders>
              <w:top w:val="single" w:sz="4" w:space="0" w:color="auto"/>
              <w:left w:val="single" w:sz="4" w:space="0" w:color="auto"/>
              <w:bottom w:val="single" w:sz="4" w:space="0" w:color="auto"/>
              <w:right w:val="single" w:sz="4" w:space="0" w:color="auto"/>
            </w:tcBorders>
            <w:vAlign w:val="center"/>
          </w:tcPr>
          <w:p w14:paraId="241B128A" w14:textId="6D854201" w:rsidR="00F620BF" w:rsidRDefault="00F620BF" w:rsidP="00F620B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w:t>
            </w:r>
          </w:p>
        </w:tc>
      </w:tr>
      <w:tr w:rsidR="00F620BF" w:rsidRPr="00AF154D" w14:paraId="556FBF23" w14:textId="77777777" w:rsidTr="00F620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5" w:type="dxa"/>
            <w:vMerge w:val="restart"/>
            <w:tcBorders>
              <w:top w:val="single" w:sz="4" w:space="0" w:color="auto"/>
              <w:left w:val="single" w:sz="4" w:space="0" w:color="auto"/>
              <w:bottom w:val="single" w:sz="4" w:space="0" w:color="auto"/>
              <w:right w:val="single" w:sz="4" w:space="0" w:color="auto"/>
            </w:tcBorders>
            <w:vAlign w:val="center"/>
          </w:tcPr>
          <w:p w14:paraId="2722B3EA" w14:textId="1E40F86E" w:rsidR="00F620BF" w:rsidRDefault="00F620BF" w:rsidP="00F620BF">
            <w:pPr>
              <w:rPr>
                <w:b w:val="0"/>
                <w:sz w:val="20"/>
                <w:szCs w:val="20"/>
              </w:rPr>
            </w:pPr>
            <w:r w:rsidRPr="00AF154D">
              <w:rPr>
                <w:b w:val="0"/>
                <w:sz w:val="20"/>
                <w:szCs w:val="20"/>
              </w:rPr>
              <w:t>CNG</w:t>
            </w:r>
            <w:r>
              <w:rPr>
                <w:b w:val="0"/>
                <w:sz w:val="20"/>
                <w:szCs w:val="20"/>
              </w:rPr>
              <w:t xml:space="preserve"> w/ Low NOx Engine</w:t>
            </w:r>
          </w:p>
        </w:tc>
        <w:tc>
          <w:tcPr>
            <w:tcW w:w="2700" w:type="dxa"/>
            <w:tcBorders>
              <w:top w:val="single" w:sz="4" w:space="0" w:color="auto"/>
              <w:left w:val="single" w:sz="4" w:space="0" w:color="auto"/>
              <w:bottom w:val="single" w:sz="4" w:space="0" w:color="auto"/>
              <w:right w:val="single" w:sz="4" w:space="0" w:color="auto"/>
            </w:tcBorders>
            <w:vAlign w:val="center"/>
          </w:tcPr>
          <w:p w14:paraId="795CCE54" w14:textId="379A471E" w:rsidR="00F620BF" w:rsidRPr="00AF154D" w:rsidRDefault="00F620BF" w:rsidP="00F620BF">
            <w:pPr>
              <w:cnfStyle w:val="000000100000" w:firstRow="0" w:lastRow="0" w:firstColumn="0" w:lastColumn="0" w:oddVBand="0" w:evenVBand="0" w:oddHBand="1" w:evenHBand="0" w:firstRowFirstColumn="0" w:firstRowLastColumn="0" w:lastRowFirstColumn="0" w:lastRowLastColumn="0"/>
              <w:rPr>
                <w:sz w:val="20"/>
                <w:szCs w:val="20"/>
              </w:rPr>
            </w:pPr>
            <w:r w:rsidRPr="00AF154D">
              <w:rPr>
                <w:sz w:val="20"/>
                <w:szCs w:val="20"/>
              </w:rPr>
              <w:t>Single</w:t>
            </w:r>
            <w:r w:rsidR="007B1EA8">
              <w:rPr>
                <w:sz w:val="20"/>
                <w:szCs w:val="20"/>
              </w:rPr>
              <w:t xml:space="preserve"> unit</w:t>
            </w:r>
            <w:r w:rsidRPr="00AF154D">
              <w:rPr>
                <w:sz w:val="20"/>
                <w:szCs w:val="20"/>
              </w:rPr>
              <w:t xml:space="preserve"> Short Haul</w:t>
            </w:r>
          </w:p>
        </w:tc>
        <w:tc>
          <w:tcPr>
            <w:tcW w:w="1076" w:type="dxa"/>
            <w:tcBorders>
              <w:top w:val="single" w:sz="4" w:space="0" w:color="auto"/>
              <w:left w:val="single" w:sz="4" w:space="0" w:color="auto"/>
              <w:bottom w:val="single" w:sz="4" w:space="0" w:color="auto"/>
              <w:right w:val="single" w:sz="4" w:space="0" w:color="auto"/>
            </w:tcBorders>
            <w:vAlign w:val="center"/>
          </w:tcPr>
          <w:p w14:paraId="786460CD" w14:textId="31003D52" w:rsidR="00F620BF" w:rsidRDefault="00F620BF" w:rsidP="00F620B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90%</w:t>
            </w:r>
          </w:p>
        </w:tc>
        <w:tc>
          <w:tcPr>
            <w:tcW w:w="1233" w:type="dxa"/>
            <w:tcBorders>
              <w:top w:val="single" w:sz="4" w:space="0" w:color="auto"/>
              <w:left w:val="single" w:sz="4" w:space="0" w:color="auto"/>
              <w:bottom w:val="single" w:sz="4" w:space="0" w:color="auto"/>
              <w:right w:val="single" w:sz="4" w:space="0" w:color="auto"/>
            </w:tcBorders>
            <w:vAlign w:val="center"/>
          </w:tcPr>
          <w:p w14:paraId="3DE29514" w14:textId="713D4E6C" w:rsidR="00F620BF" w:rsidRDefault="00F620BF" w:rsidP="00F620B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0%</w:t>
            </w:r>
          </w:p>
        </w:tc>
        <w:tc>
          <w:tcPr>
            <w:tcW w:w="1233" w:type="dxa"/>
            <w:tcBorders>
              <w:top w:val="single" w:sz="4" w:space="0" w:color="auto"/>
              <w:left w:val="single" w:sz="4" w:space="0" w:color="auto"/>
              <w:bottom w:val="single" w:sz="4" w:space="0" w:color="auto"/>
              <w:right w:val="single" w:sz="4" w:space="0" w:color="auto"/>
            </w:tcBorders>
            <w:vAlign w:val="center"/>
          </w:tcPr>
          <w:p w14:paraId="387DFCCE" w14:textId="196D097B" w:rsidR="00F620BF" w:rsidRDefault="00F620BF" w:rsidP="00F620B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F154D">
              <w:rPr>
                <w:color w:val="000000"/>
                <w:sz w:val="20"/>
                <w:szCs w:val="20"/>
              </w:rPr>
              <w:t>17.6%</w:t>
            </w:r>
          </w:p>
        </w:tc>
        <w:tc>
          <w:tcPr>
            <w:tcW w:w="1233" w:type="dxa"/>
            <w:tcBorders>
              <w:top w:val="single" w:sz="4" w:space="0" w:color="auto"/>
              <w:left w:val="single" w:sz="4" w:space="0" w:color="auto"/>
              <w:bottom w:val="single" w:sz="4" w:space="0" w:color="auto"/>
              <w:right w:val="single" w:sz="4" w:space="0" w:color="auto"/>
            </w:tcBorders>
            <w:vAlign w:val="center"/>
          </w:tcPr>
          <w:p w14:paraId="54582AD3" w14:textId="07116DC2" w:rsidR="00F620BF" w:rsidRDefault="00F620BF" w:rsidP="00F620B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F154D">
              <w:rPr>
                <w:color w:val="000000"/>
                <w:sz w:val="20"/>
                <w:szCs w:val="20"/>
              </w:rPr>
              <w:t>-10%</w:t>
            </w:r>
          </w:p>
        </w:tc>
      </w:tr>
      <w:tr w:rsidR="00F620BF" w:rsidRPr="00AF154D" w14:paraId="71733CF9" w14:textId="77777777" w:rsidTr="00F620BF">
        <w:trPr>
          <w:jc w:val="center"/>
        </w:trPr>
        <w:tc>
          <w:tcPr>
            <w:cnfStyle w:val="001000000000" w:firstRow="0" w:lastRow="0" w:firstColumn="1" w:lastColumn="0" w:oddVBand="0" w:evenVBand="0" w:oddHBand="0" w:evenHBand="0" w:firstRowFirstColumn="0" w:firstRowLastColumn="0" w:lastRowFirstColumn="0" w:lastRowLastColumn="0"/>
            <w:tcW w:w="1705" w:type="dxa"/>
            <w:vMerge/>
            <w:tcBorders>
              <w:top w:val="single" w:sz="4" w:space="0" w:color="auto"/>
              <w:left w:val="single" w:sz="4" w:space="0" w:color="auto"/>
              <w:bottom w:val="single" w:sz="4" w:space="0" w:color="auto"/>
              <w:right w:val="single" w:sz="4" w:space="0" w:color="auto"/>
            </w:tcBorders>
            <w:vAlign w:val="center"/>
          </w:tcPr>
          <w:p w14:paraId="3B047D6D" w14:textId="77777777" w:rsidR="00F620BF" w:rsidRDefault="00F620BF" w:rsidP="00F620BF">
            <w:pPr>
              <w:rPr>
                <w:b w:val="0"/>
                <w:sz w:val="20"/>
                <w:szCs w:val="20"/>
              </w:rPr>
            </w:pPr>
          </w:p>
        </w:tc>
        <w:tc>
          <w:tcPr>
            <w:tcW w:w="2700" w:type="dxa"/>
            <w:tcBorders>
              <w:top w:val="single" w:sz="4" w:space="0" w:color="auto"/>
              <w:left w:val="single" w:sz="4" w:space="0" w:color="auto"/>
              <w:bottom w:val="single" w:sz="4" w:space="0" w:color="auto"/>
              <w:right w:val="single" w:sz="4" w:space="0" w:color="auto"/>
            </w:tcBorders>
            <w:vAlign w:val="center"/>
          </w:tcPr>
          <w:p w14:paraId="364CA507" w14:textId="0BB10B3A" w:rsidR="00F620BF" w:rsidRPr="00AF154D" w:rsidRDefault="00F620BF" w:rsidP="00F620BF">
            <w:pPr>
              <w:cnfStyle w:val="000000000000" w:firstRow="0" w:lastRow="0" w:firstColumn="0" w:lastColumn="0" w:oddVBand="0" w:evenVBand="0" w:oddHBand="0" w:evenHBand="0" w:firstRowFirstColumn="0" w:firstRowLastColumn="0" w:lastRowFirstColumn="0" w:lastRowLastColumn="0"/>
              <w:rPr>
                <w:sz w:val="20"/>
                <w:szCs w:val="20"/>
              </w:rPr>
            </w:pPr>
            <w:r w:rsidRPr="00AF154D">
              <w:rPr>
                <w:sz w:val="20"/>
                <w:szCs w:val="20"/>
              </w:rPr>
              <w:t>Single</w:t>
            </w:r>
            <w:r w:rsidR="007B1EA8">
              <w:rPr>
                <w:sz w:val="20"/>
                <w:szCs w:val="20"/>
              </w:rPr>
              <w:t xml:space="preserve"> unit</w:t>
            </w:r>
            <w:r w:rsidRPr="00AF154D">
              <w:rPr>
                <w:sz w:val="20"/>
                <w:szCs w:val="20"/>
              </w:rPr>
              <w:t xml:space="preserve"> Long Haul</w:t>
            </w:r>
          </w:p>
        </w:tc>
        <w:tc>
          <w:tcPr>
            <w:tcW w:w="1076" w:type="dxa"/>
            <w:tcBorders>
              <w:top w:val="single" w:sz="4" w:space="0" w:color="auto"/>
              <w:left w:val="single" w:sz="4" w:space="0" w:color="auto"/>
              <w:bottom w:val="single" w:sz="4" w:space="0" w:color="auto"/>
              <w:right w:val="single" w:sz="4" w:space="0" w:color="auto"/>
            </w:tcBorders>
            <w:vAlign w:val="center"/>
          </w:tcPr>
          <w:p w14:paraId="3563BCA2" w14:textId="57F68B0E" w:rsidR="00F620BF" w:rsidRDefault="00F620BF" w:rsidP="00F620B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90%</w:t>
            </w:r>
          </w:p>
        </w:tc>
        <w:tc>
          <w:tcPr>
            <w:tcW w:w="1233" w:type="dxa"/>
            <w:tcBorders>
              <w:top w:val="single" w:sz="4" w:space="0" w:color="auto"/>
              <w:left w:val="single" w:sz="4" w:space="0" w:color="auto"/>
              <w:bottom w:val="single" w:sz="4" w:space="0" w:color="auto"/>
              <w:right w:val="single" w:sz="4" w:space="0" w:color="auto"/>
            </w:tcBorders>
            <w:vAlign w:val="center"/>
          </w:tcPr>
          <w:p w14:paraId="4E486A71" w14:textId="284181D0" w:rsidR="00F620BF" w:rsidRDefault="00F620BF" w:rsidP="00F620B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1233" w:type="dxa"/>
            <w:tcBorders>
              <w:top w:val="single" w:sz="4" w:space="0" w:color="auto"/>
              <w:left w:val="single" w:sz="4" w:space="0" w:color="auto"/>
              <w:bottom w:val="single" w:sz="4" w:space="0" w:color="auto"/>
              <w:right w:val="single" w:sz="4" w:space="0" w:color="auto"/>
            </w:tcBorders>
            <w:vAlign w:val="center"/>
          </w:tcPr>
          <w:p w14:paraId="4B2857DA" w14:textId="42AC5630" w:rsidR="00F620BF" w:rsidRDefault="00F620BF" w:rsidP="00F620B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F154D">
              <w:rPr>
                <w:color w:val="000000"/>
                <w:sz w:val="20"/>
                <w:szCs w:val="20"/>
              </w:rPr>
              <w:t>17.6%</w:t>
            </w:r>
          </w:p>
        </w:tc>
        <w:tc>
          <w:tcPr>
            <w:tcW w:w="1233" w:type="dxa"/>
            <w:tcBorders>
              <w:top w:val="single" w:sz="4" w:space="0" w:color="auto"/>
              <w:left w:val="single" w:sz="4" w:space="0" w:color="auto"/>
              <w:bottom w:val="single" w:sz="4" w:space="0" w:color="auto"/>
              <w:right w:val="single" w:sz="4" w:space="0" w:color="auto"/>
            </w:tcBorders>
            <w:vAlign w:val="center"/>
          </w:tcPr>
          <w:p w14:paraId="65BF2820" w14:textId="68733771" w:rsidR="00F620BF" w:rsidRDefault="00F620BF" w:rsidP="00F620B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F154D">
              <w:rPr>
                <w:color w:val="000000"/>
                <w:sz w:val="20"/>
                <w:szCs w:val="20"/>
              </w:rPr>
              <w:t>-10%</w:t>
            </w:r>
          </w:p>
        </w:tc>
      </w:tr>
      <w:tr w:rsidR="00F620BF" w:rsidRPr="00AF154D" w14:paraId="7EA16E64" w14:textId="77777777" w:rsidTr="00F620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5" w:type="dxa"/>
            <w:vMerge/>
            <w:tcBorders>
              <w:top w:val="single" w:sz="4" w:space="0" w:color="auto"/>
              <w:left w:val="single" w:sz="4" w:space="0" w:color="auto"/>
              <w:bottom w:val="single" w:sz="4" w:space="0" w:color="auto"/>
              <w:right w:val="single" w:sz="4" w:space="0" w:color="auto"/>
            </w:tcBorders>
            <w:vAlign w:val="center"/>
          </w:tcPr>
          <w:p w14:paraId="6CF70521" w14:textId="77777777" w:rsidR="00F620BF" w:rsidRDefault="00F620BF" w:rsidP="00F620BF">
            <w:pPr>
              <w:rPr>
                <w:b w:val="0"/>
                <w:sz w:val="20"/>
                <w:szCs w:val="20"/>
              </w:rPr>
            </w:pPr>
          </w:p>
        </w:tc>
        <w:tc>
          <w:tcPr>
            <w:tcW w:w="2700" w:type="dxa"/>
            <w:tcBorders>
              <w:top w:val="single" w:sz="4" w:space="0" w:color="auto"/>
              <w:left w:val="single" w:sz="4" w:space="0" w:color="auto"/>
              <w:bottom w:val="single" w:sz="4" w:space="0" w:color="auto"/>
              <w:right w:val="single" w:sz="4" w:space="0" w:color="auto"/>
            </w:tcBorders>
            <w:vAlign w:val="center"/>
          </w:tcPr>
          <w:p w14:paraId="5B8CB9C0" w14:textId="22085D8E" w:rsidR="00F620BF" w:rsidRPr="00AF154D" w:rsidRDefault="00F620BF" w:rsidP="00F620BF">
            <w:pPr>
              <w:cnfStyle w:val="000000100000" w:firstRow="0" w:lastRow="0" w:firstColumn="0" w:lastColumn="0" w:oddVBand="0" w:evenVBand="0" w:oddHBand="1" w:evenHBand="0" w:firstRowFirstColumn="0" w:firstRowLastColumn="0" w:lastRowFirstColumn="0" w:lastRowLastColumn="0"/>
              <w:rPr>
                <w:sz w:val="20"/>
                <w:szCs w:val="20"/>
              </w:rPr>
            </w:pPr>
            <w:r w:rsidRPr="00AF154D">
              <w:rPr>
                <w:sz w:val="20"/>
                <w:szCs w:val="20"/>
              </w:rPr>
              <w:t>Combination</w:t>
            </w:r>
            <w:r w:rsidR="007B1EA8">
              <w:rPr>
                <w:sz w:val="20"/>
                <w:szCs w:val="20"/>
              </w:rPr>
              <w:t xml:space="preserve"> unit</w:t>
            </w:r>
            <w:r w:rsidRPr="00AF154D">
              <w:rPr>
                <w:sz w:val="20"/>
                <w:szCs w:val="20"/>
              </w:rPr>
              <w:t xml:space="preserve"> Short Haul</w:t>
            </w:r>
          </w:p>
        </w:tc>
        <w:tc>
          <w:tcPr>
            <w:tcW w:w="1076" w:type="dxa"/>
            <w:tcBorders>
              <w:top w:val="single" w:sz="4" w:space="0" w:color="auto"/>
              <w:left w:val="single" w:sz="4" w:space="0" w:color="auto"/>
              <w:bottom w:val="single" w:sz="4" w:space="0" w:color="auto"/>
              <w:right w:val="single" w:sz="4" w:space="0" w:color="auto"/>
            </w:tcBorders>
            <w:vAlign w:val="center"/>
          </w:tcPr>
          <w:p w14:paraId="40BED0D8" w14:textId="741DC759" w:rsidR="00F620BF" w:rsidRDefault="00F620BF" w:rsidP="00F620B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90%</w:t>
            </w:r>
          </w:p>
        </w:tc>
        <w:tc>
          <w:tcPr>
            <w:tcW w:w="1233" w:type="dxa"/>
            <w:tcBorders>
              <w:top w:val="single" w:sz="4" w:space="0" w:color="auto"/>
              <w:left w:val="single" w:sz="4" w:space="0" w:color="auto"/>
              <w:bottom w:val="single" w:sz="4" w:space="0" w:color="auto"/>
              <w:right w:val="single" w:sz="4" w:space="0" w:color="auto"/>
            </w:tcBorders>
            <w:vAlign w:val="center"/>
          </w:tcPr>
          <w:p w14:paraId="735EBCFE" w14:textId="3575A9C7" w:rsidR="00F620BF" w:rsidRDefault="00F620BF" w:rsidP="00F620B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0%</w:t>
            </w:r>
          </w:p>
        </w:tc>
        <w:tc>
          <w:tcPr>
            <w:tcW w:w="1233" w:type="dxa"/>
            <w:tcBorders>
              <w:top w:val="single" w:sz="4" w:space="0" w:color="auto"/>
              <w:left w:val="single" w:sz="4" w:space="0" w:color="auto"/>
              <w:bottom w:val="single" w:sz="4" w:space="0" w:color="auto"/>
              <w:right w:val="single" w:sz="4" w:space="0" w:color="auto"/>
            </w:tcBorders>
            <w:vAlign w:val="center"/>
          </w:tcPr>
          <w:p w14:paraId="148543E7" w14:textId="2722D93F" w:rsidR="00F620BF" w:rsidRDefault="00F620BF" w:rsidP="00F620B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F154D">
              <w:rPr>
                <w:color w:val="000000"/>
                <w:sz w:val="20"/>
                <w:szCs w:val="20"/>
              </w:rPr>
              <w:t>17.6%</w:t>
            </w:r>
          </w:p>
        </w:tc>
        <w:tc>
          <w:tcPr>
            <w:tcW w:w="1233" w:type="dxa"/>
            <w:tcBorders>
              <w:top w:val="single" w:sz="4" w:space="0" w:color="auto"/>
              <w:left w:val="single" w:sz="4" w:space="0" w:color="auto"/>
              <w:bottom w:val="single" w:sz="4" w:space="0" w:color="auto"/>
              <w:right w:val="single" w:sz="4" w:space="0" w:color="auto"/>
            </w:tcBorders>
            <w:vAlign w:val="center"/>
          </w:tcPr>
          <w:p w14:paraId="578AB07C" w14:textId="7EF50EA3" w:rsidR="00F620BF" w:rsidRDefault="00F620BF" w:rsidP="00F620B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F154D">
              <w:rPr>
                <w:color w:val="000000"/>
                <w:sz w:val="20"/>
                <w:szCs w:val="20"/>
              </w:rPr>
              <w:t>-10%</w:t>
            </w:r>
          </w:p>
        </w:tc>
      </w:tr>
      <w:tr w:rsidR="00F620BF" w:rsidRPr="00AF154D" w14:paraId="50081904" w14:textId="77777777" w:rsidTr="00F620BF">
        <w:trPr>
          <w:jc w:val="center"/>
        </w:trPr>
        <w:tc>
          <w:tcPr>
            <w:cnfStyle w:val="001000000000" w:firstRow="0" w:lastRow="0" w:firstColumn="1" w:lastColumn="0" w:oddVBand="0" w:evenVBand="0" w:oddHBand="0" w:evenHBand="0" w:firstRowFirstColumn="0" w:firstRowLastColumn="0" w:lastRowFirstColumn="0" w:lastRowLastColumn="0"/>
            <w:tcW w:w="1705" w:type="dxa"/>
            <w:vMerge/>
            <w:tcBorders>
              <w:top w:val="single" w:sz="4" w:space="0" w:color="auto"/>
              <w:left w:val="single" w:sz="4" w:space="0" w:color="auto"/>
              <w:bottom w:val="single" w:sz="4" w:space="0" w:color="auto"/>
              <w:right w:val="single" w:sz="4" w:space="0" w:color="auto"/>
            </w:tcBorders>
            <w:vAlign w:val="center"/>
          </w:tcPr>
          <w:p w14:paraId="1215015F" w14:textId="77777777" w:rsidR="00F620BF" w:rsidRDefault="00F620BF" w:rsidP="00F620BF">
            <w:pPr>
              <w:rPr>
                <w:b w:val="0"/>
                <w:sz w:val="20"/>
                <w:szCs w:val="20"/>
              </w:rPr>
            </w:pPr>
          </w:p>
        </w:tc>
        <w:tc>
          <w:tcPr>
            <w:tcW w:w="2700" w:type="dxa"/>
            <w:tcBorders>
              <w:top w:val="single" w:sz="4" w:space="0" w:color="auto"/>
              <w:left w:val="single" w:sz="4" w:space="0" w:color="auto"/>
              <w:bottom w:val="single" w:sz="4" w:space="0" w:color="auto"/>
              <w:right w:val="single" w:sz="4" w:space="0" w:color="auto"/>
            </w:tcBorders>
            <w:vAlign w:val="center"/>
          </w:tcPr>
          <w:p w14:paraId="4AE2438C" w14:textId="35F9CDE1" w:rsidR="00F620BF" w:rsidRPr="00AF154D" w:rsidRDefault="00F620BF" w:rsidP="00F620BF">
            <w:pPr>
              <w:cnfStyle w:val="000000000000" w:firstRow="0" w:lastRow="0" w:firstColumn="0" w:lastColumn="0" w:oddVBand="0" w:evenVBand="0" w:oddHBand="0" w:evenHBand="0" w:firstRowFirstColumn="0" w:firstRowLastColumn="0" w:lastRowFirstColumn="0" w:lastRowLastColumn="0"/>
              <w:rPr>
                <w:sz w:val="20"/>
                <w:szCs w:val="20"/>
              </w:rPr>
            </w:pPr>
            <w:r w:rsidRPr="00AF154D">
              <w:rPr>
                <w:sz w:val="20"/>
                <w:szCs w:val="20"/>
              </w:rPr>
              <w:t>Combination</w:t>
            </w:r>
            <w:r w:rsidR="007B1EA8">
              <w:rPr>
                <w:sz w:val="20"/>
                <w:szCs w:val="20"/>
              </w:rPr>
              <w:t xml:space="preserve"> unit</w:t>
            </w:r>
            <w:r w:rsidRPr="00AF154D">
              <w:rPr>
                <w:sz w:val="20"/>
                <w:szCs w:val="20"/>
              </w:rPr>
              <w:t xml:space="preserve"> Long Haul</w:t>
            </w:r>
          </w:p>
        </w:tc>
        <w:tc>
          <w:tcPr>
            <w:tcW w:w="1076" w:type="dxa"/>
            <w:tcBorders>
              <w:top w:val="single" w:sz="4" w:space="0" w:color="auto"/>
              <w:left w:val="single" w:sz="4" w:space="0" w:color="auto"/>
              <w:bottom w:val="single" w:sz="4" w:space="0" w:color="auto"/>
              <w:right w:val="single" w:sz="4" w:space="0" w:color="auto"/>
            </w:tcBorders>
            <w:vAlign w:val="center"/>
          </w:tcPr>
          <w:p w14:paraId="654627E0" w14:textId="7DFF0849" w:rsidR="00F620BF" w:rsidRDefault="00F620BF" w:rsidP="00F620B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90%</w:t>
            </w:r>
          </w:p>
        </w:tc>
        <w:tc>
          <w:tcPr>
            <w:tcW w:w="1233" w:type="dxa"/>
            <w:tcBorders>
              <w:top w:val="single" w:sz="4" w:space="0" w:color="auto"/>
              <w:left w:val="single" w:sz="4" w:space="0" w:color="auto"/>
              <w:bottom w:val="single" w:sz="4" w:space="0" w:color="auto"/>
              <w:right w:val="single" w:sz="4" w:space="0" w:color="auto"/>
            </w:tcBorders>
            <w:vAlign w:val="center"/>
          </w:tcPr>
          <w:p w14:paraId="4F74AA4B" w14:textId="3BEDE649" w:rsidR="00F620BF" w:rsidRDefault="00F620BF" w:rsidP="00F620B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1233" w:type="dxa"/>
            <w:tcBorders>
              <w:top w:val="single" w:sz="4" w:space="0" w:color="auto"/>
              <w:left w:val="single" w:sz="4" w:space="0" w:color="auto"/>
              <w:bottom w:val="single" w:sz="4" w:space="0" w:color="auto"/>
              <w:right w:val="single" w:sz="4" w:space="0" w:color="auto"/>
            </w:tcBorders>
            <w:vAlign w:val="center"/>
          </w:tcPr>
          <w:p w14:paraId="49B5EAFE" w14:textId="1A3F91BB" w:rsidR="00F620BF" w:rsidRDefault="00F620BF" w:rsidP="00F620B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F154D">
              <w:rPr>
                <w:color w:val="000000"/>
                <w:sz w:val="20"/>
                <w:szCs w:val="20"/>
              </w:rPr>
              <w:t>19%</w:t>
            </w:r>
          </w:p>
        </w:tc>
        <w:tc>
          <w:tcPr>
            <w:tcW w:w="1233" w:type="dxa"/>
            <w:tcBorders>
              <w:top w:val="single" w:sz="4" w:space="0" w:color="auto"/>
              <w:left w:val="single" w:sz="4" w:space="0" w:color="auto"/>
              <w:bottom w:val="single" w:sz="4" w:space="0" w:color="auto"/>
              <w:right w:val="single" w:sz="4" w:space="0" w:color="auto"/>
            </w:tcBorders>
            <w:vAlign w:val="center"/>
          </w:tcPr>
          <w:p w14:paraId="6304F3C1" w14:textId="13C678FF" w:rsidR="00F620BF" w:rsidRDefault="00F620BF" w:rsidP="00F620B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F154D">
              <w:rPr>
                <w:color w:val="000000"/>
                <w:sz w:val="20"/>
                <w:szCs w:val="20"/>
              </w:rPr>
              <w:t>-10%</w:t>
            </w:r>
          </w:p>
        </w:tc>
      </w:tr>
      <w:tr w:rsidR="00F620BF" w:rsidRPr="00AF154D" w14:paraId="29744A0B" w14:textId="77777777" w:rsidTr="00F620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5" w:type="dxa"/>
            <w:tcBorders>
              <w:top w:val="single" w:sz="4" w:space="0" w:color="auto"/>
              <w:left w:val="single" w:sz="4" w:space="0" w:color="auto"/>
              <w:bottom w:val="single" w:sz="4" w:space="0" w:color="auto"/>
              <w:right w:val="single" w:sz="4" w:space="0" w:color="auto"/>
            </w:tcBorders>
            <w:vAlign w:val="center"/>
          </w:tcPr>
          <w:p w14:paraId="61B4897D" w14:textId="4FEC5E45" w:rsidR="00F620BF" w:rsidRDefault="00F620BF" w:rsidP="00F620BF">
            <w:pPr>
              <w:rPr>
                <w:b w:val="0"/>
                <w:sz w:val="20"/>
                <w:szCs w:val="20"/>
              </w:rPr>
            </w:pPr>
            <w:r w:rsidRPr="00AF154D">
              <w:rPr>
                <w:b w:val="0"/>
                <w:sz w:val="20"/>
                <w:szCs w:val="20"/>
              </w:rPr>
              <w:t>LNG</w:t>
            </w:r>
            <w:r>
              <w:rPr>
                <w:b w:val="0"/>
                <w:sz w:val="20"/>
                <w:szCs w:val="20"/>
              </w:rPr>
              <w:t xml:space="preserve"> w/ Low NOx Engine</w:t>
            </w:r>
          </w:p>
        </w:tc>
        <w:tc>
          <w:tcPr>
            <w:tcW w:w="2700" w:type="dxa"/>
            <w:tcBorders>
              <w:top w:val="single" w:sz="4" w:space="0" w:color="auto"/>
              <w:left w:val="single" w:sz="4" w:space="0" w:color="auto"/>
              <w:bottom w:val="single" w:sz="4" w:space="0" w:color="auto"/>
              <w:right w:val="single" w:sz="4" w:space="0" w:color="auto"/>
            </w:tcBorders>
            <w:vAlign w:val="center"/>
          </w:tcPr>
          <w:p w14:paraId="660B74D9" w14:textId="4B5BFA8B" w:rsidR="00F620BF" w:rsidRPr="00AF154D" w:rsidRDefault="00F620BF" w:rsidP="00F620BF">
            <w:pPr>
              <w:cnfStyle w:val="000000100000" w:firstRow="0" w:lastRow="0" w:firstColumn="0" w:lastColumn="0" w:oddVBand="0" w:evenVBand="0" w:oddHBand="1" w:evenHBand="0" w:firstRowFirstColumn="0" w:firstRowLastColumn="0" w:lastRowFirstColumn="0" w:lastRowLastColumn="0"/>
              <w:rPr>
                <w:sz w:val="20"/>
                <w:szCs w:val="20"/>
              </w:rPr>
            </w:pPr>
            <w:r w:rsidRPr="00AF154D">
              <w:rPr>
                <w:sz w:val="20"/>
                <w:szCs w:val="20"/>
              </w:rPr>
              <w:t>Combination</w:t>
            </w:r>
            <w:r w:rsidR="007B1EA8">
              <w:rPr>
                <w:sz w:val="20"/>
                <w:szCs w:val="20"/>
              </w:rPr>
              <w:t xml:space="preserve"> unit</w:t>
            </w:r>
            <w:r w:rsidRPr="00AF154D">
              <w:rPr>
                <w:sz w:val="20"/>
                <w:szCs w:val="20"/>
              </w:rPr>
              <w:t xml:space="preserve"> Long Haul</w:t>
            </w:r>
          </w:p>
        </w:tc>
        <w:tc>
          <w:tcPr>
            <w:tcW w:w="1076" w:type="dxa"/>
            <w:tcBorders>
              <w:top w:val="single" w:sz="4" w:space="0" w:color="auto"/>
              <w:left w:val="single" w:sz="4" w:space="0" w:color="auto"/>
              <w:bottom w:val="single" w:sz="4" w:space="0" w:color="auto"/>
              <w:right w:val="single" w:sz="4" w:space="0" w:color="auto"/>
            </w:tcBorders>
            <w:vAlign w:val="center"/>
          </w:tcPr>
          <w:p w14:paraId="608E8D02" w14:textId="30A84B79" w:rsidR="00F620BF" w:rsidRDefault="00F620BF" w:rsidP="00F620B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90%</w:t>
            </w:r>
          </w:p>
        </w:tc>
        <w:tc>
          <w:tcPr>
            <w:tcW w:w="1233" w:type="dxa"/>
            <w:tcBorders>
              <w:top w:val="single" w:sz="4" w:space="0" w:color="auto"/>
              <w:left w:val="single" w:sz="4" w:space="0" w:color="auto"/>
              <w:bottom w:val="single" w:sz="4" w:space="0" w:color="auto"/>
              <w:right w:val="single" w:sz="4" w:space="0" w:color="auto"/>
            </w:tcBorders>
            <w:vAlign w:val="center"/>
          </w:tcPr>
          <w:p w14:paraId="57C4804F" w14:textId="43642956" w:rsidR="00F620BF" w:rsidRDefault="00F620BF" w:rsidP="00F620B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0%</w:t>
            </w:r>
          </w:p>
        </w:tc>
        <w:tc>
          <w:tcPr>
            <w:tcW w:w="1233" w:type="dxa"/>
            <w:tcBorders>
              <w:top w:val="single" w:sz="4" w:space="0" w:color="auto"/>
              <w:left w:val="single" w:sz="4" w:space="0" w:color="auto"/>
              <w:bottom w:val="single" w:sz="4" w:space="0" w:color="auto"/>
              <w:right w:val="single" w:sz="4" w:space="0" w:color="auto"/>
            </w:tcBorders>
            <w:vAlign w:val="center"/>
          </w:tcPr>
          <w:p w14:paraId="287B36D5" w14:textId="401C7BBE" w:rsidR="00F620BF" w:rsidRDefault="00F620BF" w:rsidP="00F620B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F154D">
              <w:rPr>
                <w:color w:val="000000"/>
                <w:sz w:val="20"/>
                <w:szCs w:val="20"/>
              </w:rPr>
              <w:t>19%</w:t>
            </w:r>
          </w:p>
        </w:tc>
        <w:tc>
          <w:tcPr>
            <w:tcW w:w="1233" w:type="dxa"/>
            <w:tcBorders>
              <w:top w:val="single" w:sz="4" w:space="0" w:color="auto"/>
              <w:left w:val="single" w:sz="4" w:space="0" w:color="auto"/>
              <w:bottom w:val="single" w:sz="4" w:space="0" w:color="auto"/>
              <w:right w:val="single" w:sz="4" w:space="0" w:color="auto"/>
            </w:tcBorders>
            <w:vAlign w:val="center"/>
          </w:tcPr>
          <w:p w14:paraId="19F364F2" w14:textId="1FC40F34" w:rsidR="00F620BF" w:rsidRDefault="00F620BF" w:rsidP="00F620B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F154D">
              <w:rPr>
                <w:color w:val="000000"/>
                <w:sz w:val="20"/>
                <w:szCs w:val="20"/>
              </w:rPr>
              <w:t>-10%</w:t>
            </w:r>
          </w:p>
        </w:tc>
      </w:tr>
      <w:tr w:rsidR="00F620BF" w:rsidRPr="00AF154D" w14:paraId="2AD001E3" w14:textId="77777777" w:rsidTr="00F620BF">
        <w:trPr>
          <w:jc w:val="center"/>
        </w:trPr>
        <w:tc>
          <w:tcPr>
            <w:cnfStyle w:val="001000000000" w:firstRow="0" w:lastRow="0" w:firstColumn="1" w:lastColumn="0" w:oddVBand="0" w:evenVBand="0" w:oddHBand="0" w:evenHBand="0" w:firstRowFirstColumn="0" w:firstRowLastColumn="0" w:lastRowFirstColumn="0" w:lastRowLastColumn="0"/>
            <w:tcW w:w="1705" w:type="dxa"/>
            <w:vMerge w:val="restart"/>
            <w:tcBorders>
              <w:top w:val="single" w:sz="4" w:space="0" w:color="auto"/>
              <w:left w:val="single" w:sz="4" w:space="0" w:color="auto"/>
              <w:bottom w:val="single" w:sz="4" w:space="0" w:color="auto"/>
              <w:right w:val="single" w:sz="4" w:space="0" w:color="auto"/>
            </w:tcBorders>
            <w:vAlign w:val="center"/>
          </w:tcPr>
          <w:p w14:paraId="2FB57416" w14:textId="60A7583B" w:rsidR="00F620BF" w:rsidRPr="00AF154D" w:rsidRDefault="00F620BF" w:rsidP="00F620BF">
            <w:pPr>
              <w:rPr>
                <w:b w:val="0"/>
                <w:sz w:val="20"/>
                <w:szCs w:val="20"/>
              </w:rPr>
            </w:pPr>
            <w:r>
              <w:rPr>
                <w:b w:val="0"/>
                <w:sz w:val="20"/>
                <w:szCs w:val="20"/>
              </w:rPr>
              <w:t>RCNG w/ Low NOx Engine</w:t>
            </w:r>
          </w:p>
        </w:tc>
        <w:tc>
          <w:tcPr>
            <w:tcW w:w="2700" w:type="dxa"/>
            <w:tcBorders>
              <w:top w:val="single" w:sz="4" w:space="0" w:color="auto"/>
              <w:left w:val="single" w:sz="4" w:space="0" w:color="auto"/>
              <w:bottom w:val="single" w:sz="4" w:space="0" w:color="auto"/>
              <w:right w:val="single" w:sz="4" w:space="0" w:color="auto"/>
            </w:tcBorders>
            <w:vAlign w:val="center"/>
          </w:tcPr>
          <w:p w14:paraId="5F333141" w14:textId="0E779A7A" w:rsidR="00F620BF" w:rsidRPr="00AF154D" w:rsidRDefault="00F620BF" w:rsidP="00F620BF">
            <w:pPr>
              <w:cnfStyle w:val="000000000000" w:firstRow="0" w:lastRow="0" w:firstColumn="0" w:lastColumn="0" w:oddVBand="0" w:evenVBand="0" w:oddHBand="0" w:evenHBand="0" w:firstRowFirstColumn="0" w:firstRowLastColumn="0" w:lastRowFirstColumn="0" w:lastRowLastColumn="0"/>
              <w:rPr>
                <w:sz w:val="20"/>
                <w:szCs w:val="20"/>
              </w:rPr>
            </w:pPr>
            <w:r w:rsidRPr="00AF154D">
              <w:rPr>
                <w:sz w:val="20"/>
                <w:szCs w:val="20"/>
              </w:rPr>
              <w:t>Single</w:t>
            </w:r>
            <w:r w:rsidR="007B1EA8">
              <w:rPr>
                <w:sz w:val="20"/>
                <w:szCs w:val="20"/>
              </w:rPr>
              <w:t xml:space="preserve"> unit</w:t>
            </w:r>
            <w:r w:rsidRPr="00AF154D">
              <w:rPr>
                <w:sz w:val="20"/>
                <w:szCs w:val="20"/>
              </w:rPr>
              <w:t xml:space="preserve"> Short Haul</w:t>
            </w:r>
          </w:p>
        </w:tc>
        <w:tc>
          <w:tcPr>
            <w:tcW w:w="1076" w:type="dxa"/>
            <w:tcBorders>
              <w:top w:val="single" w:sz="4" w:space="0" w:color="auto"/>
              <w:left w:val="single" w:sz="4" w:space="0" w:color="auto"/>
              <w:bottom w:val="single" w:sz="4" w:space="0" w:color="auto"/>
              <w:right w:val="single" w:sz="4" w:space="0" w:color="auto"/>
            </w:tcBorders>
            <w:vAlign w:val="center"/>
          </w:tcPr>
          <w:p w14:paraId="49F56C78" w14:textId="77777777" w:rsidR="00F620BF" w:rsidRPr="00AF154D" w:rsidRDefault="00F620BF" w:rsidP="00F620B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90%</w:t>
            </w:r>
          </w:p>
        </w:tc>
        <w:tc>
          <w:tcPr>
            <w:tcW w:w="1233" w:type="dxa"/>
            <w:tcBorders>
              <w:top w:val="single" w:sz="4" w:space="0" w:color="auto"/>
              <w:left w:val="single" w:sz="4" w:space="0" w:color="auto"/>
              <w:bottom w:val="single" w:sz="4" w:space="0" w:color="auto"/>
              <w:right w:val="single" w:sz="4" w:space="0" w:color="auto"/>
            </w:tcBorders>
            <w:vAlign w:val="center"/>
          </w:tcPr>
          <w:p w14:paraId="674F19F9" w14:textId="77777777" w:rsidR="00F620BF" w:rsidRPr="00AF154D" w:rsidRDefault="00F620BF" w:rsidP="00F620B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1233" w:type="dxa"/>
            <w:tcBorders>
              <w:top w:val="single" w:sz="4" w:space="0" w:color="auto"/>
              <w:left w:val="single" w:sz="4" w:space="0" w:color="auto"/>
              <w:bottom w:val="single" w:sz="4" w:space="0" w:color="auto"/>
              <w:right w:val="single" w:sz="4" w:space="0" w:color="auto"/>
            </w:tcBorders>
            <w:vAlign w:val="center"/>
          </w:tcPr>
          <w:p w14:paraId="60A45240" w14:textId="77777777" w:rsidR="00F620BF" w:rsidRPr="00AF154D" w:rsidRDefault="00F620BF" w:rsidP="00F620B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62%</w:t>
            </w:r>
          </w:p>
        </w:tc>
        <w:tc>
          <w:tcPr>
            <w:tcW w:w="1233" w:type="dxa"/>
            <w:tcBorders>
              <w:top w:val="single" w:sz="4" w:space="0" w:color="auto"/>
              <w:left w:val="single" w:sz="4" w:space="0" w:color="auto"/>
              <w:bottom w:val="single" w:sz="4" w:space="0" w:color="auto"/>
              <w:right w:val="single" w:sz="4" w:space="0" w:color="auto"/>
            </w:tcBorders>
            <w:vAlign w:val="center"/>
          </w:tcPr>
          <w:p w14:paraId="1AF45790" w14:textId="77777777" w:rsidR="00F620BF" w:rsidRPr="00AF154D" w:rsidRDefault="00F620BF" w:rsidP="00F620B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w:t>
            </w:r>
          </w:p>
        </w:tc>
      </w:tr>
      <w:tr w:rsidR="00F620BF" w:rsidRPr="00AF154D" w14:paraId="71637110" w14:textId="77777777" w:rsidTr="00F620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5" w:type="dxa"/>
            <w:vMerge/>
            <w:tcBorders>
              <w:top w:val="single" w:sz="4" w:space="0" w:color="auto"/>
              <w:left w:val="single" w:sz="4" w:space="0" w:color="auto"/>
              <w:bottom w:val="single" w:sz="4" w:space="0" w:color="auto"/>
              <w:right w:val="single" w:sz="4" w:space="0" w:color="auto"/>
            </w:tcBorders>
            <w:vAlign w:val="center"/>
          </w:tcPr>
          <w:p w14:paraId="08E51B63" w14:textId="77777777" w:rsidR="00F620BF" w:rsidRPr="00AF154D" w:rsidRDefault="00F620BF" w:rsidP="00F620BF">
            <w:pPr>
              <w:rPr>
                <w:b w:val="0"/>
                <w:sz w:val="20"/>
                <w:szCs w:val="20"/>
              </w:rPr>
            </w:pPr>
          </w:p>
        </w:tc>
        <w:tc>
          <w:tcPr>
            <w:tcW w:w="2700" w:type="dxa"/>
            <w:tcBorders>
              <w:top w:val="single" w:sz="4" w:space="0" w:color="auto"/>
              <w:left w:val="single" w:sz="4" w:space="0" w:color="auto"/>
              <w:bottom w:val="single" w:sz="4" w:space="0" w:color="auto"/>
              <w:right w:val="single" w:sz="4" w:space="0" w:color="auto"/>
            </w:tcBorders>
            <w:vAlign w:val="center"/>
          </w:tcPr>
          <w:p w14:paraId="58586819" w14:textId="20C67490" w:rsidR="00F620BF" w:rsidRPr="00AF154D" w:rsidRDefault="00F620BF" w:rsidP="00F620BF">
            <w:pPr>
              <w:cnfStyle w:val="000000100000" w:firstRow="0" w:lastRow="0" w:firstColumn="0" w:lastColumn="0" w:oddVBand="0" w:evenVBand="0" w:oddHBand="1" w:evenHBand="0" w:firstRowFirstColumn="0" w:firstRowLastColumn="0" w:lastRowFirstColumn="0" w:lastRowLastColumn="0"/>
              <w:rPr>
                <w:sz w:val="20"/>
                <w:szCs w:val="20"/>
              </w:rPr>
            </w:pPr>
            <w:r w:rsidRPr="00AF154D">
              <w:rPr>
                <w:sz w:val="20"/>
                <w:szCs w:val="20"/>
              </w:rPr>
              <w:t>Single</w:t>
            </w:r>
            <w:r w:rsidR="007B1EA8">
              <w:rPr>
                <w:sz w:val="20"/>
                <w:szCs w:val="20"/>
              </w:rPr>
              <w:t xml:space="preserve"> unit</w:t>
            </w:r>
            <w:r w:rsidRPr="00AF154D">
              <w:rPr>
                <w:sz w:val="20"/>
                <w:szCs w:val="20"/>
              </w:rPr>
              <w:t xml:space="preserve"> Long Haul</w:t>
            </w:r>
          </w:p>
        </w:tc>
        <w:tc>
          <w:tcPr>
            <w:tcW w:w="1076" w:type="dxa"/>
            <w:tcBorders>
              <w:top w:val="single" w:sz="4" w:space="0" w:color="auto"/>
              <w:left w:val="single" w:sz="4" w:space="0" w:color="auto"/>
              <w:bottom w:val="single" w:sz="4" w:space="0" w:color="auto"/>
              <w:right w:val="single" w:sz="4" w:space="0" w:color="auto"/>
            </w:tcBorders>
            <w:vAlign w:val="center"/>
          </w:tcPr>
          <w:p w14:paraId="529E7DB1" w14:textId="77777777" w:rsidR="00F620BF" w:rsidRPr="00AF154D" w:rsidRDefault="00F620BF" w:rsidP="00F620B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90%</w:t>
            </w:r>
          </w:p>
        </w:tc>
        <w:tc>
          <w:tcPr>
            <w:tcW w:w="1233" w:type="dxa"/>
            <w:tcBorders>
              <w:top w:val="single" w:sz="4" w:space="0" w:color="auto"/>
              <w:left w:val="single" w:sz="4" w:space="0" w:color="auto"/>
              <w:bottom w:val="single" w:sz="4" w:space="0" w:color="auto"/>
              <w:right w:val="single" w:sz="4" w:space="0" w:color="auto"/>
            </w:tcBorders>
            <w:vAlign w:val="center"/>
          </w:tcPr>
          <w:p w14:paraId="2548DDBF" w14:textId="77777777" w:rsidR="00F620BF" w:rsidRPr="00AF154D" w:rsidRDefault="00F620BF" w:rsidP="00F620B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0%</w:t>
            </w:r>
          </w:p>
        </w:tc>
        <w:tc>
          <w:tcPr>
            <w:tcW w:w="1233" w:type="dxa"/>
            <w:tcBorders>
              <w:top w:val="single" w:sz="4" w:space="0" w:color="auto"/>
              <w:left w:val="single" w:sz="4" w:space="0" w:color="auto"/>
              <w:bottom w:val="single" w:sz="4" w:space="0" w:color="auto"/>
              <w:right w:val="single" w:sz="4" w:space="0" w:color="auto"/>
            </w:tcBorders>
            <w:vAlign w:val="center"/>
          </w:tcPr>
          <w:p w14:paraId="776FB82F" w14:textId="77777777" w:rsidR="00F620BF" w:rsidRPr="00AF154D" w:rsidRDefault="00F620BF" w:rsidP="00F620B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62%</w:t>
            </w:r>
          </w:p>
        </w:tc>
        <w:tc>
          <w:tcPr>
            <w:tcW w:w="1233" w:type="dxa"/>
            <w:tcBorders>
              <w:top w:val="single" w:sz="4" w:space="0" w:color="auto"/>
              <w:left w:val="single" w:sz="4" w:space="0" w:color="auto"/>
              <w:bottom w:val="single" w:sz="4" w:space="0" w:color="auto"/>
              <w:right w:val="single" w:sz="4" w:space="0" w:color="auto"/>
            </w:tcBorders>
            <w:vAlign w:val="center"/>
          </w:tcPr>
          <w:p w14:paraId="13F9CE13" w14:textId="77777777" w:rsidR="00F620BF" w:rsidRPr="00AF154D" w:rsidRDefault="00F620BF" w:rsidP="00F620B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-10%</w:t>
            </w:r>
          </w:p>
        </w:tc>
      </w:tr>
      <w:tr w:rsidR="00F620BF" w:rsidRPr="00AF154D" w14:paraId="1B58B983" w14:textId="77777777" w:rsidTr="00F620BF">
        <w:trPr>
          <w:jc w:val="center"/>
        </w:trPr>
        <w:tc>
          <w:tcPr>
            <w:cnfStyle w:val="001000000000" w:firstRow="0" w:lastRow="0" w:firstColumn="1" w:lastColumn="0" w:oddVBand="0" w:evenVBand="0" w:oddHBand="0" w:evenHBand="0" w:firstRowFirstColumn="0" w:firstRowLastColumn="0" w:lastRowFirstColumn="0" w:lastRowLastColumn="0"/>
            <w:tcW w:w="1705" w:type="dxa"/>
            <w:vMerge/>
            <w:tcBorders>
              <w:top w:val="single" w:sz="4" w:space="0" w:color="auto"/>
              <w:left w:val="single" w:sz="4" w:space="0" w:color="auto"/>
              <w:bottom w:val="single" w:sz="4" w:space="0" w:color="auto"/>
              <w:right w:val="single" w:sz="4" w:space="0" w:color="auto"/>
            </w:tcBorders>
            <w:vAlign w:val="center"/>
          </w:tcPr>
          <w:p w14:paraId="0EF55B91" w14:textId="77777777" w:rsidR="00F620BF" w:rsidRPr="00AF154D" w:rsidRDefault="00F620BF" w:rsidP="00F620BF">
            <w:pPr>
              <w:rPr>
                <w:b w:val="0"/>
                <w:sz w:val="20"/>
                <w:szCs w:val="20"/>
              </w:rPr>
            </w:pPr>
          </w:p>
        </w:tc>
        <w:tc>
          <w:tcPr>
            <w:tcW w:w="2700" w:type="dxa"/>
            <w:tcBorders>
              <w:top w:val="single" w:sz="4" w:space="0" w:color="auto"/>
              <w:left w:val="single" w:sz="4" w:space="0" w:color="auto"/>
              <w:bottom w:val="single" w:sz="4" w:space="0" w:color="auto"/>
              <w:right w:val="single" w:sz="4" w:space="0" w:color="auto"/>
            </w:tcBorders>
            <w:vAlign w:val="center"/>
          </w:tcPr>
          <w:p w14:paraId="75C67AC0" w14:textId="7872820A" w:rsidR="00F620BF" w:rsidRPr="00AF154D" w:rsidRDefault="00F620BF" w:rsidP="00F620BF">
            <w:pPr>
              <w:cnfStyle w:val="000000000000" w:firstRow="0" w:lastRow="0" w:firstColumn="0" w:lastColumn="0" w:oddVBand="0" w:evenVBand="0" w:oddHBand="0" w:evenHBand="0" w:firstRowFirstColumn="0" w:firstRowLastColumn="0" w:lastRowFirstColumn="0" w:lastRowLastColumn="0"/>
              <w:rPr>
                <w:sz w:val="20"/>
                <w:szCs w:val="20"/>
              </w:rPr>
            </w:pPr>
            <w:r w:rsidRPr="00AF154D">
              <w:rPr>
                <w:sz w:val="20"/>
                <w:szCs w:val="20"/>
              </w:rPr>
              <w:t>Combination</w:t>
            </w:r>
            <w:r w:rsidR="007B1EA8">
              <w:rPr>
                <w:sz w:val="20"/>
                <w:szCs w:val="20"/>
              </w:rPr>
              <w:t xml:space="preserve"> unit</w:t>
            </w:r>
            <w:r w:rsidRPr="00AF154D">
              <w:rPr>
                <w:sz w:val="20"/>
                <w:szCs w:val="20"/>
              </w:rPr>
              <w:t xml:space="preserve"> Short Haul</w:t>
            </w:r>
          </w:p>
        </w:tc>
        <w:tc>
          <w:tcPr>
            <w:tcW w:w="1076" w:type="dxa"/>
            <w:tcBorders>
              <w:top w:val="single" w:sz="4" w:space="0" w:color="auto"/>
              <w:left w:val="single" w:sz="4" w:space="0" w:color="auto"/>
              <w:bottom w:val="single" w:sz="4" w:space="0" w:color="auto"/>
              <w:right w:val="single" w:sz="4" w:space="0" w:color="auto"/>
            </w:tcBorders>
            <w:vAlign w:val="center"/>
          </w:tcPr>
          <w:p w14:paraId="5A6016FA" w14:textId="77777777" w:rsidR="00F620BF" w:rsidRPr="00AF154D" w:rsidRDefault="00F620BF" w:rsidP="00F620B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90%</w:t>
            </w:r>
          </w:p>
        </w:tc>
        <w:tc>
          <w:tcPr>
            <w:tcW w:w="1233" w:type="dxa"/>
            <w:tcBorders>
              <w:top w:val="single" w:sz="4" w:space="0" w:color="auto"/>
              <w:left w:val="single" w:sz="4" w:space="0" w:color="auto"/>
              <w:bottom w:val="single" w:sz="4" w:space="0" w:color="auto"/>
              <w:right w:val="single" w:sz="4" w:space="0" w:color="auto"/>
            </w:tcBorders>
            <w:vAlign w:val="center"/>
          </w:tcPr>
          <w:p w14:paraId="335E5F25" w14:textId="77777777" w:rsidR="00F620BF" w:rsidRPr="00AF154D" w:rsidRDefault="00F620BF" w:rsidP="00F620B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1233" w:type="dxa"/>
            <w:tcBorders>
              <w:top w:val="single" w:sz="4" w:space="0" w:color="auto"/>
              <w:left w:val="single" w:sz="4" w:space="0" w:color="auto"/>
              <w:bottom w:val="single" w:sz="4" w:space="0" w:color="auto"/>
              <w:right w:val="single" w:sz="4" w:space="0" w:color="auto"/>
            </w:tcBorders>
            <w:vAlign w:val="center"/>
          </w:tcPr>
          <w:p w14:paraId="4674DE9D" w14:textId="77777777" w:rsidR="00F620BF" w:rsidRPr="00AF154D" w:rsidRDefault="00F620BF" w:rsidP="00F620B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62%</w:t>
            </w:r>
          </w:p>
        </w:tc>
        <w:tc>
          <w:tcPr>
            <w:tcW w:w="1233" w:type="dxa"/>
            <w:tcBorders>
              <w:top w:val="single" w:sz="4" w:space="0" w:color="auto"/>
              <w:left w:val="single" w:sz="4" w:space="0" w:color="auto"/>
              <w:bottom w:val="single" w:sz="4" w:space="0" w:color="auto"/>
              <w:right w:val="single" w:sz="4" w:space="0" w:color="auto"/>
            </w:tcBorders>
            <w:vAlign w:val="center"/>
          </w:tcPr>
          <w:p w14:paraId="0C8D1484" w14:textId="77777777" w:rsidR="00F620BF" w:rsidRPr="00AF154D" w:rsidRDefault="00F620BF" w:rsidP="00F620B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w:t>
            </w:r>
          </w:p>
        </w:tc>
      </w:tr>
      <w:tr w:rsidR="00F620BF" w:rsidRPr="00AF154D" w14:paraId="26747682" w14:textId="77777777" w:rsidTr="00F620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5" w:type="dxa"/>
            <w:vMerge/>
            <w:tcBorders>
              <w:top w:val="single" w:sz="4" w:space="0" w:color="auto"/>
              <w:left w:val="single" w:sz="4" w:space="0" w:color="auto"/>
              <w:bottom w:val="single" w:sz="4" w:space="0" w:color="auto"/>
              <w:right w:val="single" w:sz="4" w:space="0" w:color="auto"/>
            </w:tcBorders>
            <w:vAlign w:val="center"/>
          </w:tcPr>
          <w:p w14:paraId="35D19ADA" w14:textId="77777777" w:rsidR="00F620BF" w:rsidRPr="00AF154D" w:rsidRDefault="00F620BF" w:rsidP="00F620BF">
            <w:pPr>
              <w:rPr>
                <w:b w:val="0"/>
                <w:sz w:val="20"/>
                <w:szCs w:val="20"/>
              </w:rPr>
            </w:pPr>
          </w:p>
        </w:tc>
        <w:tc>
          <w:tcPr>
            <w:tcW w:w="2700" w:type="dxa"/>
            <w:tcBorders>
              <w:top w:val="single" w:sz="4" w:space="0" w:color="auto"/>
              <w:left w:val="single" w:sz="4" w:space="0" w:color="auto"/>
              <w:bottom w:val="single" w:sz="4" w:space="0" w:color="auto"/>
              <w:right w:val="single" w:sz="4" w:space="0" w:color="auto"/>
            </w:tcBorders>
            <w:vAlign w:val="center"/>
          </w:tcPr>
          <w:p w14:paraId="452E62E1" w14:textId="5BF3AFA5" w:rsidR="00F620BF" w:rsidRPr="00AF154D" w:rsidRDefault="00F620BF" w:rsidP="00F620BF">
            <w:pPr>
              <w:cnfStyle w:val="000000100000" w:firstRow="0" w:lastRow="0" w:firstColumn="0" w:lastColumn="0" w:oddVBand="0" w:evenVBand="0" w:oddHBand="1" w:evenHBand="0" w:firstRowFirstColumn="0" w:firstRowLastColumn="0" w:lastRowFirstColumn="0" w:lastRowLastColumn="0"/>
              <w:rPr>
                <w:sz w:val="20"/>
                <w:szCs w:val="20"/>
              </w:rPr>
            </w:pPr>
            <w:r w:rsidRPr="00AF154D">
              <w:rPr>
                <w:sz w:val="20"/>
                <w:szCs w:val="20"/>
              </w:rPr>
              <w:t>Combination</w:t>
            </w:r>
            <w:r w:rsidR="007B1EA8">
              <w:rPr>
                <w:sz w:val="20"/>
                <w:szCs w:val="20"/>
              </w:rPr>
              <w:t xml:space="preserve"> unit</w:t>
            </w:r>
            <w:r w:rsidRPr="00AF154D">
              <w:rPr>
                <w:sz w:val="20"/>
                <w:szCs w:val="20"/>
              </w:rPr>
              <w:t xml:space="preserve"> Long Haul</w:t>
            </w:r>
          </w:p>
        </w:tc>
        <w:tc>
          <w:tcPr>
            <w:tcW w:w="1076" w:type="dxa"/>
            <w:tcBorders>
              <w:top w:val="single" w:sz="4" w:space="0" w:color="auto"/>
              <w:left w:val="single" w:sz="4" w:space="0" w:color="auto"/>
              <w:bottom w:val="single" w:sz="4" w:space="0" w:color="auto"/>
              <w:right w:val="single" w:sz="4" w:space="0" w:color="auto"/>
            </w:tcBorders>
            <w:vAlign w:val="center"/>
          </w:tcPr>
          <w:p w14:paraId="1F9428BB" w14:textId="77777777" w:rsidR="00F620BF" w:rsidRPr="00AF154D" w:rsidRDefault="00F620BF" w:rsidP="00F620B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90%</w:t>
            </w:r>
          </w:p>
        </w:tc>
        <w:tc>
          <w:tcPr>
            <w:tcW w:w="1233" w:type="dxa"/>
            <w:tcBorders>
              <w:top w:val="single" w:sz="4" w:space="0" w:color="auto"/>
              <w:left w:val="single" w:sz="4" w:space="0" w:color="auto"/>
              <w:bottom w:val="single" w:sz="4" w:space="0" w:color="auto"/>
              <w:right w:val="single" w:sz="4" w:space="0" w:color="auto"/>
            </w:tcBorders>
            <w:vAlign w:val="center"/>
          </w:tcPr>
          <w:p w14:paraId="11EB635B" w14:textId="77777777" w:rsidR="00F620BF" w:rsidRPr="00AF154D" w:rsidRDefault="00F620BF" w:rsidP="00F620B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0%</w:t>
            </w:r>
          </w:p>
        </w:tc>
        <w:tc>
          <w:tcPr>
            <w:tcW w:w="1233" w:type="dxa"/>
            <w:tcBorders>
              <w:top w:val="single" w:sz="4" w:space="0" w:color="auto"/>
              <w:left w:val="single" w:sz="4" w:space="0" w:color="auto"/>
              <w:bottom w:val="single" w:sz="4" w:space="0" w:color="auto"/>
              <w:right w:val="single" w:sz="4" w:space="0" w:color="auto"/>
            </w:tcBorders>
            <w:vAlign w:val="center"/>
          </w:tcPr>
          <w:p w14:paraId="0E4F503C" w14:textId="77777777" w:rsidR="00F620BF" w:rsidRPr="00AF154D" w:rsidRDefault="00F620BF" w:rsidP="00F620B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62%</w:t>
            </w:r>
          </w:p>
        </w:tc>
        <w:tc>
          <w:tcPr>
            <w:tcW w:w="1233" w:type="dxa"/>
            <w:tcBorders>
              <w:top w:val="single" w:sz="4" w:space="0" w:color="auto"/>
              <w:left w:val="single" w:sz="4" w:space="0" w:color="auto"/>
              <w:bottom w:val="single" w:sz="4" w:space="0" w:color="auto"/>
              <w:right w:val="single" w:sz="4" w:space="0" w:color="auto"/>
            </w:tcBorders>
            <w:vAlign w:val="center"/>
          </w:tcPr>
          <w:p w14:paraId="13C5CDCA" w14:textId="77777777" w:rsidR="00F620BF" w:rsidRPr="00AF154D" w:rsidRDefault="00F620BF" w:rsidP="00F620B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-10%</w:t>
            </w:r>
          </w:p>
        </w:tc>
      </w:tr>
      <w:tr w:rsidR="00F620BF" w:rsidRPr="00AF154D" w14:paraId="4F04EA17" w14:textId="77777777" w:rsidTr="00F620BF">
        <w:trPr>
          <w:jc w:val="center"/>
        </w:trPr>
        <w:tc>
          <w:tcPr>
            <w:cnfStyle w:val="001000000000" w:firstRow="0" w:lastRow="0" w:firstColumn="1" w:lastColumn="0" w:oddVBand="0" w:evenVBand="0" w:oddHBand="0" w:evenHBand="0" w:firstRowFirstColumn="0" w:firstRowLastColumn="0" w:lastRowFirstColumn="0" w:lastRowLastColumn="0"/>
            <w:tcW w:w="1705" w:type="dxa"/>
            <w:tcBorders>
              <w:top w:val="single" w:sz="4" w:space="0" w:color="auto"/>
              <w:left w:val="single" w:sz="4" w:space="0" w:color="auto"/>
              <w:bottom w:val="single" w:sz="4" w:space="0" w:color="auto"/>
              <w:right w:val="single" w:sz="4" w:space="0" w:color="auto"/>
            </w:tcBorders>
            <w:vAlign w:val="center"/>
          </w:tcPr>
          <w:p w14:paraId="5CF30E93" w14:textId="44BF8FE4" w:rsidR="00F620BF" w:rsidRPr="00AF154D" w:rsidRDefault="00F620BF" w:rsidP="00F620BF">
            <w:pPr>
              <w:rPr>
                <w:b w:val="0"/>
                <w:sz w:val="20"/>
                <w:szCs w:val="20"/>
              </w:rPr>
            </w:pPr>
            <w:r>
              <w:rPr>
                <w:b w:val="0"/>
                <w:sz w:val="20"/>
                <w:szCs w:val="20"/>
              </w:rPr>
              <w:lastRenderedPageBreak/>
              <w:t>RLNG w/ Low NOx Engine</w:t>
            </w:r>
          </w:p>
        </w:tc>
        <w:tc>
          <w:tcPr>
            <w:tcW w:w="2700" w:type="dxa"/>
            <w:tcBorders>
              <w:top w:val="single" w:sz="4" w:space="0" w:color="auto"/>
              <w:left w:val="single" w:sz="4" w:space="0" w:color="auto"/>
              <w:bottom w:val="single" w:sz="4" w:space="0" w:color="auto"/>
              <w:right w:val="single" w:sz="4" w:space="0" w:color="auto"/>
            </w:tcBorders>
            <w:vAlign w:val="center"/>
          </w:tcPr>
          <w:p w14:paraId="738303D4" w14:textId="2EA62A14" w:rsidR="00F620BF" w:rsidRPr="00AF154D" w:rsidRDefault="00F620BF" w:rsidP="00F620BF">
            <w:pPr>
              <w:cnfStyle w:val="000000000000" w:firstRow="0" w:lastRow="0" w:firstColumn="0" w:lastColumn="0" w:oddVBand="0" w:evenVBand="0" w:oddHBand="0" w:evenHBand="0" w:firstRowFirstColumn="0" w:firstRowLastColumn="0" w:lastRowFirstColumn="0" w:lastRowLastColumn="0"/>
              <w:rPr>
                <w:sz w:val="20"/>
                <w:szCs w:val="20"/>
              </w:rPr>
            </w:pPr>
            <w:r w:rsidRPr="00AF154D">
              <w:rPr>
                <w:sz w:val="20"/>
                <w:szCs w:val="20"/>
              </w:rPr>
              <w:t>Combination</w:t>
            </w:r>
            <w:r w:rsidR="007B1EA8">
              <w:rPr>
                <w:sz w:val="20"/>
                <w:szCs w:val="20"/>
              </w:rPr>
              <w:t xml:space="preserve"> unit</w:t>
            </w:r>
            <w:r w:rsidRPr="00AF154D">
              <w:rPr>
                <w:sz w:val="20"/>
                <w:szCs w:val="20"/>
              </w:rPr>
              <w:t xml:space="preserve"> Long Haul</w:t>
            </w:r>
          </w:p>
        </w:tc>
        <w:tc>
          <w:tcPr>
            <w:tcW w:w="1076" w:type="dxa"/>
            <w:tcBorders>
              <w:top w:val="single" w:sz="4" w:space="0" w:color="auto"/>
              <w:left w:val="single" w:sz="4" w:space="0" w:color="auto"/>
              <w:bottom w:val="single" w:sz="4" w:space="0" w:color="auto"/>
              <w:right w:val="single" w:sz="4" w:space="0" w:color="auto"/>
            </w:tcBorders>
            <w:vAlign w:val="center"/>
          </w:tcPr>
          <w:p w14:paraId="0436C179" w14:textId="77777777" w:rsidR="00F620BF" w:rsidRPr="00AF154D" w:rsidRDefault="00F620BF" w:rsidP="00F620B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90%</w:t>
            </w:r>
          </w:p>
        </w:tc>
        <w:tc>
          <w:tcPr>
            <w:tcW w:w="1233" w:type="dxa"/>
            <w:tcBorders>
              <w:top w:val="single" w:sz="4" w:space="0" w:color="auto"/>
              <w:left w:val="single" w:sz="4" w:space="0" w:color="auto"/>
              <w:bottom w:val="single" w:sz="4" w:space="0" w:color="auto"/>
              <w:right w:val="single" w:sz="4" w:space="0" w:color="auto"/>
            </w:tcBorders>
            <w:vAlign w:val="center"/>
          </w:tcPr>
          <w:p w14:paraId="43A8F056" w14:textId="77777777" w:rsidR="00F620BF" w:rsidRPr="00AF154D" w:rsidRDefault="00F620BF" w:rsidP="00F620B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1233" w:type="dxa"/>
            <w:tcBorders>
              <w:top w:val="single" w:sz="4" w:space="0" w:color="auto"/>
              <w:left w:val="single" w:sz="4" w:space="0" w:color="auto"/>
              <w:bottom w:val="single" w:sz="4" w:space="0" w:color="auto"/>
              <w:right w:val="single" w:sz="4" w:space="0" w:color="auto"/>
            </w:tcBorders>
            <w:vAlign w:val="center"/>
          </w:tcPr>
          <w:p w14:paraId="4318E19E" w14:textId="77777777" w:rsidR="00F620BF" w:rsidRPr="00AF154D" w:rsidRDefault="00F620BF" w:rsidP="00F620B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57%</w:t>
            </w:r>
          </w:p>
        </w:tc>
        <w:tc>
          <w:tcPr>
            <w:tcW w:w="1233" w:type="dxa"/>
            <w:tcBorders>
              <w:top w:val="single" w:sz="4" w:space="0" w:color="auto"/>
              <w:left w:val="single" w:sz="4" w:space="0" w:color="auto"/>
              <w:bottom w:val="single" w:sz="4" w:space="0" w:color="auto"/>
              <w:right w:val="single" w:sz="4" w:space="0" w:color="auto"/>
            </w:tcBorders>
            <w:vAlign w:val="center"/>
          </w:tcPr>
          <w:p w14:paraId="2C944417" w14:textId="77777777" w:rsidR="00F620BF" w:rsidRPr="00AF154D" w:rsidRDefault="00F620BF" w:rsidP="00F620B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w:t>
            </w:r>
          </w:p>
        </w:tc>
      </w:tr>
      <w:tr w:rsidR="00F620BF" w:rsidRPr="00AF154D" w14:paraId="7C585B30" w14:textId="77777777" w:rsidTr="00F620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5" w:type="dxa"/>
            <w:tcBorders>
              <w:top w:val="single" w:sz="4" w:space="0" w:color="auto"/>
              <w:left w:val="single" w:sz="4" w:space="0" w:color="auto"/>
              <w:bottom w:val="single" w:sz="4" w:space="0" w:color="auto"/>
              <w:right w:val="single" w:sz="4" w:space="0" w:color="auto"/>
            </w:tcBorders>
            <w:vAlign w:val="center"/>
          </w:tcPr>
          <w:p w14:paraId="0A9555FE" w14:textId="77777777" w:rsidR="00F620BF" w:rsidRPr="00AF154D" w:rsidRDefault="00F620BF" w:rsidP="00F620BF">
            <w:pPr>
              <w:rPr>
                <w:b w:val="0"/>
                <w:sz w:val="20"/>
                <w:szCs w:val="20"/>
              </w:rPr>
            </w:pPr>
            <w:r w:rsidRPr="00AF154D">
              <w:rPr>
                <w:b w:val="0"/>
                <w:sz w:val="20"/>
                <w:szCs w:val="20"/>
              </w:rPr>
              <w:t>B20</w:t>
            </w:r>
          </w:p>
        </w:tc>
        <w:tc>
          <w:tcPr>
            <w:tcW w:w="2700" w:type="dxa"/>
            <w:tcBorders>
              <w:top w:val="single" w:sz="4" w:space="0" w:color="auto"/>
              <w:left w:val="single" w:sz="4" w:space="0" w:color="auto"/>
              <w:bottom w:val="single" w:sz="4" w:space="0" w:color="auto"/>
              <w:right w:val="single" w:sz="4" w:space="0" w:color="auto"/>
            </w:tcBorders>
            <w:vAlign w:val="center"/>
          </w:tcPr>
          <w:p w14:paraId="1E109863" w14:textId="77777777" w:rsidR="00F620BF" w:rsidRPr="00AF154D" w:rsidRDefault="00F620BF" w:rsidP="00F620B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All Diesel</w:t>
            </w:r>
          </w:p>
        </w:tc>
        <w:tc>
          <w:tcPr>
            <w:tcW w:w="1076" w:type="dxa"/>
            <w:tcBorders>
              <w:top w:val="single" w:sz="4" w:space="0" w:color="auto"/>
              <w:left w:val="single" w:sz="4" w:space="0" w:color="auto"/>
              <w:bottom w:val="single" w:sz="4" w:space="0" w:color="auto"/>
              <w:right w:val="single" w:sz="4" w:space="0" w:color="auto"/>
            </w:tcBorders>
            <w:vAlign w:val="center"/>
          </w:tcPr>
          <w:p w14:paraId="7DB2E0C2" w14:textId="77777777" w:rsidR="00F620BF" w:rsidRPr="00AF154D" w:rsidRDefault="00F620BF" w:rsidP="00F620B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F154D">
              <w:rPr>
                <w:color w:val="000000"/>
                <w:sz w:val="20"/>
                <w:szCs w:val="20"/>
              </w:rPr>
              <w:t>-2%</w:t>
            </w:r>
          </w:p>
        </w:tc>
        <w:tc>
          <w:tcPr>
            <w:tcW w:w="1233" w:type="dxa"/>
            <w:tcBorders>
              <w:top w:val="single" w:sz="4" w:space="0" w:color="auto"/>
              <w:left w:val="single" w:sz="4" w:space="0" w:color="auto"/>
              <w:bottom w:val="single" w:sz="4" w:space="0" w:color="auto"/>
              <w:right w:val="single" w:sz="4" w:space="0" w:color="auto"/>
            </w:tcBorders>
            <w:vAlign w:val="center"/>
          </w:tcPr>
          <w:p w14:paraId="526567AA" w14:textId="77777777" w:rsidR="00F620BF" w:rsidRPr="00AF154D" w:rsidRDefault="00F620BF" w:rsidP="00F620B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F154D">
              <w:rPr>
                <w:color w:val="000000"/>
                <w:sz w:val="20"/>
                <w:szCs w:val="20"/>
              </w:rPr>
              <w:t>17%</w:t>
            </w:r>
          </w:p>
        </w:tc>
        <w:tc>
          <w:tcPr>
            <w:tcW w:w="1233" w:type="dxa"/>
            <w:tcBorders>
              <w:top w:val="single" w:sz="4" w:space="0" w:color="auto"/>
              <w:left w:val="single" w:sz="4" w:space="0" w:color="auto"/>
              <w:bottom w:val="single" w:sz="4" w:space="0" w:color="auto"/>
              <w:right w:val="single" w:sz="4" w:space="0" w:color="auto"/>
            </w:tcBorders>
            <w:vAlign w:val="center"/>
          </w:tcPr>
          <w:p w14:paraId="1746C1E6" w14:textId="77777777" w:rsidR="00F620BF" w:rsidRPr="00AF154D" w:rsidRDefault="00F620BF" w:rsidP="00F620B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F154D">
              <w:rPr>
                <w:color w:val="000000"/>
                <w:sz w:val="20"/>
                <w:szCs w:val="20"/>
              </w:rPr>
              <w:t>14%</w:t>
            </w:r>
          </w:p>
        </w:tc>
        <w:tc>
          <w:tcPr>
            <w:tcW w:w="1233" w:type="dxa"/>
            <w:tcBorders>
              <w:top w:val="single" w:sz="4" w:space="0" w:color="auto"/>
              <w:left w:val="single" w:sz="4" w:space="0" w:color="auto"/>
              <w:bottom w:val="single" w:sz="4" w:space="0" w:color="auto"/>
              <w:right w:val="single" w:sz="4" w:space="0" w:color="auto"/>
            </w:tcBorders>
            <w:vAlign w:val="center"/>
          </w:tcPr>
          <w:p w14:paraId="10893F91" w14:textId="77777777" w:rsidR="00F620BF" w:rsidRPr="00AF154D" w:rsidRDefault="00F620BF" w:rsidP="00F620B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F154D">
              <w:rPr>
                <w:color w:val="000000"/>
                <w:sz w:val="20"/>
                <w:szCs w:val="20"/>
              </w:rPr>
              <w:t>0%</w:t>
            </w:r>
          </w:p>
        </w:tc>
      </w:tr>
      <w:tr w:rsidR="00F620BF" w:rsidRPr="00AF154D" w14:paraId="6AEE624C" w14:textId="77777777" w:rsidTr="00F620BF">
        <w:trPr>
          <w:jc w:val="center"/>
        </w:trPr>
        <w:tc>
          <w:tcPr>
            <w:cnfStyle w:val="001000000000" w:firstRow="0" w:lastRow="0" w:firstColumn="1" w:lastColumn="0" w:oddVBand="0" w:evenVBand="0" w:oddHBand="0" w:evenHBand="0" w:firstRowFirstColumn="0" w:firstRowLastColumn="0" w:lastRowFirstColumn="0" w:lastRowLastColumn="0"/>
            <w:tcW w:w="1705" w:type="dxa"/>
            <w:tcBorders>
              <w:top w:val="single" w:sz="4" w:space="0" w:color="auto"/>
              <w:left w:val="single" w:sz="4" w:space="0" w:color="auto"/>
              <w:bottom w:val="single" w:sz="4" w:space="0" w:color="auto"/>
              <w:right w:val="single" w:sz="4" w:space="0" w:color="auto"/>
            </w:tcBorders>
            <w:vAlign w:val="center"/>
          </w:tcPr>
          <w:p w14:paraId="64AF4582" w14:textId="77777777" w:rsidR="00F620BF" w:rsidRPr="00AF154D" w:rsidRDefault="00F620BF" w:rsidP="00F620BF">
            <w:pPr>
              <w:rPr>
                <w:b w:val="0"/>
                <w:sz w:val="20"/>
                <w:szCs w:val="20"/>
              </w:rPr>
            </w:pPr>
            <w:r w:rsidRPr="00AF154D">
              <w:rPr>
                <w:b w:val="0"/>
                <w:sz w:val="20"/>
                <w:szCs w:val="20"/>
              </w:rPr>
              <w:t>RD100</w:t>
            </w:r>
          </w:p>
        </w:tc>
        <w:tc>
          <w:tcPr>
            <w:tcW w:w="2700" w:type="dxa"/>
            <w:tcBorders>
              <w:top w:val="single" w:sz="4" w:space="0" w:color="auto"/>
              <w:left w:val="single" w:sz="4" w:space="0" w:color="auto"/>
              <w:bottom w:val="single" w:sz="4" w:space="0" w:color="auto"/>
              <w:right w:val="single" w:sz="4" w:space="0" w:color="auto"/>
            </w:tcBorders>
            <w:vAlign w:val="center"/>
          </w:tcPr>
          <w:p w14:paraId="330A7CD8" w14:textId="77777777" w:rsidR="00F620BF" w:rsidRPr="00AF154D" w:rsidRDefault="00F620BF" w:rsidP="00F620B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All Diesel</w:t>
            </w:r>
          </w:p>
        </w:tc>
        <w:tc>
          <w:tcPr>
            <w:tcW w:w="1076" w:type="dxa"/>
            <w:tcBorders>
              <w:top w:val="single" w:sz="4" w:space="0" w:color="auto"/>
              <w:left w:val="single" w:sz="4" w:space="0" w:color="auto"/>
              <w:bottom w:val="single" w:sz="4" w:space="0" w:color="auto"/>
              <w:right w:val="single" w:sz="4" w:space="0" w:color="auto"/>
            </w:tcBorders>
            <w:vAlign w:val="center"/>
          </w:tcPr>
          <w:p w14:paraId="34644489" w14:textId="77777777" w:rsidR="00F620BF" w:rsidRPr="00AF154D" w:rsidRDefault="00F620BF" w:rsidP="00F620B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F154D">
              <w:rPr>
                <w:color w:val="000000"/>
                <w:sz w:val="20"/>
                <w:szCs w:val="20"/>
              </w:rPr>
              <w:t>4%</w:t>
            </w:r>
          </w:p>
        </w:tc>
        <w:tc>
          <w:tcPr>
            <w:tcW w:w="1233" w:type="dxa"/>
            <w:tcBorders>
              <w:top w:val="single" w:sz="4" w:space="0" w:color="auto"/>
              <w:left w:val="single" w:sz="4" w:space="0" w:color="auto"/>
              <w:bottom w:val="single" w:sz="4" w:space="0" w:color="auto"/>
              <w:right w:val="single" w:sz="4" w:space="0" w:color="auto"/>
            </w:tcBorders>
            <w:vAlign w:val="center"/>
          </w:tcPr>
          <w:p w14:paraId="05A5FBFD" w14:textId="77777777" w:rsidR="00F620BF" w:rsidRPr="00AF154D" w:rsidRDefault="00F620BF" w:rsidP="00F620B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F154D">
              <w:rPr>
                <w:color w:val="000000"/>
                <w:sz w:val="20"/>
                <w:szCs w:val="20"/>
              </w:rPr>
              <w:t>4%</w:t>
            </w:r>
          </w:p>
        </w:tc>
        <w:tc>
          <w:tcPr>
            <w:tcW w:w="1233" w:type="dxa"/>
            <w:tcBorders>
              <w:top w:val="single" w:sz="4" w:space="0" w:color="auto"/>
              <w:left w:val="single" w:sz="4" w:space="0" w:color="auto"/>
              <w:bottom w:val="single" w:sz="4" w:space="0" w:color="auto"/>
              <w:right w:val="single" w:sz="4" w:space="0" w:color="auto"/>
            </w:tcBorders>
            <w:vAlign w:val="center"/>
          </w:tcPr>
          <w:p w14:paraId="4BC0BF93" w14:textId="77777777" w:rsidR="00F620BF" w:rsidRPr="00AF154D" w:rsidRDefault="00F620BF" w:rsidP="00F620B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F154D">
              <w:rPr>
                <w:color w:val="000000"/>
                <w:sz w:val="20"/>
                <w:szCs w:val="20"/>
              </w:rPr>
              <w:t>70%</w:t>
            </w:r>
          </w:p>
        </w:tc>
        <w:tc>
          <w:tcPr>
            <w:tcW w:w="1233" w:type="dxa"/>
            <w:tcBorders>
              <w:top w:val="single" w:sz="4" w:space="0" w:color="auto"/>
              <w:left w:val="single" w:sz="4" w:space="0" w:color="auto"/>
              <w:bottom w:val="single" w:sz="4" w:space="0" w:color="auto"/>
              <w:right w:val="single" w:sz="4" w:space="0" w:color="auto"/>
            </w:tcBorders>
            <w:vAlign w:val="center"/>
          </w:tcPr>
          <w:p w14:paraId="3C8239C0" w14:textId="77777777" w:rsidR="00F620BF" w:rsidRPr="00AF154D" w:rsidRDefault="00F620BF" w:rsidP="00F620B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F154D">
              <w:rPr>
                <w:color w:val="000000"/>
                <w:sz w:val="20"/>
                <w:szCs w:val="20"/>
              </w:rPr>
              <w:t>0%</w:t>
            </w:r>
          </w:p>
        </w:tc>
      </w:tr>
      <w:tr w:rsidR="00F620BF" w:rsidRPr="00AF154D" w14:paraId="16B2ADA2" w14:textId="77777777" w:rsidTr="00F620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5" w:type="dxa"/>
            <w:tcBorders>
              <w:top w:val="single" w:sz="4" w:space="0" w:color="auto"/>
              <w:left w:val="single" w:sz="4" w:space="0" w:color="auto"/>
              <w:bottom w:val="single" w:sz="4" w:space="0" w:color="auto"/>
              <w:right w:val="single" w:sz="4" w:space="0" w:color="auto"/>
            </w:tcBorders>
            <w:vAlign w:val="center"/>
          </w:tcPr>
          <w:p w14:paraId="563DFEDC" w14:textId="77777777" w:rsidR="00F620BF" w:rsidRPr="00AF154D" w:rsidRDefault="00F620BF" w:rsidP="00F620BF">
            <w:pPr>
              <w:rPr>
                <w:b w:val="0"/>
                <w:sz w:val="20"/>
                <w:szCs w:val="20"/>
              </w:rPr>
            </w:pPr>
            <w:r w:rsidRPr="00AF154D">
              <w:rPr>
                <w:b w:val="0"/>
                <w:sz w:val="20"/>
                <w:szCs w:val="20"/>
              </w:rPr>
              <w:t>Propane</w:t>
            </w:r>
          </w:p>
        </w:tc>
        <w:tc>
          <w:tcPr>
            <w:tcW w:w="2700" w:type="dxa"/>
            <w:tcBorders>
              <w:top w:val="single" w:sz="4" w:space="0" w:color="auto"/>
              <w:left w:val="single" w:sz="4" w:space="0" w:color="auto"/>
              <w:bottom w:val="single" w:sz="4" w:space="0" w:color="auto"/>
              <w:right w:val="single" w:sz="4" w:space="0" w:color="auto"/>
            </w:tcBorders>
            <w:vAlign w:val="center"/>
          </w:tcPr>
          <w:p w14:paraId="23672480" w14:textId="6C3CDB18" w:rsidR="00F620BF" w:rsidRPr="00AF154D" w:rsidRDefault="00F620BF" w:rsidP="00F620BF">
            <w:pPr>
              <w:cnfStyle w:val="000000100000" w:firstRow="0" w:lastRow="0" w:firstColumn="0" w:lastColumn="0" w:oddVBand="0" w:evenVBand="0" w:oddHBand="1" w:evenHBand="0" w:firstRowFirstColumn="0" w:firstRowLastColumn="0" w:lastRowFirstColumn="0" w:lastRowLastColumn="0"/>
              <w:rPr>
                <w:sz w:val="20"/>
                <w:szCs w:val="20"/>
              </w:rPr>
            </w:pPr>
            <w:r w:rsidRPr="00AF154D">
              <w:rPr>
                <w:sz w:val="20"/>
                <w:szCs w:val="20"/>
              </w:rPr>
              <w:t>Single</w:t>
            </w:r>
            <w:r w:rsidR="007B1EA8">
              <w:rPr>
                <w:sz w:val="20"/>
                <w:szCs w:val="20"/>
              </w:rPr>
              <w:t xml:space="preserve"> unit</w:t>
            </w:r>
            <w:r w:rsidRPr="00AF154D">
              <w:rPr>
                <w:sz w:val="20"/>
                <w:szCs w:val="20"/>
              </w:rPr>
              <w:t xml:space="preserve"> Short Haul</w:t>
            </w:r>
          </w:p>
        </w:tc>
        <w:tc>
          <w:tcPr>
            <w:tcW w:w="1076" w:type="dxa"/>
            <w:tcBorders>
              <w:top w:val="single" w:sz="4" w:space="0" w:color="auto"/>
              <w:left w:val="single" w:sz="4" w:space="0" w:color="auto"/>
              <w:bottom w:val="single" w:sz="4" w:space="0" w:color="auto"/>
              <w:right w:val="single" w:sz="4" w:space="0" w:color="auto"/>
            </w:tcBorders>
            <w:vAlign w:val="center"/>
          </w:tcPr>
          <w:p w14:paraId="46F00F87" w14:textId="77777777" w:rsidR="00F620BF" w:rsidRPr="00AF154D" w:rsidRDefault="00F620BF" w:rsidP="00F620B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F154D">
              <w:rPr>
                <w:color w:val="000000"/>
                <w:sz w:val="20"/>
                <w:szCs w:val="20"/>
              </w:rPr>
              <w:t>0%</w:t>
            </w:r>
          </w:p>
        </w:tc>
        <w:tc>
          <w:tcPr>
            <w:tcW w:w="1233" w:type="dxa"/>
            <w:tcBorders>
              <w:top w:val="single" w:sz="4" w:space="0" w:color="auto"/>
              <w:left w:val="single" w:sz="4" w:space="0" w:color="auto"/>
              <w:bottom w:val="single" w:sz="4" w:space="0" w:color="auto"/>
              <w:right w:val="single" w:sz="4" w:space="0" w:color="auto"/>
            </w:tcBorders>
            <w:vAlign w:val="center"/>
          </w:tcPr>
          <w:p w14:paraId="02907D65" w14:textId="77777777" w:rsidR="00F620BF" w:rsidRPr="00AF154D" w:rsidRDefault="00F620BF" w:rsidP="00F620B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F154D">
              <w:rPr>
                <w:color w:val="000000"/>
                <w:sz w:val="20"/>
                <w:szCs w:val="20"/>
              </w:rPr>
              <w:t>0%</w:t>
            </w:r>
          </w:p>
        </w:tc>
        <w:tc>
          <w:tcPr>
            <w:tcW w:w="1233" w:type="dxa"/>
            <w:tcBorders>
              <w:top w:val="single" w:sz="4" w:space="0" w:color="auto"/>
              <w:left w:val="single" w:sz="4" w:space="0" w:color="auto"/>
              <w:bottom w:val="single" w:sz="4" w:space="0" w:color="auto"/>
              <w:right w:val="single" w:sz="4" w:space="0" w:color="auto"/>
            </w:tcBorders>
            <w:vAlign w:val="center"/>
          </w:tcPr>
          <w:p w14:paraId="7C274CE0" w14:textId="77777777" w:rsidR="00F620BF" w:rsidRPr="00AF154D" w:rsidRDefault="00F620BF" w:rsidP="00F620B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F154D">
              <w:rPr>
                <w:color w:val="000000"/>
                <w:sz w:val="20"/>
                <w:szCs w:val="20"/>
              </w:rPr>
              <w:t>1.30%</w:t>
            </w:r>
          </w:p>
        </w:tc>
        <w:tc>
          <w:tcPr>
            <w:tcW w:w="1233" w:type="dxa"/>
            <w:tcBorders>
              <w:top w:val="single" w:sz="4" w:space="0" w:color="auto"/>
              <w:left w:val="single" w:sz="4" w:space="0" w:color="auto"/>
              <w:bottom w:val="single" w:sz="4" w:space="0" w:color="auto"/>
              <w:right w:val="single" w:sz="4" w:space="0" w:color="auto"/>
            </w:tcBorders>
            <w:vAlign w:val="center"/>
          </w:tcPr>
          <w:p w14:paraId="0ABD2EA2" w14:textId="77777777" w:rsidR="00F620BF" w:rsidRPr="00AF154D" w:rsidRDefault="00F620BF" w:rsidP="00F620B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F154D">
              <w:rPr>
                <w:color w:val="000000"/>
                <w:sz w:val="20"/>
                <w:szCs w:val="20"/>
              </w:rPr>
              <w:t>0%</w:t>
            </w:r>
          </w:p>
        </w:tc>
      </w:tr>
      <w:tr w:rsidR="00F620BF" w:rsidRPr="00AF154D" w14:paraId="6ACE3F10" w14:textId="77777777" w:rsidTr="00F620BF">
        <w:trPr>
          <w:jc w:val="center"/>
        </w:trPr>
        <w:tc>
          <w:tcPr>
            <w:cnfStyle w:val="001000000000" w:firstRow="0" w:lastRow="0" w:firstColumn="1" w:lastColumn="0" w:oddVBand="0" w:evenVBand="0" w:oddHBand="0" w:evenHBand="0" w:firstRowFirstColumn="0" w:firstRowLastColumn="0" w:lastRowFirstColumn="0" w:lastRowLastColumn="0"/>
            <w:tcW w:w="1705" w:type="dxa"/>
            <w:vMerge w:val="restart"/>
            <w:tcBorders>
              <w:top w:val="single" w:sz="4" w:space="0" w:color="auto"/>
              <w:left w:val="single" w:sz="4" w:space="0" w:color="auto"/>
              <w:bottom w:val="single" w:sz="4" w:space="0" w:color="auto"/>
              <w:right w:val="single" w:sz="4" w:space="0" w:color="auto"/>
            </w:tcBorders>
            <w:vAlign w:val="center"/>
          </w:tcPr>
          <w:p w14:paraId="5FBBDCD7" w14:textId="77777777" w:rsidR="00F620BF" w:rsidRPr="00AF154D" w:rsidRDefault="00F620BF" w:rsidP="00F620BF">
            <w:pPr>
              <w:rPr>
                <w:b w:val="0"/>
                <w:sz w:val="20"/>
                <w:szCs w:val="20"/>
              </w:rPr>
            </w:pPr>
            <w:r w:rsidRPr="00AF154D">
              <w:rPr>
                <w:b w:val="0"/>
                <w:sz w:val="20"/>
                <w:szCs w:val="20"/>
              </w:rPr>
              <w:t>Hybrid</w:t>
            </w:r>
          </w:p>
        </w:tc>
        <w:tc>
          <w:tcPr>
            <w:tcW w:w="2700" w:type="dxa"/>
            <w:tcBorders>
              <w:top w:val="single" w:sz="4" w:space="0" w:color="auto"/>
              <w:left w:val="single" w:sz="4" w:space="0" w:color="auto"/>
              <w:bottom w:val="single" w:sz="4" w:space="0" w:color="auto"/>
              <w:right w:val="single" w:sz="4" w:space="0" w:color="auto"/>
            </w:tcBorders>
            <w:vAlign w:val="center"/>
          </w:tcPr>
          <w:p w14:paraId="45141EC3" w14:textId="30397437" w:rsidR="00F620BF" w:rsidRPr="00AF154D" w:rsidRDefault="00F620BF" w:rsidP="00F620BF">
            <w:pPr>
              <w:cnfStyle w:val="000000000000" w:firstRow="0" w:lastRow="0" w:firstColumn="0" w:lastColumn="0" w:oddVBand="0" w:evenVBand="0" w:oddHBand="0" w:evenHBand="0" w:firstRowFirstColumn="0" w:firstRowLastColumn="0" w:lastRowFirstColumn="0" w:lastRowLastColumn="0"/>
              <w:rPr>
                <w:sz w:val="20"/>
                <w:szCs w:val="20"/>
              </w:rPr>
            </w:pPr>
            <w:r w:rsidRPr="00AF154D">
              <w:rPr>
                <w:sz w:val="20"/>
                <w:szCs w:val="20"/>
              </w:rPr>
              <w:t>Single</w:t>
            </w:r>
            <w:r w:rsidR="007B1EA8">
              <w:rPr>
                <w:sz w:val="20"/>
                <w:szCs w:val="20"/>
              </w:rPr>
              <w:t xml:space="preserve"> unit</w:t>
            </w:r>
            <w:r w:rsidRPr="00AF154D">
              <w:rPr>
                <w:sz w:val="20"/>
                <w:szCs w:val="20"/>
              </w:rPr>
              <w:t xml:space="preserve"> Short Haul</w:t>
            </w:r>
          </w:p>
        </w:tc>
        <w:tc>
          <w:tcPr>
            <w:tcW w:w="1076" w:type="dxa"/>
            <w:tcBorders>
              <w:top w:val="single" w:sz="4" w:space="0" w:color="auto"/>
              <w:left w:val="single" w:sz="4" w:space="0" w:color="auto"/>
              <w:bottom w:val="single" w:sz="4" w:space="0" w:color="auto"/>
              <w:right w:val="single" w:sz="4" w:space="0" w:color="auto"/>
            </w:tcBorders>
            <w:vAlign w:val="center"/>
          </w:tcPr>
          <w:p w14:paraId="2FED05F1" w14:textId="77777777" w:rsidR="00F620BF" w:rsidRPr="00AF154D" w:rsidRDefault="00F620BF" w:rsidP="00F620B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F154D">
              <w:rPr>
                <w:color w:val="000000"/>
                <w:sz w:val="20"/>
                <w:szCs w:val="20"/>
              </w:rPr>
              <w:t>0%</w:t>
            </w:r>
          </w:p>
        </w:tc>
        <w:tc>
          <w:tcPr>
            <w:tcW w:w="1233" w:type="dxa"/>
            <w:tcBorders>
              <w:top w:val="single" w:sz="4" w:space="0" w:color="auto"/>
              <w:left w:val="single" w:sz="4" w:space="0" w:color="auto"/>
              <w:bottom w:val="single" w:sz="4" w:space="0" w:color="auto"/>
              <w:right w:val="single" w:sz="4" w:space="0" w:color="auto"/>
            </w:tcBorders>
            <w:vAlign w:val="center"/>
          </w:tcPr>
          <w:p w14:paraId="3309C5FE" w14:textId="77777777" w:rsidR="00F620BF" w:rsidRPr="00AF154D" w:rsidRDefault="00F620BF" w:rsidP="00F620B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F154D">
              <w:rPr>
                <w:color w:val="000000"/>
                <w:sz w:val="20"/>
                <w:szCs w:val="20"/>
              </w:rPr>
              <w:t>0%</w:t>
            </w:r>
          </w:p>
        </w:tc>
        <w:tc>
          <w:tcPr>
            <w:tcW w:w="1233" w:type="dxa"/>
            <w:tcBorders>
              <w:top w:val="single" w:sz="4" w:space="0" w:color="auto"/>
              <w:left w:val="single" w:sz="4" w:space="0" w:color="auto"/>
              <w:bottom w:val="single" w:sz="4" w:space="0" w:color="auto"/>
              <w:right w:val="single" w:sz="4" w:space="0" w:color="auto"/>
            </w:tcBorders>
            <w:vAlign w:val="center"/>
          </w:tcPr>
          <w:p w14:paraId="18FD7A24" w14:textId="77777777" w:rsidR="00F620BF" w:rsidRPr="00AF154D" w:rsidRDefault="00F620BF" w:rsidP="00F620B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F154D">
              <w:rPr>
                <w:color w:val="000000"/>
                <w:sz w:val="20"/>
                <w:szCs w:val="20"/>
              </w:rPr>
              <w:t>40%</w:t>
            </w:r>
          </w:p>
        </w:tc>
        <w:tc>
          <w:tcPr>
            <w:tcW w:w="1233" w:type="dxa"/>
            <w:tcBorders>
              <w:top w:val="single" w:sz="4" w:space="0" w:color="auto"/>
              <w:left w:val="single" w:sz="4" w:space="0" w:color="auto"/>
              <w:bottom w:val="single" w:sz="4" w:space="0" w:color="auto"/>
              <w:right w:val="single" w:sz="4" w:space="0" w:color="auto"/>
            </w:tcBorders>
            <w:vAlign w:val="center"/>
          </w:tcPr>
          <w:p w14:paraId="4F437AE3" w14:textId="77777777" w:rsidR="00F620BF" w:rsidRPr="00AF154D" w:rsidRDefault="00F620BF" w:rsidP="00F620B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F154D">
              <w:rPr>
                <w:color w:val="000000"/>
                <w:sz w:val="20"/>
                <w:szCs w:val="20"/>
              </w:rPr>
              <w:t>40%</w:t>
            </w:r>
          </w:p>
        </w:tc>
      </w:tr>
      <w:tr w:rsidR="00F620BF" w:rsidRPr="00AF154D" w14:paraId="6E388A8F" w14:textId="77777777" w:rsidTr="00F620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5" w:type="dxa"/>
            <w:vMerge/>
            <w:tcBorders>
              <w:top w:val="single" w:sz="4" w:space="0" w:color="auto"/>
              <w:left w:val="single" w:sz="4" w:space="0" w:color="auto"/>
              <w:bottom w:val="single" w:sz="4" w:space="0" w:color="auto"/>
              <w:right w:val="single" w:sz="4" w:space="0" w:color="auto"/>
            </w:tcBorders>
            <w:vAlign w:val="center"/>
          </w:tcPr>
          <w:p w14:paraId="05563889" w14:textId="77777777" w:rsidR="00F620BF" w:rsidRPr="00AF154D" w:rsidRDefault="00F620BF" w:rsidP="00F620BF">
            <w:pPr>
              <w:rPr>
                <w:b w:val="0"/>
                <w:sz w:val="20"/>
                <w:szCs w:val="20"/>
              </w:rPr>
            </w:pPr>
          </w:p>
        </w:tc>
        <w:tc>
          <w:tcPr>
            <w:tcW w:w="2700" w:type="dxa"/>
            <w:tcBorders>
              <w:top w:val="single" w:sz="4" w:space="0" w:color="auto"/>
              <w:left w:val="single" w:sz="4" w:space="0" w:color="auto"/>
              <w:bottom w:val="single" w:sz="4" w:space="0" w:color="auto"/>
              <w:right w:val="single" w:sz="4" w:space="0" w:color="auto"/>
            </w:tcBorders>
            <w:vAlign w:val="center"/>
          </w:tcPr>
          <w:p w14:paraId="57C38CA7" w14:textId="272C3C1F" w:rsidR="00F620BF" w:rsidRPr="00AF154D" w:rsidRDefault="00F620BF" w:rsidP="00F620BF">
            <w:pPr>
              <w:cnfStyle w:val="000000100000" w:firstRow="0" w:lastRow="0" w:firstColumn="0" w:lastColumn="0" w:oddVBand="0" w:evenVBand="0" w:oddHBand="1" w:evenHBand="0" w:firstRowFirstColumn="0" w:firstRowLastColumn="0" w:lastRowFirstColumn="0" w:lastRowLastColumn="0"/>
              <w:rPr>
                <w:sz w:val="20"/>
                <w:szCs w:val="20"/>
              </w:rPr>
            </w:pPr>
            <w:r w:rsidRPr="00AF154D">
              <w:rPr>
                <w:sz w:val="20"/>
                <w:szCs w:val="20"/>
              </w:rPr>
              <w:t>Combination</w:t>
            </w:r>
            <w:r w:rsidR="007B1EA8">
              <w:rPr>
                <w:sz w:val="20"/>
                <w:szCs w:val="20"/>
              </w:rPr>
              <w:t xml:space="preserve"> unit</w:t>
            </w:r>
            <w:r w:rsidRPr="00AF154D">
              <w:rPr>
                <w:sz w:val="20"/>
                <w:szCs w:val="20"/>
              </w:rPr>
              <w:t xml:space="preserve"> Short Haul</w:t>
            </w:r>
          </w:p>
        </w:tc>
        <w:tc>
          <w:tcPr>
            <w:tcW w:w="1076" w:type="dxa"/>
            <w:tcBorders>
              <w:top w:val="single" w:sz="4" w:space="0" w:color="auto"/>
              <w:left w:val="single" w:sz="4" w:space="0" w:color="auto"/>
              <w:bottom w:val="single" w:sz="4" w:space="0" w:color="auto"/>
              <w:right w:val="single" w:sz="4" w:space="0" w:color="auto"/>
            </w:tcBorders>
            <w:vAlign w:val="center"/>
          </w:tcPr>
          <w:p w14:paraId="03F7B4F1" w14:textId="77777777" w:rsidR="00F620BF" w:rsidRPr="00AF154D" w:rsidRDefault="00F620BF" w:rsidP="00F620B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F154D">
              <w:rPr>
                <w:color w:val="000000"/>
                <w:sz w:val="20"/>
                <w:szCs w:val="20"/>
              </w:rPr>
              <w:t>0%</w:t>
            </w:r>
          </w:p>
        </w:tc>
        <w:tc>
          <w:tcPr>
            <w:tcW w:w="1233" w:type="dxa"/>
            <w:tcBorders>
              <w:top w:val="single" w:sz="4" w:space="0" w:color="auto"/>
              <w:left w:val="single" w:sz="4" w:space="0" w:color="auto"/>
              <w:bottom w:val="single" w:sz="4" w:space="0" w:color="auto"/>
              <w:right w:val="single" w:sz="4" w:space="0" w:color="auto"/>
            </w:tcBorders>
            <w:vAlign w:val="center"/>
          </w:tcPr>
          <w:p w14:paraId="50E545F6" w14:textId="77777777" w:rsidR="00F620BF" w:rsidRPr="00AF154D" w:rsidRDefault="00F620BF" w:rsidP="00F620B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F154D">
              <w:rPr>
                <w:color w:val="000000"/>
                <w:sz w:val="20"/>
                <w:szCs w:val="20"/>
              </w:rPr>
              <w:t>0%</w:t>
            </w:r>
          </w:p>
        </w:tc>
        <w:tc>
          <w:tcPr>
            <w:tcW w:w="1233" w:type="dxa"/>
            <w:tcBorders>
              <w:top w:val="single" w:sz="4" w:space="0" w:color="auto"/>
              <w:left w:val="single" w:sz="4" w:space="0" w:color="auto"/>
              <w:bottom w:val="single" w:sz="4" w:space="0" w:color="auto"/>
              <w:right w:val="single" w:sz="4" w:space="0" w:color="auto"/>
            </w:tcBorders>
            <w:vAlign w:val="center"/>
          </w:tcPr>
          <w:p w14:paraId="06B9C1FE" w14:textId="77777777" w:rsidR="00F620BF" w:rsidRPr="00AF154D" w:rsidRDefault="00F620BF" w:rsidP="00F620B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F154D">
              <w:rPr>
                <w:color w:val="000000"/>
                <w:sz w:val="20"/>
                <w:szCs w:val="20"/>
              </w:rPr>
              <w:t>40%</w:t>
            </w:r>
          </w:p>
        </w:tc>
        <w:tc>
          <w:tcPr>
            <w:tcW w:w="1233" w:type="dxa"/>
            <w:tcBorders>
              <w:top w:val="single" w:sz="4" w:space="0" w:color="auto"/>
              <w:left w:val="single" w:sz="4" w:space="0" w:color="auto"/>
              <w:bottom w:val="single" w:sz="4" w:space="0" w:color="auto"/>
              <w:right w:val="single" w:sz="4" w:space="0" w:color="auto"/>
            </w:tcBorders>
            <w:vAlign w:val="center"/>
          </w:tcPr>
          <w:p w14:paraId="1F53D5AA" w14:textId="77777777" w:rsidR="00F620BF" w:rsidRPr="00AF154D" w:rsidRDefault="00F620BF" w:rsidP="00F620B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F154D">
              <w:rPr>
                <w:color w:val="000000"/>
                <w:sz w:val="20"/>
                <w:szCs w:val="20"/>
              </w:rPr>
              <w:t>40%</w:t>
            </w:r>
          </w:p>
        </w:tc>
      </w:tr>
      <w:tr w:rsidR="00F620BF" w:rsidRPr="00AF154D" w14:paraId="7CDE8600" w14:textId="77777777" w:rsidTr="00F620BF">
        <w:trPr>
          <w:jc w:val="center"/>
        </w:trPr>
        <w:tc>
          <w:tcPr>
            <w:cnfStyle w:val="001000000000" w:firstRow="0" w:lastRow="0" w:firstColumn="1" w:lastColumn="0" w:oddVBand="0" w:evenVBand="0" w:oddHBand="0" w:evenHBand="0" w:firstRowFirstColumn="0" w:firstRowLastColumn="0" w:lastRowFirstColumn="0" w:lastRowLastColumn="0"/>
            <w:tcW w:w="1705" w:type="dxa"/>
            <w:vMerge w:val="restart"/>
            <w:tcBorders>
              <w:top w:val="single" w:sz="4" w:space="0" w:color="auto"/>
              <w:left w:val="single" w:sz="4" w:space="0" w:color="auto"/>
              <w:bottom w:val="single" w:sz="4" w:space="0" w:color="auto"/>
              <w:right w:val="single" w:sz="4" w:space="0" w:color="auto"/>
            </w:tcBorders>
            <w:vAlign w:val="center"/>
          </w:tcPr>
          <w:p w14:paraId="0A288BCF" w14:textId="77777777" w:rsidR="00F620BF" w:rsidRPr="00AF154D" w:rsidRDefault="00F620BF" w:rsidP="00F620BF">
            <w:pPr>
              <w:rPr>
                <w:b w:val="0"/>
                <w:sz w:val="20"/>
                <w:szCs w:val="20"/>
              </w:rPr>
            </w:pPr>
            <w:r w:rsidRPr="00AF154D">
              <w:rPr>
                <w:b w:val="0"/>
                <w:sz w:val="20"/>
                <w:szCs w:val="20"/>
              </w:rPr>
              <w:t>Electric</w:t>
            </w:r>
          </w:p>
        </w:tc>
        <w:tc>
          <w:tcPr>
            <w:tcW w:w="2700" w:type="dxa"/>
            <w:tcBorders>
              <w:top w:val="single" w:sz="4" w:space="0" w:color="auto"/>
              <w:left w:val="single" w:sz="4" w:space="0" w:color="auto"/>
              <w:bottom w:val="single" w:sz="4" w:space="0" w:color="auto"/>
              <w:right w:val="single" w:sz="4" w:space="0" w:color="auto"/>
            </w:tcBorders>
            <w:vAlign w:val="center"/>
          </w:tcPr>
          <w:p w14:paraId="5088416A" w14:textId="34813652" w:rsidR="00F620BF" w:rsidRPr="00AF154D" w:rsidRDefault="00F620BF" w:rsidP="00F620BF">
            <w:pPr>
              <w:cnfStyle w:val="000000000000" w:firstRow="0" w:lastRow="0" w:firstColumn="0" w:lastColumn="0" w:oddVBand="0" w:evenVBand="0" w:oddHBand="0" w:evenHBand="0" w:firstRowFirstColumn="0" w:firstRowLastColumn="0" w:lastRowFirstColumn="0" w:lastRowLastColumn="0"/>
              <w:rPr>
                <w:sz w:val="20"/>
                <w:szCs w:val="20"/>
              </w:rPr>
            </w:pPr>
            <w:r w:rsidRPr="00AF154D">
              <w:rPr>
                <w:sz w:val="20"/>
                <w:szCs w:val="20"/>
              </w:rPr>
              <w:t>Single</w:t>
            </w:r>
            <w:r w:rsidR="007B1EA8">
              <w:rPr>
                <w:sz w:val="20"/>
                <w:szCs w:val="20"/>
              </w:rPr>
              <w:t xml:space="preserve"> unit</w:t>
            </w:r>
            <w:r w:rsidRPr="00AF154D">
              <w:rPr>
                <w:sz w:val="20"/>
                <w:szCs w:val="20"/>
              </w:rPr>
              <w:t xml:space="preserve"> Short Haul</w:t>
            </w:r>
          </w:p>
        </w:tc>
        <w:tc>
          <w:tcPr>
            <w:tcW w:w="1076" w:type="dxa"/>
            <w:tcBorders>
              <w:top w:val="single" w:sz="4" w:space="0" w:color="auto"/>
              <w:left w:val="single" w:sz="4" w:space="0" w:color="auto"/>
              <w:bottom w:val="single" w:sz="4" w:space="0" w:color="auto"/>
              <w:right w:val="single" w:sz="4" w:space="0" w:color="auto"/>
            </w:tcBorders>
            <w:vAlign w:val="center"/>
          </w:tcPr>
          <w:p w14:paraId="164268B6" w14:textId="77777777" w:rsidR="00F620BF" w:rsidRPr="00AF154D" w:rsidRDefault="00F620BF" w:rsidP="00F620B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F154D">
              <w:rPr>
                <w:color w:val="000000"/>
                <w:sz w:val="20"/>
                <w:szCs w:val="20"/>
              </w:rPr>
              <w:t>100%</w:t>
            </w:r>
          </w:p>
        </w:tc>
        <w:tc>
          <w:tcPr>
            <w:tcW w:w="1233" w:type="dxa"/>
            <w:tcBorders>
              <w:top w:val="single" w:sz="4" w:space="0" w:color="auto"/>
              <w:left w:val="single" w:sz="4" w:space="0" w:color="auto"/>
              <w:bottom w:val="single" w:sz="4" w:space="0" w:color="auto"/>
              <w:right w:val="single" w:sz="4" w:space="0" w:color="auto"/>
            </w:tcBorders>
            <w:vAlign w:val="center"/>
          </w:tcPr>
          <w:p w14:paraId="0CB7C27F" w14:textId="77777777" w:rsidR="00F620BF" w:rsidRPr="00AF154D" w:rsidRDefault="00F620BF" w:rsidP="00F620B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F154D">
              <w:rPr>
                <w:color w:val="000000"/>
                <w:sz w:val="20"/>
                <w:szCs w:val="20"/>
              </w:rPr>
              <w:t>100%</w:t>
            </w:r>
          </w:p>
        </w:tc>
        <w:tc>
          <w:tcPr>
            <w:tcW w:w="1233" w:type="dxa"/>
            <w:tcBorders>
              <w:top w:val="single" w:sz="4" w:space="0" w:color="auto"/>
              <w:left w:val="single" w:sz="4" w:space="0" w:color="auto"/>
              <w:bottom w:val="single" w:sz="4" w:space="0" w:color="auto"/>
              <w:right w:val="single" w:sz="4" w:space="0" w:color="auto"/>
            </w:tcBorders>
            <w:vAlign w:val="center"/>
          </w:tcPr>
          <w:p w14:paraId="00AD3458" w14:textId="77777777" w:rsidR="00F620BF" w:rsidRPr="00AF154D" w:rsidRDefault="00F620BF" w:rsidP="00F620B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See note</w:t>
            </w:r>
          </w:p>
        </w:tc>
        <w:tc>
          <w:tcPr>
            <w:tcW w:w="1233" w:type="dxa"/>
            <w:tcBorders>
              <w:top w:val="single" w:sz="4" w:space="0" w:color="auto"/>
              <w:left w:val="single" w:sz="4" w:space="0" w:color="auto"/>
              <w:bottom w:val="single" w:sz="4" w:space="0" w:color="auto"/>
              <w:right w:val="single" w:sz="4" w:space="0" w:color="auto"/>
            </w:tcBorders>
            <w:vAlign w:val="center"/>
          </w:tcPr>
          <w:p w14:paraId="0FBDBBE9" w14:textId="77777777" w:rsidR="00F620BF" w:rsidRPr="00AF154D" w:rsidRDefault="00F620BF" w:rsidP="00F620B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F154D">
              <w:rPr>
                <w:color w:val="000000"/>
                <w:sz w:val="20"/>
                <w:szCs w:val="20"/>
              </w:rPr>
              <w:t>250%</w:t>
            </w:r>
          </w:p>
        </w:tc>
      </w:tr>
      <w:tr w:rsidR="00F620BF" w:rsidRPr="00AF154D" w14:paraId="319899B1" w14:textId="77777777" w:rsidTr="00F620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5" w:type="dxa"/>
            <w:vMerge/>
            <w:tcBorders>
              <w:top w:val="single" w:sz="4" w:space="0" w:color="auto"/>
              <w:left w:val="single" w:sz="4" w:space="0" w:color="auto"/>
              <w:bottom w:val="single" w:sz="4" w:space="0" w:color="auto"/>
              <w:right w:val="single" w:sz="4" w:space="0" w:color="auto"/>
            </w:tcBorders>
          </w:tcPr>
          <w:p w14:paraId="7FC7A7B8" w14:textId="77777777" w:rsidR="00F620BF" w:rsidRPr="00AF154D" w:rsidRDefault="00F620BF" w:rsidP="00F620BF">
            <w:pPr>
              <w:rPr>
                <w:sz w:val="20"/>
                <w:szCs w:val="20"/>
              </w:rPr>
            </w:pPr>
          </w:p>
        </w:tc>
        <w:tc>
          <w:tcPr>
            <w:tcW w:w="2700" w:type="dxa"/>
            <w:tcBorders>
              <w:top w:val="single" w:sz="4" w:space="0" w:color="auto"/>
              <w:left w:val="single" w:sz="4" w:space="0" w:color="auto"/>
              <w:bottom w:val="single" w:sz="4" w:space="0" w:color="auto"/>
              <w:right w:val="single" w:sz="4" w:space="0" w:color="auto"/>
            </w:tcBorders>
            <w:vAlign w:val="center"/>
          </w:tcPr>
          <w:p w14:paraId="297A2DDD" w14:textId="5C0DB783" w:rsidR="00F620BF" w:rsidRPr="00AF154D" w:rsidRDefault="00F620BF" w:rsidP="00F620BF">
            <w:pPr>
              <w:cnfStyle w:val="000000100000" w:firstRow="0" w:lastRow="0" w:firstColumn="0" w:lastColumn="0" w:oddVBand="0" w:evenVBand="0" w:oddHBand="1" w:evenHBand="0" w:firstRowFirstColumn="0" w:firstRowLastColumn="0" w:lastRowFirstColumn="0" w:lastRowLastColumn="0"/>
              <w:rPr>
                <w:sz w:val="20"/>
                <w:szCs w:val="20"/>
              </w:rPr>
            </w:pPr>
            <w:r w:rsidRPr="00AF154D">
              <w:rPr>
                <w:sz w:val="20"/>
                <w:szCs w:val="20"/>
              </w:rPr>
              <w:t>Combination</w:t>
            </w:r>
            <w:r w:rsidR="007B1EA8">
              <w:rPr>
                <w:sz w:val="20"/>
                <w:szCs w:val="20"/>
              </w:rPr>
              <w:t xml:space="preserve"> unit</w:t>
            </w:r>
            <w:r w:rsidRPr="00AF154D">
              <w:rPr>
                <w:sz w:val="20"/>
                <w:szCs w:val="20"/>
              </w:rPr>
              <w:t xml:space="preserve"> Short Haul</w:t>
            </w:r>
          </w:p>
        </w:tc>
        <w:tc>
          <w:tcPr>
            <w:tcW w:w="1076" w:type="dxa"/>
            <w:tcBorders>
              <w:top w:val="single" w:sz="4" w:space="0" w:color="auto"/>
              <w:left w:val="single" w:sz="4" w:space="0" w:color="auto"/>
              <w:bottom w:val="single" w:sz="4" w:space="0" w:color="auto"/>
              <w:right w:val="single" w:sz="4" w:space="0" w:color="auto"/>
            </w:tcBorders>
            <w:vAlign w:val="center"/>
          </w:tcPr>
          <w:p w14:paraId="4F3E400A" w14:textId="77777777" w:rsidR="00F620BF" w:rsidRPr="00AF154D" w:rsidRDefault="00F620BF" w:rsidP="00F620B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F154D">
              <w:rPr>
                <w:color w:val="000000"/>
                <w:sz w:val="20"/>
                <w:szCs w:val="20"/>
              </w:rPr>
              <w:t>100%</w:t>
            </w:r>
          </w:p>
        </w:tc>
        <w:tc>
          <w:tcPr>
            <w:tcW w:w="1233" w:type="dxa"/>
            <w:tcBorders>
              <w:top w:val="single" w:sz="4" w:space="0" w:color="auto"/>
              <w:left w:val="single" w:sz="4" w:space="0" w:color="auto"/>
              <w:bottom w:val="single" w:sz="4" w:space="0" w:color="auto"/>
              <w:right w:val="single" w:sz="4" w:space="0" w:color="auto"/>
            </w:tcBorders>
            <w:vAlign w:val="center"/>
          </w:tcPr>
          <w:p w14:paraId="222BA7C9" w14:textId="77777777" w:rsidR="00F620BF" w:rsidRPr="00AF154D" w:rsidRDefault="00F620BF" w:rsidP="00F620B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F154D">
              <w:rPr>
                <w:color w:val="000000"/>
                <w:sz w:val="20"/>
                <w:szCs w:val="20"/>
              </w:rPr>
              <w:t>100%</w:t>
            </w:r>
          </w:p>
        </w:tc>
        <w:tc>
          <w:tcPr>
            <w:tcW w:w="1233" w:type="dxa"/>
            <w:tcBorders>
              <w:top w:val="single" w:sz="4" w:space="0" w:color="auto"/>
              <w:left w:val="single" w:sz="4" w:space="0" w:color="auto"/>
              <w:bottom w:val="single" w:sz="4" w:space="0" w:color="auto"/>
              <w:right w:val="single" w:sz="4" w:space="0" w:color="auto"/>
            </w:tcBorders>
            <w:vAlign w:val="center"/>
          </w:tcPr>
          <w:p w14:paraId="7FD08FED" w14:textId="77777777" w:rsidR="00F620BF" w:rsidRPr="00AF154D" w:rsidRDefault="00F620BF" w:rsidP="00F620B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See note</w:t>
            </w:r>
          </w:p>
        </w:tc>
        <w:tc>
          <w:tcPr>
            <w:tcW w:w="1233" w:type="dxa"/>
            <w:tcBorders>
              <w:top w:val="single" w:sz="4" w:space="0" w:color="auto"/>
              <w:left w:val="single" w:sz="4" w:space="0" w:color="auto"/>
              <w:bottom w:val="single" w:sz="4" w:space="0" w:color="auto"/>
              <w:right w:val="single" w:sz="4" w:space="0" w:color="auto"/>
            </w:tcBorders>
            <w:vAlign w:val="center"/>
          </w:tcPr>
          <w:p w14:paraId="7F2E62FE" w14:textId="77777777" w:rsidR="00F620BF" w:rsidRPr="00AF154D" w:rsidRDefault="00F620BF" w:rsidP="00F620B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F154D">
              <w:rPr>
                <w:color w:val="000000"/>
                <w:sz w:val="20"/>
                <w:szCs w:val="20"/>
              </w:rPr>
              <w:t>250%</w:t>
            </w:r>
          </w:p>
        </w:tc>
      </w:tr>
      <w:tr w:rsidR="00F620BF" w:rsidRPr="00AF154D" w14:paraId="11FAB107" w14:textId="77777777" w:rsidTr="00F620BF">
        <w:trPr>
          <w:jc w:val="center"/>
        </w:trPr>
        <w:tc>
          <w:tcPr>
            <w:cnfStyle w:val="001000000000" w:firstRow="0" w:lastRow="0" w:firstColumn="1" w:lastColumn="0" w:oddVBand="0" w:evenVBand="0" w:oddHBand="0" w:evenHBand="0" w:firstRowFirstColumn="0" w:firstRowLastColumn="0" w:lastRowFirstColumn="0" w:lastRowLastColumn="0"/>
            <w:tcW w:w="9180" w:type="dxa"/>
            <w:gridSpan w:val="6"/>
            <w:tcBorders>
              <w:top w:val="single" w:sz="4" w:space="0" w:color="auto"/>
              <w:left w:val="nil"/>
              <w:bottom w:val="nil"/>
            </w:tcBorders>
          </w:tcPr>
          <w:p w14:paraId="464CF909" w14:textId="7F10C350" w:rsidR="00F620BF" w:rsidRPr="008B361F" w:rsidRDefault="00F620BF" w:rsidP="00F620BF">
            <w:pPr>
              <w:rPr>
                <w:b w:val="0"/>
                <w:color w:val="000000"/>
                <w:sz w:val="20"/>
                <w:szCs w:val="20"/>
              </w:rPr>
            </w:pPr>
            <w:r w:rsidRPr="008B361F">
              <w:rPr>
                <w:b w:val="0"/>
                <w:sz w:val="20"/>
                <w:szCs w:val="20"/>
              </w:rPr>
              <w:t>Note: Electric vehicle CO</w:t>
            </w:r>
            <w:r w:rsidRPr="008B361F">
              <w:rPr>
                <w:b w:val="0"/>
                <w:sz w:val="20"/>
                <w:szCs w:val="20"/>
                <w:vertAlign w:val="subscript"/>
              </w:rPr>
              <w:t>2</w:t>
            </w:r>
            <w:r w:rsidRPr="008B361F">
              <w:rPr>
                <w:b w:val="0"/>
                <w:sz w:val="20"/>
                <w:szCs w:val="20"/>
              </w:rPr>
              <w:t xml:space="preserve"> emissions are calculated separately based upon </w:t>
            </w:r>
            <w:r w:rsidR="007B1EA8">
              <w:rPr>
                <w:b w:val="0"/>
                <w:sz w:val="20"/>
                <w:szCs w:val="20"/>
              </w:rPr>
              <w:t>electricity</w:t>
            </w:r>
            <w:r w:rsidR="00652358">
              <w:rPr>
                <w:b w:val="0"/>
                <w:sz w:val="20"/>
                <w:szCs w:val="20"/>
              </w:rPr>
              <w:t xml:space="preserve"> generation</w:t>
            </w:r>
            <w:r w:rsidR="007B1EA8">
              <w:rPr>
                <w:b w:val="0"/>
                <w:sz w:val="20"/>
                <w:szCs w:val="20"/>
              </w:rPr>
              <w:t xml:space="preserve"> </w:t>
            </w:r>
            <w:r w:rsidRPr="008B361F">
              <w:rPr>
                <w:b w:val="0"/>
                <w:sz w:val="20"/>
                <w:szCs w:val="20"/>
              </w:rPr>
              <w:t>grid mix.</w:t>
            </w:r>
          </w:p>
        </w:tc>
      </w:tr>
    </w:tbl>
    <w:p w14:paraId="59661C74" w14:textId="6E459753" w:rsidR="008B361F" w:rsidRDefault="008B361F" w:rsidP="009C29A8">
      <w:pPr>
        <w:spacing w:before="240" w:after="240" w:line="276" w:lineRule="auto"/>
      </w:pPr>
      <w:r>
        <w:t>A 40% RRF means that the new truck would have 60% of the emissions of the new conventional fueled truck. For fuel, the RRF is applied to fuel economy of the base vehicle. Thus a negative RRF results in a vehicle that has poorer fuel economy than the base vehicle, while a positive RRF results in a vehicle that has better fuel economy than the base vehicle.</w:t>
      </w:r>
      <w:r w:rsidRPr="00981A6B">
        <w:t xml:space="preserve"> </w:t>
      </w:r>
      <w:r>
        <w:t>Some alternative</w:t>
      </w:r>
      <w:r w:rsidR="007B1EA8">
        <w:t xml:space="preserve"> </w:t>
      </w:r>
      <w:r>
        <w:t xml:space="preserve">fuel options are not applicable to some truck types (see also </w:t>
      </w:r>
      <w:r w:rsidR="00833B69">
        <w:fldChar w:fldCharType="begin"/>
      </w:r>
      <w:r>
        <w:instrText xml:space="preserve"> REF _Ref458520546 \h </w:instrText>
      </w:r>
      <w:r w:rsidR="00833B69">
        <w:fldChar w:fldCharType="separate"/>
      </w:r>
      <w:r w:rsidR="00C42F38">
        <w:t xml:space="preserve">Table </w:t>
      </w:r>
      <w:r w:rsidR="00C42F38">
        <w:rPr>
          <w:noProof/>
        </w:rPr>
        <w:t>6</w:t>
      </w:r>
      <w:r w:rsidR="00833B69">
        <w:fldChar w:fldCharType="end"/>
      </w:r>
      <w:r>
        <w:t>); the Tool will enable or disable selectable alternative fuels based on the truck(s) the user selects.</w:t>
      </w:r>
    </w:p>
    <w:p w14:paraId="3D5E6FD9" w14:textId="2A106DF1" w:rsidR="002E4D87" w:rsidRDefault="002E4D87" w:rsidP="002E4D87">
      <w:pPr>
        <w:spacing w:after="240" w:line="276" w:lineRule="auto"/>
      </w:pPr>
      <w:r>
        <w:t>As noted above, CO</w:t>
      </w:r>
      <w:r w:rsidRPr="002E4D87">
        <w:rPr>
          <w:vertAlign w:val="subscript"/>
        </w:rPr>
        <w:t>2</w:t>
      </w:r>
      <w:r>
        <w:t xml:space="preserve"> emissions</w:t>
      </w:r>
      <w:r w:rsidR="008B361F">
        <w:t xml:space="preserve"> for electric vehicles</w:t>
      </w:r>
      <w:r>
        <w:t xml:space="preserve"> are based upon the </w:t>
      </w:r>
      <w:r w:rsidR="008B361F">
        <w:t xml:space="preserve">electricity generation </w:t>
      </w:r>
      <w:r>
        <w:t>grid mix which is used to charge the vehicles.</w:t>
      </w:r>
      <w:r w:rsidR="00330080">
        <w:t xml:space="preserve"> </w:t>
      </w:r>
      <w:r>
        <w:t>Using GREET2015, CO</w:t>
      </w:r>
      <w:r w:rsidRPr="002E4D87">
        <w:rPr>
          <w:vertAlign w:val="subscript"/>
        </w:rPr>
        <w:t>2</w:t>
      </w:r>
      <w:r>
        <w:t xml:space="preserve"> emissions per kWh were calculated for various grid mixes for various analysis years.</w:t>
      </w:r>
      <w:r w:rsidR="00330080">
        <w:t xml:space="preserve"> </w:t>
      </w:r>
      <w:r>
        <w:t xml:space="preserve">These are shown in </w:t>
      </w:r>
      <w:r w:rsidR="00833B69">
        <w:fldChar w:fldCharType="begin"/>
      </w:r>
      <w:r w:rsidR="008B361F">
        <w:instrText xml:space="preserve"> REF _Ref459996614 \h </w:instrText>
      </w:r>
      <w:r w:rsidR="00833B69">
        <w:fldChar w:fldCharType="separate"/>
      </w:r>
      <w:r w:rsidR="00C42F38">
        <w:t xml:space="preserve">Table </w:t>
      </w:r>
      <w:r w:rsidR="00C42F38">
        <w:rPr>
          <w:noProof/>
        </w:rPr>
        <w:t>20</w:t>
      </w:r>
      <w:r w:rsidR="00833B69">
        <w:fldChar w:fldCharType="end"/>
      </w:r>
      <w:r w:rsidR="008B361F">
        <w:t xml:space="preserve"> </w:t>
      </w:r>
      <w:r>
        <w:t xml:space="preserve">and visually in </w:t>
      </w:r>
      <w:r w:rsidR="00652358">
        <w:fldChar w:fldCharType="begin"/>
      </w:r>
      <w:r w:rsidR="00652358">
        <w:instrText xml:space="preserve"> REF _Ref459898148 \h </w:instrText>
      </w:r>
      <w:r w:rsidR="00652358">
        <w:fldChar w:fldCharType="separate"/>
      </w:r>
      <w:r w:rsidR="00652358">
        <w:t xml:space="preserve">Figure </w:t>
      </w:r>
      <w:r w:rsidR="00652358">
        <w:rPr>
          <w:noProof/>
        </w:rPr>
        <w:t>4</w:t>
      </w:r>
      <w:r w:rsidR="00652358">
        <w:fldChar w:fldCharType="end"/>
      </w:r>
      <w:r>
        <w:t>. In addition, the user will have the option of entering their own CO</w:t>
      </w:r>
      <w:r w:rsidRPr="002E4D87">
        <w:rPr>
          <w:vertAlign w:val="subscript"/>
        </w:rPr>
        <w:t>2</w:t>
      </w:r>
      <w:r>
        <w:t xml:space="preserve"> emission</w:t>
      </w:r>
      <w:r w:rsidR="00652358">
        <w:t xml:space="preserve"> rate</w:t>
      </w:r>
      <w:r>
        <w:t>.</w:t>
      </w:r>
    </w:p>
    <w:p w14:paraId="6AF5AC46" w14:textId="77777777" w:rsidR="002E4D87" w:rsidRDefault="008B361F" w:rsidP="008B361F">
      <w:pPr>
        <w:pStyle w:val="TableCaption"/>
      </w:pPr>
      <w:bookmarkStart w:id="78" w:name="_Ref459996614"/>
      <w:bookmarkStart w:id="79" w:name="_Toc482973600"/>
      <w:r>
        <w:t xml:space="preserve">Table </w:t>
      </w:r>
      <w:r w:rsidR="00833B69">
        <w:fldChar w:fldCharType="begin"/>
      </w:r>
      <w:r>
        <w:instrText xml:space="preserve"> SEQ Table \* ARABIC </w:instrText>
      </w:r>
      <w:r w:rsidR="00833B69">
        <w:fldChar w:fldCharType="separate"/>
      </w:r>
      <w:r w:rsidR="00305706">
        <w:t>20</w:t>
      </w:r>
      <w:r w:rsidR="00833B69">
        <w:fldChar w:fldCharType="end"/>
      </w:r>
      <w:bookmarkEnd w:id="78"/>
      <w:r w:rsidR="00C43F06">
        <w:t>.</w:t>
      </w:r>
      <w:r>
        <w:t xml:space="preserve"> CO</w:t>
      </w:r>
      <w:r w:rsidRPr="008B361F">
        <w:rPr>
          <w:vertAlign w:val="subscript"/>
        </w:rPr>
        <w:t>2</w:t>
      </w:r>
      <w:r>
        <w:t xml:space="preserve"> Emissions per kWh from Power Plants for Charging Electric Vehicles</w:t>
      </w:r>
      <w:bookmarkEnd w:id="79"/>
    </w:p>
    <w:tbl>
      <w:tblPr>
        <w:tblStyle w:val="ListTable3-Accent11"/>
        <w:tblW w:w="8370" w:type="dxa"/>
        <w:jc w:val="center"/>
        <w:tblLayout w:type="fixed"/>
        <w:tblLook w:val="04A0" w:firstRow="1" w:lastRow="0" w:firstColumn="1" w:lastColumn="0" w:noHBand="0" w:noVBand="1"/>
      </w:tblPr>
      <w:tblGrid>
        <w:gridCol w:w="1345"/>
        <w:gridCol w:w="3240"/>
        <w:gridCol w:w="710"/>
        <w:gridCol w:w="615"/>
        <w:gridCol w:w="615"/>
        <w:gridCol w:w="615"/>
        <w:gridCol w:w="615"/>
        <w:gridCol w:w="615"/>
      </w:tblGrid>
      <w:tr w:rsidR="008B361F" w:rsidRPr="002917E2" w14:paraId="731B452C" w14:textId="77777777" w:rsidTr="00DC4D0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4585" w:type="dxa"/>
            <w:gridSpan w:val="2"/>
            <w:tcBorders>
              <w:top w:val="single" w:sz="4" w:space="0" w:color="0067AB" w:themeColor="accent1"/>
              <w:bottom w:val="single" w:sz="4" w:space="0" w:color="FFFFFF" w:themeColor="background1"/>
              <w:right w:val="single" w:sz="4" w:space="0" w:color="FFFFFF" w:themeColor="background1"/>
            </w:tcBorders>
            <w:noWrap/>
            <w:vAlign w:val="center"/>
          </w:tcPr>
          <w:p w14:paraId="6DDEEE77" w14:textId="77777777" w:rsidR="008B361F" w:rsidRPr="00F52316" w:rsidRDefault="008B361F" w:rsidP="00DC4D0E">
            <w:pPr>
              <w:keepNext/>
              <w:jc w:val="center"/>
              <w:rPr>
                <w:rFonts w:asciiTheme="minorHAnsi" w:eastAsia="Times New Roman" w:hAnsiTheme="minorHAnsi"/>
                <w:sz w:val="18"/>
                <w:szCs w:val="18"/>
              </w:rPr>
            </w:pPr>
            <w:r w:rsidRPr="00F52316">
              <w:rPr>
                <w:rFonts w:asciiTheme="minorHAnsi" w:eastAsia="Times New Roman" w:hAnsiTheme="minorHAnsi"/>
                <w:sz w:val="18"/>
                <w:szCs w:val="18"/>
              </w:rPr>
              <w:t>Generation Mix</w:t>
            </w:r>
          </w:p>
        </w:tc>
        <w:tc>
          <w:tcPr>
            <w:tcW w:w="3785" w:type="dxa"/>
            <w:gridSpan w:val="6"/>
            <w:tcBorders>
              <w:top w:val="single" w:sz="4" w:space="0" w:color="0067AB" w:themeColor="accent1"/>
              <w:left w:val="single" w:sz="4" w:space="0" w:color="FFFFFF" w:themeColor="background1"/>
              <w:bottom w:val="single" w:sz="4" w:space="0" w:color="FFFFFF" w:themeColor="background1"/>
            </w:tcBorders>
            <w:noWrap/>
            <w:vAlign w:val="center"/>
          </w:tcPr>
          <w:p w14:paraId="1C6F40F2" w14:textId="77777777" w:rsidR="008B361F" w:rsidRPr="00F52316" w:rsidRDefault="008B361F" w:rsidP="00DC4D0E">
            <w:pPr>
              <w:keepNex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sz w:val="18"/>
                <w:szCs w:val="18"/>
              </w:rPr>
            </w:pPr>
            <w:r w:rsidRPr="00F52316">
              <w:rPr>
                <w:rFonts w:eastAsia="Times New Roman"/>
                <w:sz w:val="18"/>
                <w:szCs w:val="18"/>
              </w:rPr>
              <w:t>CO</w:t>
            </w:r>
            <w:r w:rsidRPr="00F52316">
              <w:rPr>
                <w:rFonts w:eastAsia="Times New Roman"/>
                <w:sz w:val="18"/>
                <w:szCs w:val="18"/>
                <w:vertAlign w:val="subscript"/>
              </w:rPr>
              <w:t>2</w:t>
            </w:r>
            <w:r w:rsidRPr="00F52316">
              <w:rPr>
                <w:rFonts w:eastAsia="Times New Roman"/>
                <w:sz w:val="18"/>
                <w:szCs w:val="18"/>
              </w:rPr>
              <w:t xml:space="preserve"> (g/kWh at plug)</w:t>
            </w:r>
          </w:p>
        </w:tc>
      </w:tr>
      <w:tr w:rsidR="008B361F" w:rsidRPr="002917E2" w14:paraId="12C6D222" w14:textId="77777777" w:rsidTr="00DC4D0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FFFFFF" w:themeColor="background1"/>
              <w:right w:val="single" w:sz="4" w:space="0" w:color="FFFFFF" w:themeColor="background1"/>
            </w:tcBorders>
            <w:shd w:val="clear" w:color="auto" w:fill="0067AB" w:themeFill="accent1"/>
            <w:noWrap/>
            <w:vAlign w:val="center"/>
          </w:tcPr>
          <w:p w14:paraId="7839B133" w14:textId="77777777" w:rsidR="008B361F" w:rsidRPr="00DC4D0E" w:rsidRDefault="008B361F" w:rsidP="00DC4D0E">
            <w:pPr>
              <w:keepNext/>
              <w:jc w:val="center"/>
              <w:rPr>
                <w:rFonts w:asciiTheme="minorHAnsi" w:eastAsia="Times New Roman" w:hAnsiTheme="minorHAnsi" w:cs="Arial"/>
                <w:sz w:val="18"/>
                <w:szCs w:val="18"/>
              </w:rPr>
            </w:pPr>
            <w:r w:rsidRPr="00DC4D0E">
              <w:rPr>
                <w:rFonts w:asciiTheme="minorHAnsi" w:eastAsia="Times New Roman" w:hAnsiTheme="minorHAnsi" w:cs="Arial"/>
                <w:color w:val="FFFFFF" w:themeColor="background1"/>
                <w:sz w:val="18"/>
                <w:szCs w:val="18"/>
              </w:rPr>
              <w:t>Abbreviation</w:t>
            </w:r>
          </w:p>
        </w:tc>
        <w:tc>
          <w:tcPr>
            <w:tcW w:w="3240" w:type="dxa"/>
            <w:tcBorders>
              <w:top w:val="single" w:sz="4" w:space="0" w:color="FFFFFF" w:themeColor="background1"/>
              <w:left w:val="single" w:sz="4" w:space="0" w:color="FFFFFF" w:themeColor="background1"/>
              <w:right w:val="single" w:sz="4" w:space="0" w:color="FFFFFF" w:themeColor="background1"/>
            </w:tcBorders>
            <w:shd w:val="clear" w:color="auto" w:fill="0067AB" w:themeFill="accent1"/>
            <w:noWrap/>
            <w:vAlign w:val="center"/>
          </w:tcPr>
          <w:p w14:paraId="584FFA6C" w14:textId="77777777" w:rsidR="008B361F" w:rsidRPr="00F52316" w:rsidRDefault="008B361F" w:rsidP="00DC4D0E">
            <w:pPr>
              <w:keepN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color w:val="FFFFFF" w:themeColor="background1"/>
                <w:sz w:val="18"/>
                <w:szCs w:val="18"/>
              </w:rPr>
            </w:pPr>
            <w:r w:rsidRPr="00F52316">
              <w:rPr>
                <w:rFonts w:eastAsia="Times New Roman"/>
                <w:b/>
                <w:color w:val="FFFFFF" w:themeColor="background1"/>
                <w:sz w:val="18"/>
                <w:szCs w:val="18"/>
              </w:rPr>
              <w:t>Description</w:t>
            </w:r>
          </w:p>
        </w:tc>
        <w:tc>
          <w:tcPr>
            <w:tcW w:w="710" w:type="dxa"/>
            <w:tcBorders>
              <w:top w:val="single" w:sz="4" w:space="0" w:color="FFFFFF" w:themeColor="background1"/>
              <w:left w:val="single" w:sz="4" w:space="0" w:color="FFFFFF" w:themeColor="background1"/>
              <w:right w:val="single" w:sz="4" w:space="0" w:color="FFFFFF" w:themeColor="background1"/>
            </w:tcBorders>
            <w:shd w:val="clear" w:color="auto" w:fill="0067AB" w:themeFill="accent1"/>
            <w:noWrap/>
            <w:vAlign w:val="center"/>
          </w:tcPr>
          <w:p w14:paraId="0F46D5AF" w14:textId="77777777" w:rsidR="008B361F" w:rsidRPr="00F52316" w:rsidRDefault="008B361F" w:rsidP="00DC4D0E">
            <w:pPr>
              <w:keepN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color w:val="FFFFFF" w:themeColor="background1"/>
                <w:sz w:val="18"/>
                <w:szCs w:val="18"/>
              </w:rPr>
            </w:pPr>
            <w:r w:rsidRPr="00F52316">
              <w:rPr>
                <w:rFonts w:eastAsia="Times New Roman"/>
                <w:b/>
                <w:color w:val="FFFFFF" w:themeColor="background1"/>
                <w:sz w:val="18"/>
                <w:szCs w:val="18"/>
              </w:rPr>
              <w:t>2015</w:t>
            </w:r>
          </w:p>
        </w:tc>
        <w:tc>
          <w:tcPr>
            <w:tcW w:w="615" w:type="dxa"/>
            <w:tcBorders>
              <w:top w:val="single" w:sz="4" w:space="0" w:color="FFFFFF" w:themeColor="background1"/>
              <w:left w:val="single" w:sz="4" w:space="0" w:color="FFFFFF" w:themeColor="background1"/>
              <w:right w:val="single" w:sz="4" w:space="0" w:color="FFFFFF" w:themeColor="background1"/>
            </w:tcBorders>
            <w:shd w:val="clear" w:color="auto" w:fill="0067AB" w:themeFill="accent1"/>
            <w:noWrap/>
            <w:vAlign w:val="center"/>
          </w:tcPr>
          <w:p w14:paraId="2B8042E3" w14:textId="77777777" w:rsidR="008B361F" w:rsidRPr="00F52316" w:rsidRDefault="008B361F" w:rsidP="00DC4D0E">
            <w:pPr>
              <w:keepN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color w:val="FFFFFF" w:themeColor="background1"/>
                <w:sz w:val="18"/>
                <w:szCs w:val="18"/>
              </w:rPr>
            </w:pPr>
            <w:r w:rsidRPr="00F52316">
              <w:rPr>
                <w:rFonts w:eastAsia="Times New Roman"/>
                <w:b/>
                <w:color w:val="FFFFFF" w:themeColor="background1"/>
                <w:sz w:val="18"/>
                <w:szCs w:val="18"/>
              </w:rPr>
              <w:t>2020</w:t>
            </w:r>
          </w:p>
        </w:tc>
        <w:tc>
          <w:tcPr>
            <w:tcW w:w="615" w:type="dxa"/>
            <w:tcBorders>
              <w:top w:val="single" w:sz="4" w:space="0" w:color="FFFFFF" w:themeColor="background1"/>
              <w:left w:val="single" w:sz="4" w:space="0" w:color="FFFFFF" w:themeColor="background1"/>
              <w:right w:val="single" w:sz="4" w:space="0" w:color="FFFFFF" w:themeColor="background1"/>
            </w:tcBorders>
            <w:shd w:val="clear" w:color="auto" w:fill="0067AB" w:themeFill="accent1"/>
            <w:noWrap/>
            <w:vAlign w:val="center"/>
          </w:tcPr>
          <w:p w14:paraId="7292CDA9" w14:textId="77777777" w:rsidR="008B361F" w:rsidRPr="00F52316" w:rsidRDefault="008B361F" w:rsidP="00DC4D0E">
            <w:pPr>
              <w:keepN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color w:val="FFFFFF" w:themeColor="background1"/>
                <w:sz w:val="18"/>
                <w:szCs w:val="18"/>
              </w:rPr>
            </w:pPr>
            <w:r w:rsidRPr="00F52316">
              <w:rPr>
                <w:rFonts w:eastAsia="Times New Roman"/>
                <w:b/>
                <w:color w:val="FFFFFF" w:themeColor="background1"/>
                <w:sz w:val="18"/>
                <w:szCs w:val="18"/>
              </w:rPr>
              <w:t>2025</w:t>
            </w:r>
          </w:p>
        </w:tc>
        <w:tc>
          <w:tcPr>
            <w:tcW w:w="615" w:type="dxa"/>
            <w:tcBorders>
              <w:top w:val="single" w:sz="4" w:space="0" w:color="FFFFFF" w:themeColor="background1"/>
              <w:left w:val="single" w:sz="4" w:space="0" w:color="FFFFFF" w:themeColor="background1"/>
              <w:right w:val="single" w:sz="4" w:space="0" w:color="FFFFFF" w:themeColor="background1"/>
            </w:tcBorders>
            <w:shd w:val="clear" w:color="auto" w:fill="0067AB" w:themeFill="accent1"/>
            <w:noWrap/>
            <w:vAlign w:val="center"/>
          </w:tcPr>
          <w:p w14:paraId="04E8CC60" w14:textId="77777777" w:rsidR="008B361F" w:rsidRPr="00F52316" w:rsidRDefault="008B361F" w:rsidP="00DC4D0E">
            <w:pPr>
              <w:keepN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color w:val="FFFFFF" w:themeColor="background1"/>
                <w:sz w:val="18"/>
                <w:szCs w:val="18"/>
              </w:rPr>
            </w:pPr>
            <w:r w:rsidRPr="00F52316">
              <w:rPr>
                <w:rFonts w:eastAsia="Times New Roman"/>
                <w:b/>
                <w:color w:val="FFFFFF" w:themeColor="background1"/>
                <w:sz w:val="18"/>
                <w:szCs w:val="18"/>
              </w:rPr>
              <w:t>2030</w:t>
            </w:r>
          </w:p>
        </w:tc>
        <w:tc>
          <w:tcPr>
            <w:tcW w:w="615" w:type="dxa"/>
            <w:tcBorders>
              <w:top w:val="single" w:sz="4" w:space="0" w:color="FFFFFF" w:themeColor="background1"/>
              <w:left w:val="single" w:sz="4" w:space="0" w:color="FFFFFF" w:themeColor="background1"/>
              <w:right w:val="single" w:sz="4" w:space="0" w:color="FFFFFF" w:themeColor="background1"/>
            </w:tcBorders>
            <w:shd w:val="clear" w:color="auto" w:fill="0067AB" w:themeFill="accent1"/>
            <w:noWrap/>
            <w:vAlign w:val="center"/>
          </w:tcPr>
          <w:p w14:paraId="71F53BA4" w14:textId="77777777" w:rsidR="008B361F" w:rsidRPr="00F52316" w:rsidRDefault="008B361F" w:rsidP="00DC4D0E">
            <w:pPr>
              <w:keepN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color w:val="FFFFFF" w:themeColor="background1"/>
                <w:sz w:val="18"/>
                <w:szCs w:val="18"/>
              </w:rPr>
            </w:pPr>
            <w:r w:rsidRPr="00F52316">
              <w:rPr>
                <w:rFonts w:eastAsia="Times New Roman"/>
                <w:b/>
                <w:color w:val="FFFFFF" w:themeColor="background1"/>
                <w:sz w:val="18"/>
                <w:szCs w:val="18"/>
              </w:rPr>
              <w:t>2035</w:t>
            </w:r>
          </w:p>
        </w:tc>
        <w:tc>
          <w:tcPr>
            <w:tcW w:w="615" w:type="dxa"/>
            <w:tcBorders>
              <w:top w:val="single" w:sz="4" w:space="0" w:color="FFFFFF" w:themeColor="background1"/>
              <w:left w:val="single" w:sz="4" w:space="0" w:color="FFFFFF" w:themeColor="background1"/>
            </w:tcBorders>
            <w:shd w:val="clear" w:color="auto" w:fill="0067AB" w:themeFill="accent1"/>
            <w:noWrap/>
            <w:vAlign w:val="center"/>
          </w:tcPr>
          <w:p w14:paraId="67FDE854" w14:textId="77777777" w:rsidR="008B361F" w:rsidRPr="00F52316" w:rsidRDefault="008B361F" w:rsidP="00DC4D0E">
            <w:pPr>
              <w:keepN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color w:val="FFFFFF" w:themeColor="background1"/>
                <w:sz w:val="18"/>
                <w:szCs w:val="18"/>
              </w:rPr>
            </w:pPr>
            <w:r w:rsidRPr="00F52316">
              <w:rPr>
                <w:rFonts w:eastAsia="Times New Roman"/>
                <w:b/>
                <w:color w:val="FFFFFF" w:themeColor="background1"/>
                <w:sz w:val="18"/>
                <w:szCs w:val="18"/>
              </w:rPr>
              <w:t>2040</w:t>
            </w:r>
          </w:p>
        </w:tc>
      </w:tr>
      <w:tr w:rsidR="008B361F" w:rsidRPr="002917E2" w14:paraId="7434E4CD" w14:textId="77777777" w:rsidTr="00DC4D0E">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0067AB" w:themeColor="accent1"/>
              <w:bottom w:val="single" w:sz="4" w:space="0" w:color="0067AB" w:themeColor="accent1"/>
              <w:right w:val="single" w:sz="4" w:space="0" w:color="0067AB" w:themeColor="accent1"/>
            </w:tcBorders>
            <w:noWrap/>
            <w:vAlign w:val="center"/>
            <w:hideMark/>
          </w:tcPr>
          <w:p w14:paraId="7078203D" w14:textId="77777777" w:rsidR="008B361F" w:rsidRPr="00F919E1" w:rsidRDefault="008B361F" w:rsidP="008B361F">
            <w:pPr>
              <w:keepNext/>
              <w:rPr>
                <w:rFonts w:asciiTheme="minorHAnsi" w:eastAsia="Times New Roman" w:hAnsiTheme="minorHAnsi" w:cs="Arial"/>
                <w:b w:val="0"/>
                <w:sz w:val="18"/>
                <w:szCs w:val="18"/>
              </w:rPr>
            </w:pPr>
            <w:r w:rsidRPr="00F919E1">
              <w:rPr>
                <w:rFonts w:asciiTheme="minorHAnsi" w:eastAsia="Times New Roman" w:hAnsiTheme="minorHAnsi" w:cs="Arial"/>
                <w:b w:val="0"/>
                <w:sz w:val="18"/>
                <w:szCs w:val="18"/>
              </w:rPr>
              <w:t>U.S. Ave</w:t>
            </w:r>
          </w:p>
        </w:tc>
        <w:tc>
          <w:tcPr>
            <w:tcW w:w="324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noWrap/>
            <w:vAlign w:val="center"/>
            <w:hideMark/>
          </w:tcPr>
          <w:p w14:paraId="4B79C5B6" w14:textId="77777777" w:rsidR="008B361F" w:rsidRPr="00F919E1" w:rsidRDefault="008B361F" w:rsidP="008B361F">
            <w:pPr>
              <w:keepN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U.S. Average</w:t>
            </w:r>
          </w:p>
        </w:tc>
        <w:tc>
          <w:tcPr>
            <w:tcW w:w="71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noWrap/>
            <w:vAlign w:val="center"/>
            <w:hideMark/>
          </w:tcPr>
          <w:p w14:paraId="19A2B335" w14:textId="77777777" w:rsidR="008B361F" w:rsidRPr="00F919E1" w:rsidRDefault="008B361F" w:rsidP="008B361F">
            <w:pPr>
              <w:keepN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525</w:t>
            </w:r>
          </w:p>
        </w:tc>
        <w:tc>
          <w:tcPr>
            <w:tcW w:w="615"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noWrap/>
            <w:vAlign w:val="center"/>
            <w:hideMark/>
          </w:tcPr>
          <w:p w14:paraId="11C1B4CD" w14:textId="77777777" w:rsidR="008B361F" w:rsidRPr="00F919E1" w:rsidRDefault="008B361F" w:rsidP="008B361F">
            <w:pPr>
              <w:keepN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489</w:t>
            </w:r>
          </w:p>
        </w:tc>
        <w:tc>
          <w:tcPr>
            <w:tcW w:w="615"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noWrap/>
            <w:vAlign w:val="center"/>
            <w:hideMark/>
          </w:tcPr>
          <w:p w14:paraId="4F41C6F5" w14:textId="77777777" w:rsidR="008B361F" w:rsidRPr="00F919E1" w:rsidRDefault="008B361F" w:rsidP="008B361F">
            <w:pPr>
              <w:keepN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485</w:t>
            </w:r>
          </w:p>
        </w:tc>
        <w:tc>
          <w:tcPr>
            <w:tcW w:w="615"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noWrap/>
            <w:vAlign w:val="center"/>
            <w:hideMark/>
          </w:tcPr>
          <w:p w14:paraId="297A7E78" w14:textId="77777777" w:rsidR="008B361F" w:rsidRPr="00F919E1" w:rsidRDefault="008B361F" w:rsidP="008B361F">
            <w:pPr>
              <w:keepN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478</w:t>
            </w:r>
          </w:p>
        </w:tc>
        <w:tc>
          <w:tcPr>
            <w:tcW w:w="615"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noWrap/>
            <w:vAlign w:val="center"/>
            <w:hideMark/>
          </w:tcPr>
          <w:p w14:paraId="5B5296C9" w14:textId="77777777" w:rsidR="008B361F" w:rsidRPr="00F919E1" w:rsidRDefault="008B361F" w:rsidP="008B361F">
            <w:pPr>
              <w:keepN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470</w:t>
            </w:r>
          </w:p>
        </w:tc>
        <w:tc>
          <w:tcPr>
            <w:tcW w:w="615" w:type="dxa"/>
            <w:tcBorders>
              <w:top w:val="single" w:sz="4" w:space="0" w:color="0067AB" w:themeColor="accent1"/>
              <w:left w:val="single" w:sz="4" w:space="0" w:color="0067AB" w:themeColor="accent1"/>
              <w:bottom w:val="single" w:sz="4" w:space="0" w:color="0067AB" w:themeColor="accent1"/>
            </w:tcBorders>
            <w:noWrap/>
            <w:vAlign w:val="center"/>
            <w:hideMark/>
          </w:tcPr>
          <w:p w14:paraId="0A6F8B05" w14:textId="77777777" w:rsidR="008B361F" w:rsidRPr="00F919E1" w:rsidRDefault="008B361F" w:rsidP="008B361F">
            <w:pPr>
              <w:keepN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460</w:t>
            </w:r>
          </w:p>
        </w:tc>
      </w:tr>
      <w:tr w:rsidR="008B361F" w:rsidRPr="002917E2" w14:paraId="0FE1BF93" w14:textId="77777777" w:rsidTr="00DC4D0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45" w:type="dxa"/>
            <w:tcBorders>
              <w:right w:val="single" w:sz="4" w:space="0" w:color="0067AB" w:themeColor="accent1"/>
            </w:tcBorders>
            <w:noWrap/>
            <w:vAlign w:val="center"/>
            <w:hideMark/>
          </w:tcPr>
          <w:p w14:paraId="2C3A9033" w14:textId="77777777" w:rsidR="008B361F" w:rsidRPr="00F919E1" w:rsidRDefault="008B361F" w:rsidP="008B361F">
            <w:pPr>
              <w:keepNext/>
              <w:rPr>
                <w:rFonts w:asciiTheme="minorHAnsi" w:eastAsia="Times New Roman" w:hAnsiTheme="minorHAnsi"/>
                <w:b w:val="0"/>
                <w:color w:val="000000"/>
                <w:sz w:val="18"/>
                <w:szCs w:val="18"/>
              </w:rPr>
            </w:pPr>
            <w:r w:rsidRPr="00F919E1">
              <w:rPr>
                <w:rFonts w:asciiTheme="minorHAnsi" w:eastAsia="Times New Roman" w:hAnsiTheme="minorHAnsi"/>
                <w:b w:val="0"/>
                <w:color w:val="000000"/>
                <w:sz w:val="18"/>
                <w:szCs w:val="18"/>
              </w:rPr>
              <w:t>ASCC</w:t>
            </w:r>
          </w:p>
        </w:tc>
        <w:tc>
          <w:tcPr>
            <w:tcW w:w="3240" w:type="dxa"/>
            <w:tcBorders>
              <w:left w:val="single" w:sz="4" w:space="0" w:color="0067AB" w:themeColor="accent1"/>
              <w:right w:val="single" w:sz="4" w:space="0" w:color="0067AB" w:themeColor="accent1"/>
            </w:tcBorders>
            <w:noWrap/>
            <w:vAlign w:val="center"/>
            <w:hideMark/>
          </w:tcPr>
          <w:p w14:paraId="5DBAB497" w14:textId="77777777" w:rsidR="008B361F" w:rsidRPr="00F919E1" w:rsidRDefault="008B361F" w:rsidP="008B361F">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 xml:space="preserve">Alaska Systems Coordinating Council </w:t>
            </w:r>
          </w:p>
        </w:tc>
        <w:tc>
          <w:tcPr>
            <w:tcW w:w="710" w:type="dxa"/>
            <w:tcBorders>
              <w:left w:val="single" w:sz="4" w:space="0" w:color="0067AB" w:themeColor="accent1"/>
              <w:right w:val="single" w:sz="4" w:space="0" w:color="0067AB" w:themeColor="accent1"/>
            </w:tcBorders>
            <w:noWrap/>
            <w:vAlign w:val="center"/>
            <w:hideMark/>
          </w:tcPr>
          <w:p w14:paraId="5EAEEA4F" w14:textId="77777777" w:rsidR="008B361F" w:rsidRPr="00F919E1" w:rsidRDefault="008B361F" w:rsidP="008B361F">
            <w:pPr>
              <w:keepN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563</w:t>
            </w:r>
          </w:p>
        </w:tc>
        <w:tc>
          <w:tcPr>
            <w:tcW w:w="615" w:type="dxa"/>
            <w:tcBorders>
              <w:left w:val="single" w:sz="4" w:space="0" w:color="0067AB" w:themeColor="accent1"/>
              <w:right w:val="single" w:sz="4" w:space="0" w:color="0067AB" w:themeColor="accent1"/>
            </w:tcBorders>
            <w:noWrap/>
            <w:vAlign w:val="center"/>
            <w:hideMark/>
          </w:tcPr>
          <w:p w14:paraId="775FB04A" w14:textId="77777777" w:rsidR="008B361F" w:rsidRPr="00F919E1" w:rsidRDefault="008B361F" w:rsidP="008B361F">
            <w:pPr>
              <w:keepN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563</w:t>
            </w:r>
          </w:p>
        </w:tc>
        <w:tc>
          <w:tcPr>
            <w:tcW w:w="615" w:type="dxa"/>
            <w:tcBorders>
              <w:left w:val="single" w:sz="4" w:space="0" w:color="0067AB" w:themeColor="accent1"/>
              <w:right w:val="single" w:sz="4" w:space="0" w:color="0067AB" w:themeColor="accent1"/>
            </w:tcBorders>
            <w:noWrap/>
            <w:vAlign w:val="center"/>
            <w:hideMark/>
          </w:tcPr>
          <w:p w14:paraId="2CFAEDB0" w14:textId="77777777" w:rsidR="008B361F" w:rsidRPr="00F919E1" w:rsidRDefault="008B361F" w:rsidP="008B361F">
            <w:pPr>
              <w:keepN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563</w:t>
            </w:r>
          </w:p>
        </w:tc>
        <w:tc>
          <w:tcPr>
            <w:tcW w:w="615" w:type="dxa"/>
            <w:tcBorders>
              <w:left w:val="single" w:sz="4" w:space="0" w:color="0067AB" w:themeColor="accent1"/>
              <w:right w:val="single" w:sz="4" w:space="0" w:color="0067AB" w:themeColor="accent1"/>
            </w:tcBorders>
            <w:noWrap/>
            <w:vAlign w:val="center"/>
            <w:hideMark/>
          </w:tcPr>
          <w:p w14:paraId="317D3482" w14:textId="77777777" w:rsidR="008B361F" w:rsidRPr="00F919E1" w:rsidRDefault="008B361F" w:rsidP="008B361F">
            <w:pPr>
              <w:keepN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563</w:t>
            </w:r>
          </w:p>
        </w:tc>
        <w:tc>
          <w:tcPr>
            <w:tcW w:w="615" w:type="dxa"/>
            <w:tcBorders>
              <w:left w:val="single" w:sz="4" w:space="0" w:color="0067AB" w:themeColor="accent1"/>
              <w:right w:val="single" w:sz="4" w:space="0" w:color="0067AB" w:themeColor="accent1"/>
            </w:tcBorders>
            <w:noWrap/>
            <w:vAlign w:val="center"/>
            <w:hideMark/>
          </w:tcPr>
          <w:p w14:paraId="2B542237" w14:textId="77777777" w:rsidR="008B361F" w:rsidRPr="00F919E1" w:rsidRDefault="008B361F" w:rsidP="008B361F">
            <w:pPr>
              <w:keepN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563</w:t>
            </w:r>
          </w:p>
        </w:tc>
        <w:tc>
          <w:tcPr>
            <w:tcW w:w="615" w:type="dxa"/>
            <w:tcBorders>
              <w:left w:val="single" w:sz="4" w:space="0" w:color="0067AB" w:themeColor="accent1"/>
            </w:tcBorders>
            <w:noWrap/>
            <w:vAlign w:val="center"/>
            <w:hideMark/>
          </w:tcPr>
          <w:p w14:paraId="55B15A4A" w14:textId="77777777" w:rsidR="008B361F" w:rsidRPr="00F919E1" w:rsidRDefault="008B361F" w:rsidP="008B361F">
            <w:pPr>
              <w:keepN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563</w:t>
            </w:r>
          </w:p>
        </w:tc>
      </w:tr>
      <w:tr w:rsidR="008B361F" w:rsidRPr="002917E2" w14:paraId="0F2A240B" w14:textId="77777777" w:rsidTr="00DC4D0E">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0067AB" w:themeColor="accent1"/>
              <w:bottom w:val="single" w:sz="4" w:space="0" w:color="0067AB" w:themeColor="accent1"/>
              <w:right w:val="single" w:sz="4" w:space="0" w:color="0067AB" w:themeColor="accent1"/>
            </w:tcBorders>
            <w:noWrap/>
            <w:vAlign w:val="center"/>
            <w:hideMark/>
          </w:tcPr>
          <w:p w14:paraId="627F1316" w14:textId="77777777" w:rsidR="008B361F" w:rsidRPr="00F919E1" w:rsidRDefault="008B361F" w:rsidP="008B361F">
            <w:pPr>
              <w:keepNext/>
              <w:rPr>
                <w:rFonts w:asciiTheme="minorHAnsi" w:eastAsia="Times New Roman" w:hAnsiTheme="minorHAnsi"/>
                <w:b w:val="0"/>
                <w:color w:val="000000"/>
                <w:sz w:val="18"/>
                <w:szCs w:val="18"/>
              </w:rPr>
            </w:pPr>
            <w:r w:rsidRPr="00F919E1">
              <w:rPr>
                <w:rFonts w:asciiTheme="minorHAnsi" w:eastAsia="Times New Roman" w:hAnsiTheme="minorHAnsi"/>
                <w:b w:val="0"/>
                <w:color w:val="000000"/>
                <w:sz w:val="18"/>
                <w:szCs w:val="18"/>
              </w:rPr>
              <w:t>FRCC</w:t>
            </w:r>
          </w:p>
        </w:tc>
        <w:tc>
          <w:tcPr>
            <w:tcW w:w="324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noWrap/>
            <w:vAlign w:val="center"/>
            <w:hideMark/>
          </w:tcPr>
          <w:p w14:paraId="400C2509" w14:textId="77777777" w:rsidR="008B361F" w:rsidRPr="00F919E1" w:rsidRDefault="008B361F" w:rsidP="008B361F">
            <w:pPr>
              <w:keepN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 xml:space="preserve">Florida Reliability Coordinating Council </w:t>
            </w:r>
          </w:p>
        </w:tc>
        <w:tc>
          <w:tcPr>
            <w:tcW w:w="71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noWrap/>
            <w:vAlign w:val="center"/>
            <w:hideMark/>
          </w:tcPr>
          <w:p w14:paraId="2CF58F48" w14:textId="77777777" w:rsidR="008B361F" w:rsidRPr="00F919E1" w:rsidRDefault="008B361F" w:rsidP="008B361F">
            <w:pPr>
              <w:keepN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541</w:t>
            </w:r>
          </w:p>
        </w:tc>
        <w:tc>
          <w:tcPr>
            <w:tcW w:w="615"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noWrap/>
            <w:vAlign w:val="center"/>
            <w:hideMark/>
          </w:tcPr>
          <w:p w14:paraId="63867BCB" w14:textId="77777777" w:rsidR="008B361F" w:rsidRPr="00F919E1" w:rsidRDefault="008B361F" w:rsidP="008B361F">
            <w:pPr>
              <w:keepN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521</w:t>
            </w:r>
          </w:p>
        </w:tc>
        <w:tc>
          <w:tcPr>
            <w:tcW w:w="615"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noWrap/>
            <w:vAlign w:val="center"/>
            <w:hideMark/>
          </w:tcPr>
          <w:p w14:paraId="39481541" w14:textId="77777777" w:rsidR="008B361F" w:rsidRPr="00F919E1" w:rsidRDefault="008B361F" w:rsidP="008B361F">
            <w:pPr>
              <w:keepN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519</w:t>
            </w:r>
          </w:p>
        </w:tc>
        <w:tc>
          <w:tcPr>
            <w:tcW w:w="615"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noWrap/>
            <w:vAlign w:val="center"/>
            <w:hideMark/>
          </w:tcPr>
          <w:p w14:paraId="1D6437C8" w14:textId="77777777" w:rsidR="008B361F" w:rsidRPr="00F919E1" w:rsidRDefault="008B361F" w:rsidP="008B361F">
            <w:pPr>
              <w:keepN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511</w:t>
            </w:r>
          </w:p>
        </w:tc>
        <w:tc>
          <w:tcPr>
            <w:tcW w:w="615"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noWrap/>
            <w:vAlign w:val="center"/>
            <w:hideMark/>
          </w:tcPr>
          <w:p w14:paraId="28BCACFA" w14:textId="77777777" w:rsidR="008B361F" w:rsidRPr="00F919E1" w:rsidRDefault="008B361F" w:rsidP="008B361F">
            <w:pPr>
              <w:keepN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498</w:t>
            </w:r>
          </w:p>
        </w:tc>
        <w:tc>
          <w:tcPr>
            <w:tcW w:w="615" w:type="dxa"/>
            <w:tcBorders>
              <w:top w:val="single" w:sz="4" w:space="0" w:color="0067AB" w:themeColor="accent1"/>
              <w:left w:val="single" w:sz="4" w:space="0" w:color="0067AB" w:themeColor="accent1"/>
              <w:bottom w:val="single" w:sz="4" w:space="0" w:color="0067AB" w:themeColor="accent1"/>
            </w:tcBorders>
            <w:noWrap/>
            <w:vAlign w:val="center"/>
            <w:hideMark/>
          </w:tcPr>
          <w:p w14:paraId="6944CAEF" w14:textId="77777777" w:rsidR="008B361F" w:rsidRPr="00F919E1" w:rsidRDefault="008B361F" w:rsidP="008B361F">
            <w:pPr>
              <w:keepN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456</w:t>
            </w:r>
          </w:p>
        </w:tc>
      </w:tr>
      <w:tr w:rsidR="008B361F" w:rsidRPr="002917E2" w14:paraId="25DAA803" w14:textId="77777777" w:rsidTr="00DC4D0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45" w:type="dxa"/>
            <w:tcBorders>
              <w:right w:val="single" w:sz="4" w:space="0" w:color="0067AB" w:themeColor="accent1"/>
            </w:tcBorders>
            <w:noWrap/>
            <w:vAlign w:val="center"/>
            <w:hideMark/>
          </w:tcPr>
          <w:p w14:paraId="5EB57F14" w14:textId="77777777" w:rsidR="008B361F" w:rsidRPr="00F919E1" w:rsidRDefault="008B361F" w:rsidP="008B361F">
            <w:pPr>
              <w:rPr>
                <w:rFonts w:asciiTheme="minorHAnsi" w:eastAsia="Times New Roman" w:hAnsiTheme="minorHAnsi"/>
                <w:b w:val="0"/>
                <w:color w:val="000000"/>
                <w:sz w:val="18"/>
                <w:szCs w:val="18"/>
              </w:rPr>
            </w:pPr>
            <w:r w:rsidRPr="00F919E1">
              <w:rPr>
                <w:rFonts w:asciiTheme="minorHAnsi" w:eastAsia="Times New Roman" w:hAnsiTheme="minorHAnsi"/>
                <w:b w:val="0"/>
                <w:color w:val="000000"/>
                <w:sz w:val="18"/>
                <w:szCs w:val="18"/>
              </w:rPr>
              <w:t>HICC</w:t>
            </w:r>
          </w:p>
        </w:tc>
        <w:tc>
          <w:tcPr>
            <w:tcW w:w="3240" w:type="dxa"/>
            <w:tcBorders>
              <w:left w:val="single" w:sz="4" w:space="0" w:color="0067AB" w:themeColor="accent1"/>
              <w:right w:val="single" w:sz="4" w:space="0" w:color="0067AB" w:themeColor="accent1"/>
            </w:tcBorders>
            <w:noWrap/>
            <w:vAlign w:val="center"/>
            <w:hideMark/>
          </w:tcPr>
          <w:p w14:paraId="73D90E3C" w14:textId="77777777" w:rsidR="008B361F" w:rsidRPr="00F919E1" w:rsidRDefault="008B361F" w:rsidP="008B36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Hawaii Coordinating Council</w:t>
            </w:r>
          </w:p>
        </w:tc>
        <w:tc>
          <w:tcPr>
            <w:tcW w:w="710" w:type="dxa"/>
            <w:tcBorders>
              <w:left w:val="single" w:sz="4" w:space="0" w:color="0067AB" w:themeColor="accent1"/>
              <w:right w:val="single" w:sz="4" w:space="0" w:color="0067AB" w:themeColor="accent1"/>
            </w:tcBorders>
            <w:noWrap/>
            <w:vAlign w:val="center"/>
            <w:hideMark/>
          </w:tcPr>
          <w:p w14:paraId="69040A2E" w14:textId="77777777" w:rsidR="008B361F" w:rsidRPr="00F919E1" w:rsidRDefault="008B361F" w:rsidP="008B36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855</w:t>
            </w:r>
          </w:p>
        </w:tc>
        <w:tc>
          <w:tcPr>
            <w:tcW w:w="615" w:type="dxa"/>
            <w:tcBorders>
              <w:left w:val="single" w:sz="4" w:space="0" w:color="0067AB" w:themeColor="accent1"/>
              <w:right w:val="single" w:sz="4" w:space="0" w:color="0067AB" w:themeColor="accent1"/>
            </w:tcBorders>
            <w:noWrap/>
            <w:vAlign w:val="center"/>
            <w:hideMark/>
          </w:tcPr>
          <w:p w14:paraId="5B07869D" w14:textId="77777777" w:rsidR="008B361F" w:rsidRPr="00F919E1" w:rsidRDefault="008B361F" w:rsidP="008B36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855</w:t>
            </w:r>
          </w:p>
        </w:tc>
        <w:tc>
          <w:tcPr>
            <w:tcW w:w="615" w:type="dxa"/>
            <w:tcBorders>
              <w:left w:val="single" w:sz="4" w:space="0" w:color="0067AB" w:themeColor="accent1"/>
              <w:right w:val="single" w:sz="4" w:space="0" w:color="0067AB" w:themeColor="accent1"/>
            </w:tcBorders>
            <w:noWrap/>
            <w:vAlign w:val="center"/>
            <w:hideMark/>
          </w:tcPr>
          <w:p w14:paraId="4AC41132" w14:textId="77777777" w:rsidR="008B361F" w:rsidRPr="00F919E1" w:rsidRDefault="008B361F" w:rsidP="008B36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855</w:t>
            </w:r>
          </w:p>
        </w:tc>
        <w:tc>
          <w:tcPr>
            <w:tcW w:w="615" w:type="dxa"/>
            <w:tcBorders>
              <w:left w:val="single" w:sz="4" w:space="0" w:color="0067AB" w:themeColor="accent1"/>
              <w:right w:val="single" w:sz="4" w:space="0" w:color="0067AB" w:themeColor="accent1"/>
            </w:tcBorders>
            <w:noWrap/>
            <w:vAlign w:val="center"/>
            <w:hideMark/>
          </w:tcPr>
          <w:p w14:paraId="5ED49509" w14:textId="77777777" w:rsidR="008B361F" w:rsidRPr="00F919E1" w:rsidRDefault="008B361F" w:rsidP="008B36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855</w:t>
            </w:r>
          </w:p>
        </w:tc>
        <w:tc>
          <w:tcPr>
            <w:tcW w:w="615" w:type="dxa"/>
            <w:tcBorders>
              <w:left w:val="single" w:sz="4" w:space="0" w:color="0067AB" w:themeColor="accent1"/>
              <w:right w:val="single" w:sz="4" w:space="0" w:color="0067AB" w:themeColor="accent1"/>
            </w:tcBorders>
            <w:noWrap/>
            <w:vAlign w:val="center"/>
            <w:hideMark/>
          </w:tcPr>
          <w:p w14:paraId="1C666D5D" w14:textId="77777777" w:rsidR="008B361F" w:rsidRPr="00F919E1" w:rsidRDefault="008B361F" w:rsidP="008B36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855</w:t>
            </w:r>
          </w:p>
        </w:tc>
        <w:tc>
          <w:tcPr>
            <w:tcW w:w="615" w:type="dxa"/>
            <w:tcBorders>
              <w:left w:val="single" w:sz="4" w:space="0" w:color="0067AB" w:themeColor="accent1"/>
            </w:tcBorders>
            <w:noWrap/>
            <w:vAlign w:val="center"/>
            <w:hideMark/>
          </w:tcPr>
          <w:p w14:paraId="207E3C43" w14:textId="77777777" w:rsidR="008B361F" w:rsidRPr="00F919E1" w:rsidRDefault="008B361F" w:rsidP="008B36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855</w:t>
            </w:r>
          </w:p>
        </w:tc>
      </w:tr>
      <w:tr w:rsidR="008B361F" w:rsidRPr="002917E2" w14:paraId="30659B78" w14:textId="77777777" w:rsidTr="00DC4D0E">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0067AB" w:themeColor="accent1"/>
              <w:bottom w:val="single" w:sz="4" w:space="0" w:color="0067AB" w:themeColor="accent1"/>
              <w:right w:val="single" w:sz="4" w:space="0" w:color="0067AB" w:themeColor="accent1"/>
            </w:tcBorders>
            <w:noWrap/>
            <w:vAlign w:val="center"/>
            <w:hideMark/>
          </w:tcPr>
          <w:p w14:paraId="506C547B" w14:textId="77777777" w:rsidR="008B361F" w:rsidRPr="00F919E1" w:rsidRDefault="008B361F" w:rsidP="008B361F">
            <w:pPr>
              <w:rPr>
                <w:rFonts w:asciiTheme="minorHAnsi" w:eastAsia="Times New Roman" w:hAnsiTheme="minorHAnsi"/>
                <w:b w:val="0"/>
                <w:color w:val="000000"/>
                <w:sz w:val="18"/>
                <w:szCs w:val="18"/>
              </w:rPr>
            </w:pPr>
            <w:r w:rsidRPr="00F919E1">
              <w:rPr>
                <w:rFonts w:asciiTheme="minorHAnsi" w:eastAsia="Times New Roman" w:hAnsiTheme="minorHAnsi"/>
                <w:b w:val="0"/>
                <w:color w:val="000000"/>
                <w:sz w:val="18"/>
                <w:szCs w:val="18"/>
              </w:rPr>
              <w:t>MRO</w:t>
            </w:r>
          </w:p>
        </w:tc>
        <w:tc>
          <w:tcPr>
            <w:tcW w:w="324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noWrap/>
            <w:vAlign w:val="center"/>
            <w:hideMark/>
          </w:tcPr>
          <w:p w14:paraId="66F1C0E8" w14:textId="77777777" w:rsidR="008B361F" w:rsidRPr="00F919E1" w:rsidRDefault="008B361F" w:rsidP="008B36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Midwest Reliability Organization</w:t>
            </w:r>
          </w:p>
        </w:tc>
        <w:tc>
          <w:tcPr>
            <w:tcW w:w="71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noWrap/>
            <w:vAlign w:val="center"/>
            <w:hideMark/>
          </w:tcPr>
          <w:p w14:paraId="63827665" w14:textId="77777777" w:rsidR="008B361F" w:rsidRPr="00F919E1" w:rsidRDefault="008B361F" w:rsidP="008B36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667</w:t>
            </w:r>
          </w:p>
        </w:tc>
        <w:tc>
          <w:tcPr>
            <w:tcW w:w="615"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noWrap/>
            <w:vAlign w:val="center"/>
            <w:hideMark/>
          </w:tcPr>
          <w:p w14:paraId="1F04F309" w14:textId="77777777" w:rsidR="008B361F" w:rsidRPr="00F919E1" w:rsidRDefault="008B361F" w:rsidP="008B36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661</w:t>
            </w:r>
          </w:p>
        </w:tc>
        <w:tc>
          <w:tcPr>
            <w:tcW w:w="615"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noWrap/>
            <w:vAlign w:val="center"/>
            <w:hideMark/>
          </w:tcPr>
          <w:p w14:paraId="1BEC5ACB" w14:textId="77777777" w:rsidR="008B361F" w:rsidRPr="00F919E1" w:rsidRDefault="008B361F" w:rsidP="008B36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661</w:t>
            </w:r>
          </w:p>
        </w:tc>
        <w:tc>
          <w:tcPr>
            <w:tcW w:w="615"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noWrap/>
            <w:vAlign w:val="center"/>
            <w:hideMark/>
          </w:tcPr>
          <w:p w14:paraId="5563CBE7" w14:textId="77777777" w:rsidR="008B361F" w:rsidRPr="00F919E1" w:rsidRDefault="008B361F" w:rsidP="008B36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658</w:t>
            </w:r>
          </w:p>
        </w:tc>
        <w:tc>
          <w:tcPr>
            <w:tcW w:w="615"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noWrap/>
            <w:vAlign w:val="center"/>
            <w:hideMark/>
          </w:tcPr>
          <w:p w14:paraId="7092328F" w14:textId="77777777" w:rsidR="008B361F" w:rsidRPr="00F919E1" w:rsidRDefault="008B361F" w:rsidP="008B36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647</w:t>
            </w:r>
          </w:p>
        </w:tc>
        <w:tc>
          <w:tcPr>
            <w:tcW w:w="615" w:type="dxa"/>
            <w:tcBorders>
              <w:top w:val="single" w:sz="4" w:space="0" w:color="0067AB" w:themeColor="accent1"/>
              <w:left w:val="single" w:sz="4" w:space="0" w:color="0067AB" w:themeColor="accent1"/>
              <w:bottom w:val="single" w:sz="4" w:space="0" w:color="0067AB" w:themeColor="accent1"/>
            </w:tcBorders>
            <w:noWrap/>
            <w:vAlign w:val="center"/>
            <w:hideMark/>
          </w:tcPr>
          <w:p w14:paraId="33AA8964" w14:textId="77777777" w:rsidR="008B361F" w:rsidRPr="00F919E1" w:rsidRDefault="008B361F" w:rsidP="008B36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628</w:t>
            </w:r>
          </w:p>
        </w:tc>
      </w:tr>
      <w:tr w:rsidR="008B361F" w:rsidRPr="002917E2" w14:paraId="5164D293" w14:textId="77777777" w:rsidTr="00DC4D0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45" w:type="dxa"/>
            <w:tcBorders>
              <w:right w:val="single" w:sz="4" w:space="0" w:color="0067AB" w:themeColor="accent1"/>
            </w:tcBorders>
            <w:noWrap/>
            <w:vAlign w:val="center"/>
            <w:hideMark/>
          </w:tcPr>
          <w:p w14:paraId="450A11C7" w14:textId="77777777" w:rsidR="008B361F" w:rsidRPr="00F919E1" w:rsidRDefault="008B361F" w:rsidP="008B361F">
            <w:pPr>
              <w:rPr>
                <w:rFonts w:asciiTheme="minorHAnsi" w:eastAsia="Times New Roman" w:hAnsiTheme="minorHAnsi"/>
                <w:b w:val="0"/>
                <w:color w:val="000000"/>
                <w:sz w:val="18"/>
                <w:szCs w:val="18"/>
              </w:rPr>
            </w:pPr>
            <w:r w:rsidRPr="00F919E1">
              <w:rPr>
                <w:rFonts w:asciiTheme="minorHAnsi" w:eastAsia="Times New Roman" w:hAnsiTheme="minorHAnsi"/>
                <w:b w:val="0"/>
                <w:color w:val="000000"/>
                <w:sz w:val="18"/>
                <w:szCs w:val="18"/>
              </w:rPr>
              <w:t>NPCC</w:t>
            </w:r>
          </w:p>
        </w:tc>
        <w:tc>
          <w:tcPr>
            <w:tcW w:w="3240" w:type="dxa"/>
            <w:tcBorders>
              <w:left w:val="single" w:sz="4" w:space="0" w:color="0067AB" w:themeColor="accent1"/>
              <w:right w:val="single" w:sz="4" w:space="0" w:color="0067AB" w:themeColor="accent1"/>
            </w:tcBorders>
            <w:noWrap/>
            <w:vAlign w:val="center"/>
            <w:hideMark/>
          </w:tcPr>
          <w:p w14:paraId="2E58C833" w14:textId="77777777" w:rsidR="008B361F" w:rsidRPr="00F919E1" w:rsidRDefault="008B361F" w:rsidP="008B36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Northeast Power Coordinating Council</w:t>
            </w:r>
          </w:p>
        </w:tc>
        <w:tc>
          <w:tcPr>
            <w:tcW w:w="710" w:type="dxa"/>
            <w:tcBorders>
              <w:left w:val="single" w:sz="4" w:space="0" w:color="0067AB" w:themeColor="accent1"/>
              <w:right w:val="single" w:sz="4" w:space="0" w:color="0067AB" w:themeColor="accent1"/>
            </w:tcBorders>
            <w:noWrap/>
            <w:vAlign w:val="center"/>
            <w:hideMark/>
          </w:tcPr>
          <w:p w14:paraId="1F051C41" w14:textId="77777777" w:rsidR="008B361F" w:rsidRPr="00F919E1" w:rsidRDefault="008B361F" w:rsidP="008B36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269</w:t>
            </w:r>
          </w:p>
        </w:tc>
        <w:tc>
          <w:tcPr>
            <w:tcW w:w="615" w:type="dxa"/>
            <w:tcBorders>
              <w:left w:val="single" w:sz="4" w:space="0" w:color="0067AB" w:themeColor="accent1"/>
              <w:right w:val="single" w:sz="4" w:space="0" w:color="0067AB" w:themeColor="accent1"/>
            </w:tcBorders>
            <w:noWrap/>
            <w:vAlign w:val="center"/>
            <w:hideMark/>
          </w:tcPr>
          <w:p w14:paraId="2219A748" w14:textId="77777777" w:rsidR="008B361F" w:rsidRPr="00F919E1" w:rsidRDefault="008B361F" w:rsidP="008B36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257</w:t>
            </w:r>
          </w:p>
        </w:tc>
        <w:tc>
          <w:tcPr>
            <w:tcW w:w="615" w:type="dxa"/>
            <w:tcBorders>
              <w:left w:val="single" w:sz="4" w:space="0" w:color="0067AB" w:themeColor="accent1"/>
              <w:right w:val="single" w:sz="4" w:space="0" w:color="0067AB" w:themeColor="accent1"/>
            </w:tcBorders>
            <w:noWrap/>
            <w:vAlign w:val="center"/>
            <w:hideMark/>
          </w:tcPr>
          <w:p w14:paraId="4D333B70" w14:textId="77777777" w:rsidR="008B361F" w:rsidRPr="00F919E1" w:rsidRDefault="008B361F" w:rsidP="008B36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250</w:t>
            </w:r>
          </w:p>
        </w:tc>
        <w:tc>
          <w:tcPr>
            <w:tcW w:w="615" w:type="dxa"/>
            <w:tcBorders>
              <w:left w:val="single" w:sz="4" w:space="0" w:color="0067AB" w:themeColor="accent1"/>
              <w:right w:val="single" w:sz="4" w:space="0" w:color="0067AB" w:themeColor="accent1"/>
            </w:tcBorders>
            <w:noWrap/>
            <w:vAlign w:val="center"/>
            <w:hideMark/>
          </w:tcPr>
          <w:p w14:paraId="417C2010" w14:textId="77777777" w:rsidR="008B361F" w:rsidRPr="00F919E1" w:rsidRDefault="008B361F" w:rsidP="008B36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254</w:t>
            </w:r>
          </w:p>
        </w:tc>
        <w:tc>
          <w:tcPr>
            <w:tcW w:w="615" w:type="dxa"/>
            <w:tcBorders>
              <w:left w:val="single" w:sz="4" w:space="0" w:color="0067AB" w:themeColor="accent1"/>
              <w:right w:val="single" w:sz="4" w:space="0" w:color="0067AB" w:themeColor="accent1"/>
            </w:tcBorders>
            <w:noWrap/>
            <w:vAlign w:val="center"/>
            <w:hideMark/>
          </w:tcPr>
          <w:p w14:paraId="51E6E0A0" w14:textId="77777777" w:rsidR="008B361F" w:rsidRPr="00F919E1" w:rsidRDefault="008B361F" w:rsidP="008B36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260</w:t>
            </w:r>
          </w:p>
        </w:tc>
        <w:tc>
          <w:tcPr>
            <w:tcW w:w="615" w:type="dxa"/>
            <w:tcBorders>
              <w:left w:val="single" w:sz="4" w:space="0" w:color="0067AB" w:themeColor="accent1"/>
            </w:tcBorders>
            <w:noWrap/>
            <w:vAlign w:val="center"/>
            <w:hideMark/>
          </w:tcPr>
          <w:p w14:paraId="214439A9" w14:textId="77777777" w:rsidR="008B361F" w:rsidRPr="00F919E1" w:rsidRDefault="008B361F" w:rsidP="008B36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260</w:t>
            </w:r>
          </w:p>
        </w:tc>
      </w:tr>
      <w:tr w:rsidR="008B361F" w:rsidRPr="002917E2" w14:paraId="4DD95C7B" w14:textId="77777777" w:rsidTr="00DC4D0E">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0067AB" w:themeColor="accent1"/>
              <w:bottom w:val="single" w:sz="4" w:space="0" w:color="0067AB" w:themeColor="accent1"/>
              <w:right w:val="single" w:sz="4" w:space="0" w:color="0067AB" w:themeColor="accent1"/>
            </w:tcBorders>
            <w:noWrap/>
            <w:vAlign w:val="center"/>
            <w:hideMark/>
          </w:tcPr>
          <w:p w14:paraId="23EF2480" w14:textId="77777777" w:rsidR="008B361F" w:rsidRPr="00F919E1" w:rsidRDefault="008B361F" w:rsidP="008B361F">
            <w:pPr>
              <w:rPr>
                <w:rFonts w:asciiTheme="minorHAnsi" w:eastAsia="Times New Roman" w:hAnsiTheme="minorHAnsi"/>
                <w:b w:val="0"/>
                <w:color w:val="000000"/>
                <w:sz w:val="18"/>
                <w:szCs w:val="18"/>
              </w:rPr>
            </w:pPr>
            <w:r w:rsidRPr="00F919E1">
              <w:rPr>
                <w:rFonts w:asciiTheme="minorHAnsi" w:eastAsia="Times New Roman" w:hAnsiTheme="minorHAnsi"/>
                <w:b w:val="0"/>
                <w:color w:val="000000"/>
                <w:sz w:val="18"/>
                <w:szCs w:val="18"/>
              </w:rPr>
              <w:t>RFC</w:t>
            </w:r>
          </w:p>
        </w:tc>
        <w:tc>
          <w:tcPr>
            <w:tcW w:w="324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noWrap/>
            <w:vAlign w:val="center"/>
            <w:hideMark/>
          </w:tcPr>
          <w:p w14:paraId="285806D6" w14:textId="77777777" w:rsidR="008B361F" w:rsidRPr="00F919E1" w:rsidRDefault="008B361F" w:rsidP="008B36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Reliability First Corporation</w:t>
            </w:r>
          </w:p>
        </w:tc>
        <w:tc>
          <w:tcPr>
            <w:tcW w:w="71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noWrap/>
            <w:vAlign w:val="center"/>
            <w:hideMark/>
          </w:tcPr>
          <w:p w14:paraId="540B0C65" w14:textId="77777777" w:rsidR="008B361F" w:rsidRPr="00F919E1" w:rsidRDefault="008B361F" w:rsidP="008B36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608</w:t>
            </w:r>
          </w:p>
        </w:tc>
        <w:tc>
          <w:tcPr>
            <w:tcW w:w="615"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noWrap/>
            <w:vAlign w:val="center"/>
            <w:hideMark/>
          </w:tcPr>
          <w:p w14:paraId="46E75190" w14:textId="77777777" w:rsidR="008B361F" w:rsidRPr="00F919E1" w:rsidRDefault="008B361F" w:rsidP="008B36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623</w:t>
            </w:r>
          </w:p>
        </w:tc>
        <w:tc>
          <w:tcPr>
            <w:tcW w:w="615"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noWrap/>
            <w:vAlign w:val="center"/>
            <w:hideMark/>
          </w:tcPr>
          <w:p w14:paraId="3330D71B" w14:textId="77777777" w:rsidR="008B361F" w:rsidRPr="00F919E1" w:rsidRDefault="008B361F" w:rsidP="008B36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626</w:t>
            </w:r>
          </w:p>
        </w:tc>
        <w:tc>
          <w:tcPr>
            <w:tcW w:w="615"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noWrap/>
            <w:vAlign w:val="center"/>
            <w:hideMark/>
          </w:tcPr>
          <w:p w14:paraId="73B8FFD2" w14:textId="77777777" w:rsidR="008B361F" w:rsidRPr="00F919E1" w:rsidRDefault="008B361F" w:rsidP="008B36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618</w:t>
            </w:r>
          </w:p>
        </w:tc>
        <w:tc>
          <w:tcPr>
            <w:tcW w:w="615"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noWrap/>
            <w:vAlign w:val="center"/>
            <w:hideMark/>
          </w:tcPr>
          <w:p w14:paraId="1B3B1367" w14:textId="77777777" w:rsidR="008B361F" w:rsidRPr="00F919E1" w:rsidRDefault="008B361F" w:rsidP="008B36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612</w:t>
            </w:r>
          </w:p>
        </w:tc>
        <w:tc>
          <w:tcPr>
            <w:tcW w:w="615" w:type="dxa"/>
            <w:tcBorders>
              <w:top w:val="single" w:sz="4" w:space="0" w:color="0067AB" w:themeColor="accent1"/>
              <w:left w:val="single" w:sz="4" w:space="0" w:color="0067AB" w:themeColor="accent1"/>
              <w:bottom w:val="single" w:sz="4" w:space="0" w:color="0067AB" w:themeColor="accent1"/>
            </w:tcBorders>
            <w:noWrap/>
            <w:vAlign w:val="center"/>
            <w:hideMark/>
          </w:tcPr>
          <w:p w14:paraId="4464107D" w14:textId="77777777" w:rsidR="008B361F" w:rsidRPr="00F919E1" w:rsidRDefault="008B361F" w:rsidP="008B36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608</w:t>
            </w:r>
          </w:p>
        </w:tc>
      </w:tr>
      <w:tr w:rsidR="008B361F" w:rsidRPr="002917E2" w14:paraId="6BAE514D" w14:textId="77777777" w:rsidTr="00DC4D0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45" w:type="dxa"/>
            <w:tcBorders>
              <w:right w:val="single" w:sz="4" w:space="0" w:color="0067AB" w:themeColor="accent1"/>
            </w:tcBorders>
            <w:noWrap/>
            <w:vAlign w:val="center"/>
            <w:hideMark/>
          </w:tcPr>
          <w:p w14:paraId="26BDC90E" w14:textId="77777777" w:rsidR="008B361F" w:rsidRPr="00F919E1" w:rsidRDefault="008B361F" w:rsidP="008B361F">
            <w:pPr>
              <w:rPr>
                <w:rFonts w:asciiTheme="minorHAnsi" w:eastAsia="Times New Roman" w:hAnsiTheme="minorHAnsi"/>
                <w:b w:val="0"/>
                <w:color w:val="000000"/>
                <w:sz w:val="18"/>
                <w:szCs w:val="18"/>
              </w:rPr>
            </w:pPr>
            <w:r w:rsidRPr="00F919E1">
              <w:rPr>
                <w:rFonts w:asciiTheme="minorHAnsi" w:eastAsia="Times New Roman" w:hAnsiTheme="minorHAnsi"/>
                <w:b w:val="0"/>
                <w:color w:val="000000"/>
                <w:sz w:val="18"/>
                <w:szCs w:val="18"/>
              </w:rPr>
              <w:t>SERC</w:t>
            </w:r>
          </w:p>
        </w:tc>
        <w:tc>
          <w:tcPr>
            <w:tcW w:w="3240" w:type="dxa"/>
            <w:tcBorders>
              <w:left w:val="single" w:sz="4" w:space="0" w:color="0067AB" w:themeColor="accent1"/>
              <w:right w:val="single" w:sz="4" w:space="0" w:color="0067AB" w:themeColor="accent1"/>
            </w:tcBorders>
            <w:noWrap/>
            <w:vAlign w:val="center"/>
            <w:hideMark/>
          </w:tcPr>
          <w:p w14:paraId="59D6E6EA" w14:textId="77777777" w:rsidR="008B361F" w:rsidRPr="00F919E1" w:rsidRDefault="008B361F" w:rsidP="008B36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Southeastern Electric Reliability Council</w:t>
            </w:r>
          </w:p>
        </w:tc>
        <w:tc>
          <w:tcPr>
            <w:tcW w:w="710" w:type="dxa"/>
            <w:tcBorders>
              <w:left w:val="single" w:sz="4" w:space="0" w:color="0067AB" w:themeColor="accent1"/>
              <w:right w:val="single" w:sz="4" w:space="0" w:color="0067AB" w:themeColor="accent1"/>
            </w:tcBorders>
            <w:noWrap/>
            <w:vAlign w:val="center"/>
            <w:hideMark/>
          </w:tcPr>
          <w:p w14:paraId="24658E21" w14:textId="77777777" w:rsidR="008B361F" w:rsidRPr="00F919E1" w:rsidRDefault="008B361F" w:rsidP="008B36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601</w:t>
            </w:r>
          </w:p>
        </w:tc>
        <w:tc>
          <w:tcPr>
            <w:tcW w:w="615" w:type="dxa"/>
            <w:tcBorders>
              <w:left w:val="single" w:sz="4" w:space="0" w:color="0067AB" w:themeColor="accent1"/>
              <w:right w:val="single" w:sz="4" w:space="0" w:color="0067AB" w:themeColor="accent1"/>
            </w:tcBorders>
            <w:noWrap/>
            <w:vAlign w:val="center"/>
            <w:hideMark/>
          </w:tcPr>
          <w:p w14:paraId="670A49C6" w14:textId="77777777" w:rsidR="008B361F" w:rsidRPr="00F919E1" w:rsidRDefault="008B361F" w:rsidP="008B36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588</w:t>
            </w:r>
          </w:p>
        </w:tc>
        <w:tc>
          <w:tcPr>
            <w:tcW w:w="615" w:type="dxa"/>
            <w:tcBorders>
              <w:left w:val="single" w:sz="4" w:space="0" w:color="0067AB" w:themeColor="accent1"/>
              <w:right w:val="single" w:sz="4" w:space="0" w:color="0067AB" w:themeColor="accent1"/>
            </w:tcBorders>
            <w:noWrap/>
            <w:vAlign w:val="center"/>
            <w:hideMark/>
          </w:tcPr>
          <w:p w14:paraId="10BD1D34" w14:textId="77777777" w:rsidR="008B361F" w:rsidRPr="00F919E1" w:rsidRDefault="008B361F" w:rsidP="008B36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585</w:t>
            </w:r>
          </w:p>
        </w:tc>
        <w:tc>
          <w:tcPr>
            <w:tcW w:w="615" w:type="dxa"/>
            <w:tcBorders>
              <w:left w:val="single" w:sz="4" w:space="0" w:color="0067AB" w:themeColor="accent1"/>
              <w:right w:val="single" w:sz="4" w:space="0" w:color="0067AB" w:themeColor="accent1"/>
            </w:tcBorders>
            <w:noWrap/>
            <w:vAlign w:val="center"/>
            <w:hideMark/>
          </w:tcPr>
          <w:p w14:paraId="4216196D" w14:textId="77777777" w:rsidR="008B361F" w:rsidRPr="00F919E1" w:rsidRDefault="008B361F" w:rsidP="008B36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580</w:t>
            </w:r>
          </w:p>
        </w:tc>
        <w:tc>
          <w:tcPr>
            <w:tcW w:w="615" w:type="dxa"/>
            <w:tcBorders>
              <w:left w:val="single" w:sz="4" w:space="0" w:color="0067AB" w:themeColor="accent1"/>
              <w:right w:val="single" w:sz="4" w:space="0" w:color="0067AB" w:themeColor="accent1"/>
            </w:tcBorders>
            <w:noWrap/>
            <w:vAlign w:val="center"/>
            <w:hideMark/>
          </w:tcPr>
          <w:p w14:paraId="64DA33A7" w14:textId="77777777" w:rsidR="008B361F" w:rsidRPr="00F919E1" w:rsidRDefault="008B361F" w:rsidP="008B36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575</w:t>
            </w:r>
          </w:p>
        </w:tc>
        <w:tc>
          <w:tcPr>
            <w:tcW w:w="615" w:type="dxa"/>
            <w:tcBorders>
              <w:left w:val="single" w:sz="4" w:space="0" w:color="0067AB" w:themeColor="accent1"/>
            </w:tcBorders>
            <w:noWrap/>
            <w:vAlign w:val="center"/>
            <w:hideMark/>
          </w:tcPr>
          <w:p w14:paraId="21FC6B55" w14:textId="77777777" w:rsidR="008B361F" w:rsidRPr="00F919E1" w:rsidRDefault="008B361F" w:rsidP="008B36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566</w:t>
            </w:r>
          </w:p>
        </w:tc>
      </w:tr>
      <w:tr w:rsidR="008B361F" w:rsidRPr="002917E2" w14:paraId="041B4A5D" w14:textId="77777777" w:rsidTr="00DC4D0E">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0067AB" w:themeColor="accent1"/>
              <w:bottom w:val="single" w:sz="4" w:space="0" w:color="0067AB" w:themeColor="accent1"/>
              <w:right w:val="single" w:sz="4" w:space="0" w:color="0067AB" w:themeColor="accent1"/>
            </w:tcBorders>
            <w:noWrap/>
            <w:vAlign w:val="center"/>
            <w:hideMark/>
          </w:tcPr>
          <w:p w14:paraId="1971E45F" w14:textId="77777777" w:rsidR="008B361F" w:rsidRPr="00F919E1" w:rsidRDefault="008B361F" w:rsidP="008B361F">
            <w:pPr>
              <w:rPr>
                <w:rFonts w:asciiTheme="minorHAnsi" w:eastAsia="Times New Roman" w:hAnsiTheme="minorHAnsi"/>
                <w:b w:val="0"/>
                <w:color w:val="000000"/>
                <w:sz w:val="18"/>
                <w:szCs w:val="18"/>
              </w:rPr>
            </w:pPr>
            <w:r w:rsidRPr="00F919E1">
              <w:rPr>
                <w:rFonts w:asciiTheme="minorHAnsi" w:eastAsia="Times New Roman" w:hAnsiTheme="minorHAnsi"/>
                <w:b w:val="0"/>
                <w:color w:val="000000"/>
                <w:sz w:val="18"/>
                <w:szCs w:val="18"/>
              </w:rPr>
              <w:t>SPP</w:t>
            </w:r>
          </w:p>
        </w:tc>
        <w:tc>
          <w:tcPr>
            <w:tcW w:w="324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noWrap/>
            <w:vAlign w:val="center"/>
            <w:hideMark/>
          </w:tcPr>
          <w:p w14:paraId="4152CB7B" w14:textId="77777777" w:rsidR="008B361F" w:rsidRPr="00F919E1" w:rsidRDefault="008B361F" w:rsidP="008B36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Southwest Power Pool</w:t>
            </w:r>
          </w:p>
        </w:tc>
        <w:tc>
          <w:tcPr>
            <w:tcW w:w="71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noWrap/>
            <w:vAlign w:val="center"/>
            <w:hideMark/>
          </w:tcPr>
          <w:p w14:paraId="205505A7" w14:textId="77777777" w:rsidR="008B361F" w:rsidRPr="00F919E1" w:rsidRDefault="008B361F" w:rsidP="008B36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715</w:t>
            </w:r>
          </w:p>
        </w:tc>
        <w:tc>
          <w:tcPr>
            <w:tcW w:w="615"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noWrap/>
            <w:vAlign w:val="center"/>
            <w:hideMark/>
          </w:tcPr>
          <w:p w14:paraId="78C69495" w14:textId="77777777" w:rsidR="008B361F" w:rsidRPr="00F919E1" w:rsidRDefault="008B361F" w:rsidP="008B36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668</w:t>
            </w:r>
          </w:p>
        </w:tc>
        <w:tc>
          <w:tcPr>
            <w:tcW w:w="615"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noWrap/>
            <w:vAlign w:val="center"/>
            <w:hideMark/>
          </w:tcPr>
          <w:p w14:paraId="753F0BD1" w14:textId="77777777" w:rsidR="008B361F" w:rsidRPr="00F919E1" w:rsidRDefault="008B361F" w:rsidP="008B36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663</w:t>
            </w:r>
          </w:p>
        </w:tc>
        <w:tc>
          <w:tcPr>
            <w:tcW w:w="615"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noWrap/>
            <w:vAlign w:val="center"/>
            <w:hideMark/>
          </w:tcPr>
          <w:p w14:paraId="0EB53C27" w14:textId="77777777" w:rsidR="008B361F" w:rsidRPr="00F919E1" w:rsidRDefault="008B361F" w:rsidP="008B36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655</w:t>
            </w:r>
          </w:p>
        </w:tc>
        <w:tc>
          <w:tcPr>
            <w:tcW w:w="615"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noWrap/>
            <w:vAlign w:val="center"/>
            <w:hideMark/>
          </w:tcPr>
          <w:p w14:paraId="59D154F2" w14:textId="77777777" w:rsidR="008B361F" w:rsidRPr="00F919E1" w:rsidRDefault="008B361F" w:rsidP="008B36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625</w:t>
            </w:r>
          </w:p>
        </w:tc>
        <w:tc>
          <w:tcPr>
            <w:tcW w:w="615" w:type="dxa"/>
            <w:tcBorders>
              <w:top w:val="single" w:sz="4" w:space="0" w:color="0067AB" w:themeColor="accent1"/>
              <w:left w:val="single" w:sz="4" w:space="0" w:color="0067AB" w:themeColor="accent1"/>
              <w:bottom w:val="single" w:sz="4" w:space="0" w:color="0067AB" w:themeColor="accent1"/>
            </w:tcBorders>
            <w:noWrap/>
            <w:vAlign w:val="center"/>
            <w:hideMark/>
          </w:tcPr>
          <w:p w14:paraId="4EB4AB45" w14:textId="77777777" w:rsidR="008B361F" w:rsidRPr="00F919E1" w:rsidRDefault="008B361F" w:rsidP="008B36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604</w:t>
            </w:r>
          </w:p>
        </w:tc>
      </w:tr>
      <w:tr w:rsidR="008B361F" w:rsidRPr="002917E2" w14:paraId="1F218398" w14:textId="77777777" w:rsidTr="00DC4D0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45" w:type="dxa"/>
            <w:tcBorders>
              <w:right w:val="single" w:sz="4" w:space="0" w:color="0067AB" w:themeColor="accent1"/>
            </w:tcBorders>
            <w:noWrap/>
            <w:vAlign w:val="center"/>
            <w:hideMark/>
          </w:tcPr>
          <w:p w14:paraId="26009286" w14:textId="77777777" w:rsidR="008B361F" w:rsidRPr="00F919E1" w:rsidRDefault="008B361F" w:rsidP="008B361F">
            <w:pPr>
              <w:rPr>
                <w:rFonts w:asciiTheme="minorHAnsi" w:eastAsia="Times New Roman" w:hAnsiTheme="minorHAnsi"/>
                <w:b w:val="0"/>
                <w:color w:val="000000"/>
                <w:sz w:val="18"/>
                <w:szCs w:val="18"/>
              </w:rPr>
            </w:pPr>
            <w:r w:rsidRPr="00F919E1">
              <w:rPr>
                <w:rFonts w:asciiTheme="minorHAnsi" w:eastAsia="Times New Roman" w:hAnsiTheme="minorHAnsi"/>
                <w:b w:val="0"/>
                <w:color w:val="000000"/>
                <w:sz w:val="18"/>
                <w:szCs w:val="18"/>
              </w:rPr>
              <w:t>TRE</w:t>
            </w:r>
          </w:p>
        </w:tc>
        <w:tc>
          <w:tcPr>
            <w:tcW w:w="3240" w:type="dxa"/>
            <w:tcBorders>
              <w:left w:val="single" w:sz="4" w:space="0" w:color="0067AB" w:themeColor="accent1"/>
              <w:right w:val="single" w:sz="4" w:space="0" w:color="0067AB" w:themeColor="accent1"/>
            </w:tcBorders>
            <w:noWrap/>
            <w:vAlign w:val="center"/>
            <w:hideMark/>
          </w:tcPr>
          <w:p w14:paraId="7F01F61E" w14:textId="77777777" w:rsidR="008B361F" w:rsidRPr="00F919E1" w:rsidRDefault="008B361F" w:rsidP="008B36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Texas Regional Entity</w:t>
            </w:r>
          </w:p>
        </w:tc>
        <w:tc>
          <w:tcPr>
            <w:tcW w:w="710" w:type="dxa"/>
            <w:tcBorders>
              <w:left w:val="single" w:sz="4" w:space="0" w:color="0067AB" w:themeColor="accent1"/>
              <w:right w:val="single" w:sz="4" w:space="0" w:color="0067AB" w:themeColor="accent1"/>
            </w:tcBorders>
            <w:noWrap/>
            <w:vAlign w:val="center"/>
            <w:hideMark/>
          </w:tcPr>
          <w:p w14:paraId="094BDC21" w14:textId="77777777" w:rsidR="008B361F" w:rsidRPr="00F919E1" w:rsidRDefault="008B361F" w:rsidP="008B36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578</w:t>
            </w:r>
          </w:p>
        </w:tc>
        <w:tc>
          <w:tcPr>
            <w:tcW w:w="615" w:type="dxa"/>
            <w:tcBorders>
              <w:left w:val="single" w:sz="4" w:space="0" w:color="0067AB" w:themeColor="accent1"/>
              <w:right w:val="single" w:sz="4" w:space="0" w:color="0067AB" w:themeColor="accent1"/>
            </w:tcBorders>
            <w:noWrap/>
            <w:vAlign w:val="center"/>
            <w:hideMark/>
          </w:tcPr>
          <w:p w14:paraId="3E48A1F3" w14:textId="77777777" w:rsidR="008B361F" w:rsidRPr="00F919E1" w:rsidRDefault="008B361F" w:rsidP="008B36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579</w:t>
            </w:r>
          </w:p>
        </w:tc>
        <w:tc>
          <w:tcPr>
            <w:tcW w:w="615" w:type="dxa"/>
            <w:tcBorders>
              <w:left w:val="single" w:sz="4" w:space="0" w:color="0067AB" w:themeColor="accent1"/>
              <w:right w:val="single" w:sz="4" w:space="0" w:color="0067AB" w:themeColor="accent1"/>
            </w:tcBorders>
            <w:noWrap/>
            <w:vAlign w:val="center"/>
            <w:hideMark/>
          </w:tcPr>
          <w:p w14:paraId="0379B774" w14:textId="77777777" w:rsidR="008B361F" w:rsidRPr="00F919E1" w:rsidRDefault="008B361F" w:rsidP="008B36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574</w:t>
            </w:r>
          </w:p>
        </w:tc>
        <w:tc>
          <w:tcPr>
            <w:tcW w:w="615" w:type="dxa"/>
            <w:tcBorders>
              <w:left w:val="single" w:sz="4" w:space="0" w:color="0067AB" w:themeColor="accent1"/>
              <w:right w:val="single" w:sz="4" w:space="0" w:color="0067AB" w:themeColor="accent1"/>
            </w:tcBorders>
            <w:noWrap/>
            <w:vAlign w:val="center"/>
            <w:hideMark/>
          </w:tcPr>
          <w:p w14:paraId="6F7F9E40" w14:textId="77777777" w:rsidR="008B361F" w:rsidRPr="00F919E1" w:rsidRDefault="008B361F" w:rsidP="008B36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567</w:t>
            </w:r>
          </w:p>
        </w:tc>
        <w:tc>
          <w:tcPr>
            <w:tcW w:w="615" w:type="dxa"/>
            <w:tcBorders>
              <w:left w:val="single" w:sz="4" w:space="0" w:color="0067AB" w:themeColor="accent1"/>
              <w:right w:val="single" w:sz="4" w:space="0" w:color="0067AB" w:themeColor="accent1"/>
            </w:tcBorders>
            <w:noWrap/>
            <w:vAlign w:val="center"/>
            <w:hideMark/>
          </w:tcPr>
          <w:p w14:paraId="0DE6F789" w14:textId="77777777" w:rsidR="008B361F" w:rsidRPr="00F919E1" w:rsidRDefault="008B361F" w:rsidP="008B36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560</w:t>
            </w:r>
          </w:p>
        </w:tc>
        <w:tc>
          <w:tcPr>
            <w:tcW w:w="615" w:type="dxa"/>
            <w:tcBorders>
              <w:left w:val="single" w:sz="4" w:space="0" w:color="0067AB" w:themeColor="accent1"/>
            </w:tcBorders>
            <w:noWrap/>
            <w:vAlign w:val="center"/>
            <w:hideMark/>
          </w:tcPr>
          <w:p w14:paraId="70B30707" w14:textId="77777777" w:rsidR="008B361F" w:rsidRPr="00F919E1" w:rsidRDefault="008B361F" w:rsidP="008B36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553</w:t>
            </w:r>
          </w:p>
        </w:tc>
      </w:tr>
      <w:tr w:rsidR="008B361F" w:rsidRPr="002917E2" w14:paraId="0E64986F" w14:textId="77777777" w:rsidTr="00DC4D0E">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0067AB" w:themeColor="accent1"/>
              <w:bottom w:val="single" w:sz="4" w:space="0" w:color="0067AB" w:themeColor="accent1"/>
              <w:right w:val="single" w:sz="4" w:space="0" w:color="0067AB" w:themeColor="accent1"/>
            </w:tcBorders>
            <w:noWrap/>
            <w:vAlign w:val="center"/>
            <w:hideMark/>
          </w:tcPr>
          <w:p w14:paraId="63C20EFF" w14:textId="77777777" w:rsidR="008B361F" w:rsidRPr="00F919E1" w:rsidRDefault="008B361F" w:rsidP="008B361F">
            <w:pPr>
              <w:rPr>
                <w:rFonts w:asciiTheme="minorHAnsi" w:eastAsia="Times New Roman" w:hAnsiTheme="minorHAnsi"/>
                <w:b w:val="0"/>
                <w:color w:val="000000"/>
                <w:sz w:val="18"/>
                <w:szCs w:val="18"/>
              </w:rPr>
            </w:pPr>
            <w:r w:rsidRPr="00F919E1">
              <w:rPr>
                <w:rFonts w:asciiTheme="minorHAnsi" w:eastAsia="Times New Roman" w:hAnsiTheme="minorHAnsi"/>
                <w:b w:val="0"/>
                <w:color w:val="000000"/>
                <w:sz w:val="18"/>
                <w:szCs w:val="18"/>
              </w:rPr>
              <w:t>WECC</w:t>
            </w:r>
          </w:p>
        </w:tc>
        <w:tc>
          <w:tcPr>
            <w:tcW w:w="324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noWrap/>
            <w:vAlign w:val="center"/>
            <w:hideMark/>
          </w:tcPr>
          <w:p w14:paraId="26C62FFE" w14:textId="77777777" w:rsidR="008B361F" w:rsidRPr="00F919E1" w:rsidRDefault="008B361F" w:rsidP="008B36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Western Electricity Coordinating Council</w:t>
            </w:r>
          </w:p>
        </w:tc>
        <w:tc>
          <w:tcPr>
            <w:tcW w:w="71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noWrap/>
            <w:vAlign w:val="center"/>
            <w:hideMark/>
          </w:tcPr>
          <w:p w14:paraId="1C2BF792" w14:textId="77777777" w:rsidR="008B361F" w:rsidRPr="00F919E1" w:rsidRDefault="008B361F" w:rsidP="008B36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408</w:t>
            </w:r>
          </w:p>
        </w:tc>
        <w:tc>
          <w:tcPr>
            <w:tcW w:w="615"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noWrap/>
            <w:vAlign w:val="center"/>
            <w:hideMark/>
          </w:tcPr>
          <w:p w14:paraId="5DC55CC7" w14:textId="77777777" w:rsidR="008B361F" w:rsidRPr="00F919E1" w:rsidRDefault="008B361F" w:rsidP="008B36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408</w:t>
            </w:r>
          </w:p>
        </w:tc>
        <w:tc>
          <w:tcPr>
            <w:tcW w:w="615"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noWrap/>
            <w:vAlign w:val="center"/>
            <w:hideMark/>
          </w:tcPr>
          <w:p w14:paraId="778515BB" w14:textId="77777777" w:rsidR="008B361F" w:rsidRPr="00F919E1" w:rsidRDefault="008B361F" w:rsidP="008B36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387</w:t>
            </w:r>
          </w:p>
        </w:tc>
        <w:tc>
          <w:tcPr>
            <w:tcW w:w="615"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noWrap/>
            <w:vAlign w:val="center"/>
            <w:hideMark/>
          </w:tcPr>
          <w:p w14:paraId="479FA629" w14:textId="77777777" w:rsidR="008B361F" w:rsidRPr="00F919E1" w:rsidRDefault="008B361F" w:rsidP="008B36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381</w:t>
            </w:r>
          </w:p>
        </w:tc>
        <w:tc>
          <w:tcPr>
            <w:tcW w:w="615"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noWrap/>
            <w:vAlign w:val="center"/>
            <w:hideMark/>
          </w:tcPr>
          <w:p w14:paraId="52B65D38" w14:textId="77777777" w:rsidR="008B361F" w:rsidRPr="00F919E1" w:rsidRDefault="008B361F" w:rsidP="008B36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369</w:t>
            </w:r>
          </w:p>
        </w:tc>
        <w:tc>
          <w:tcPr>
            <w:tcW w:w="615" w:type="dxa"/>
            <w:tcBorders>
              <w:top w:val="single" w:sz="4" w:space="0" w:color="0067AB" w:themeColor="accent1"/>
              <w:left w:val="single" w:sz="4" w:space="0" w:color="0067AB" w:themeColor="accent1"/>
              <w:bottom w:val="single" w:sz="4" w:space="0" w:color="0067AB" w:themeColor="accent1"/>
            </w:tcBorders>
            <w:noWrap/>
            <w:vAlign w:val="center"/>
            <w:hideMark/>
          </w:tcPr>
          <w:p w14:paraId="3922FD85" w14:textId="77777777" w:rsidR="008B361F" w:rsidRPr="00F919E1" w:rsidRDefault="008B361F" w:rsidP="008B36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355</w:t>
            </w:r>
          </w:p>
        </w:tc>
      </w:tr>
      <w:tr w:rsidR="008B361F" w:rsidRPr="002917E2" w14:paraId="2E7BD7B1" w14:textId="77777777" w:rsidTr="00DC4D0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45" w:type="dxa"/>
            <w:tcBorders>
              <w:right w:val="single" w:sz="4" w:space="0" w:color="0067AB" w:themeColor="accent1"/>
            </w:tcBorders>
            <w:noWrap/>
            <w:vAlign w:val="center"/>
            <w:hideMark/>
          </w:tcPr>
          <w:p w14:paraId="443887E1" w14:textId="77777777" w:rsidR="008B361F" w:rsidRPr="00F919E1" w:rsidRDefault="008B361F" w:rsidP="008B361F">
            <w:pPr>
              <w:rPr>
                <w:rFonts w:asciiTheme="minorHAnsi" w:eastAsia="Times New Roman" w:hAnsiTheme="minorHAnsi"/>
                <w:b w:val="0"/>
                <w:color w:val="000000"/>
                <w:sz w:val="18"/>
                <w:szCs w:val="18"/>
              </w:rPr>
            </w:pPr>
            <w:r w:rsidRPr="00F919E1">
              <w:rPr>
                <w:rFonts w:asciiTheme="minorHAnsi" w:eastAsia="Times New Roman" w:hAnsiTheme="minorHAnsi"/>
                <w:b w:val="0"/>
                <w:color w:val="000000"/>
                <w:sz w:val="18"/>
                <w:szCs w:val="18"/>
              </w:rPr>
              <w:t>CA</w:t>
            </w:r>
          </w:p>
        </w:tc>
        <w:tc>
          <w:tcPr>
            <w:tcW w:w="3240" w:type="dxa"/>
            <w:tcBorders>
              <w:left w:val="single" w:sz="4" w:space="0" w:color="0067AB" w:themeColor="accent1"/>
              <w:right w:val="single" w:sz="4" w:space="0" w:color="0067AB" w:themeColor="accent1"/>
            </w:tcBorders>
            <w:noWrap/>
            <w:vAlign w:val="center"/>
            <w:hideMark/>
          </w:tcPr>
          <w:p w14:paraId="47C1AD5C" w14:textId="77777777" w:rsidR="008B361F" w:rsidRPr="00F919E1" w:rsidRDefault="008B361F" w:rsidP="008B36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California</w:t>
            </w:r>
          </w:p>
        </w:tc>
        <w:tc>
          <w:tcPr>
            <w:tcW w:w="710" w:type="dxa"/>
            <w:tcBorders>
              <w:left w:val="single" w:sz="4" w:space="0" w:color="0067AB" w:themeColor="accent1"/>
              <w:right w:val="single" w:sz="4" w:space="0" w:color="0067AB" w:themeColor="accent1"/>
            </w:tcBorders>
            <w:noWrap/>
            <w:vAlign w:val="center"/>
            <w:hideMark/>
          </w:tcPr>
          <w:p w14:paraId="6C248E77" w14:textId="77777777" w:rsidR="008B361F" w:rsidRPr="00F919E1" w:rsidRDefault="008B361F" w:rsidP="008B36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294</w:t>
            </w:r>
          </w:p>
        </w:tc>
        <w:tc>
          <w:tcPr>
            <w:tcW w:w="615" w:type="dxa"/>
            <w:tcBorders>
              <w:left w:val="single" w:sz="4" w:space="0" w:color="0067AB" w:themeColor="accent1"/>
              <w:right w:val="single" w:sz="4" w:space="0" w:color="0067AB" w:themeColor="accent1"/>
            </w:tcBorders>
            <w:noWrap/>
            <w:vAlign w:val="center"/>
            <w:hideMark/>
          </w:tcPr>
          <w:p w14:paraId="517A6896" w14:textId="77777777" w:rsidR="008B361F" w:rsidRPr="00F919E1" w:rsidRDefault="008B361F" w:rsidP="008B36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251</w:t>
            </w:r>
          </w:p>
        </w:tc>
        <w:tc>
          <w:tcPr>
            <w:tcW w:w="615" w:type="dxa"/>
            <w:tcBorders>
              <w:left w:val="single" w:sz="4" w:space="0" w:color="0067AB" w:themeColor="accent1"/>
              <w:right w:val="single" w:sz="4" w:space="0" w:color="0067AB" w:themeColor="accent1"/>
            </w:tcBorders>
            <w:noWrap/>
            <w:vAlign w:val="center"/>
            <w:hideMark/>
          </w:tcPr>
          <w:p w14:paraId="600B17FC" w14:textId="77777777" w:rsidR="008B361F" w:rsidRPr="00F919E1" w:rsidRDefault="008B361F" w:rsidP="008B36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221</w:t>
            </w:r>
          </w:p>
        </w:tc>
        <w:tc>
          <w:tcPr>
            <w:tcW w:w="615" w:type="dxa"/>
            <w:tcBorders>
              <w:left w:val="single" w:sz="4" w:space="0" w:color="0067AB" w:themeColor="accent1"/>
              <w:right w:val="single" w:sz="4" w:space="0" w:color="0067AB" w:themeColor="accent1"/>
            </w:tcBorders>
            <w:noWrap/>
            <w:vAlign w:val="center"/>
            <w:hideMark/>
          </w:tcPr>
          <w:p w14:paraId="24A4020E" w14:textId="77777777" w:rsidR="008B361F" w:rsidRPr="00F919E1" w:rsidRDefault="008B361F" w:rsidP="008B36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218</w:t>
            </w:r>
          </w:p>
        </w:tc>
        <w:tc>
          <w:tcPr>
            <w:tcW w:w="615" w:type="dxa"/>
            <w:tcBorders>
              <w:left w:val="single" w:sz="4" w:space="0" w:color="0067AB" w:themeColor="accent1"/>
              <w:right w:val="single" w:sz="4" w:space="0" w:color="0067AB" w:themeColor="accent1"/>
            </w:tcBorders>
            <w:noWrap/>
            <w:vAlign w:val="center"/>
            <w:hideMark/>
          </w:tcPr>
          <w:p w14:paraId="42EF8EF4" w14:textId="77777777" w:rsidR="008B361F" w:rsidRPr="00F919E1" w:rsidRDefault="008B361F" w:rsidP="008B36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221</w:t>
            </w:r>
          </w:p>
        </w:tc>
        <w:tc>
          <w:tcPr>
            <w:tcW w:w="615" w:type="dxa"/>
            <w:tcBorders>
              <w:left w:val="single" w:sz="4" w:space="0" w:color="0067AB" w:themeColor="accent1"/>
            </w:tcBorders>
            <w:noWrap/>
            <w:vAlign w:val="center"/>
            <w:hideMark/>
          </w:tcPr>
          <w:p w14:paraId="7B4C057F" w14:textId="77777777" w:rsidR="008B361F" w:rsidRPr="00F919E1" w:rsidRDefault="008B361F" w:rsidP="008B36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F919E1">
              <w:rPr>
                <w:rFonts w:asciiTheme="minorHAnsi" w:eastAsia="Times New Roman" w:hAnsiTheme="minorHAnsi"/>
                <w:color w:val="000000"/>
                <w:sz w:val="18"/>
                <w:szCs w:val="18"/>
              </w:rPr>
              <w:t>214</w:t>
            </w:r>
          </w:p>
        </w:tc>
      </w:tr>
    </w:tbl>
    <w:p w14:paraId="600E7332" w14:textId="77777777" w:rsidR="00DC4D0E" w:rsidRDefault="00DC4D0E" w:rsidP="00DC4D0E">
      <w:pPr>
        <w:pStyle w:val="FigureCaption"/>
      </w:pPr>
      <w:bookmarkStart w:id="80" w:name="_Ref459898148"/>
      <w:bookmarkStart w:id="81" w:name="_Ref459996974"/>
      <w:bookmarkStart w:id="82" w:name="_Toc482973612"/>
      <w:r>
        <w:lastRenderedPageBreak/>
        <w:t xml:space="preserve">Figure </w:t>
      </w:r>
      <w:r w:rsidR="00833B69">
        <w:fldChar w:fldCharType="begin"/>
      </w:r>
      <w:r w:rsidR="006578C8">
        <w:instrText xml:space="preserve"> SEQ Figure \* ARABIC </w:instrText>
      </w:r>
      <w:r w:rsidR="00833B69">
        <w:fldChar w:fldCharType="separate"/>
      </w:r>
      <w:r w:rsidR="00C42F38">
        <w:rPr>
          <w:noProof/>
        </w:rPr>
        <w:t>4</w:t>
      </w:r>
      <w:r w:rsidR="00833B69">
        <w:rPr>
          <w:noProof/>
        </w:rPr>
        <w:fldChar w:fldCharType="end"/>
      </w:r>
      <w:bookmarkEnd w:id="80"/>
      <w:r>
        <w:t>. North American Electric Corporation Map of U.S. Regions of Electricity Generation</w:t>
      </w:r>
      <w:bookmarkEnd w:id="81"/>
      <w:bookmarkEnd w:id="82"/>
    </w:p>
    <w:p w14:paraId="25663376" w14:textId="77777777" w:rsidR="00DC4D0E" w:rsidRDefault="00DC4D0E" w:rsidP="00F919E1">
      <w:pPr>
        <w:spacing w:before="120" w:after="240"/>
        <w:jc w:val="center"/>
      </w:pPr>
      <w:r>
        <w:rPr>
          <w:noProof/>
        </w:rPr>
        <w:drawing>
          <wp:inline distT="0" distB="0" distL="0" distR="0" wp14:anchorId="6DFBA584" wp14:editId="6A09AE37">
            <wp:extent cx="5742354" cy="4436828"/>
            <wp:effectExtent l="19050" t="19050" r="10795" b="209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rid2012_nerc_regions.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53591" cy="4445510"/>
                    </a:xfrm>
                    <a:prstGeom prst="rect">
                      <a:avLst/>
                    </a:prstGeom>
                    <a:ln>
                      <a:solidFill>
                        <a:schemeClr val="tx1"/>
                      </a:solidFill>
                    </a:ln>
                  </pic:spPr>
                </pic:pic>
              </a:graphicData>
            </a:graphic>
          </wp:inline>
        </w:drawing>
      </w:r>
    </w:p>
    <w:p w14:paraId="5CD0F7BA" w14:textId="77777777" w:rsidR="00DC4D0E" w:rsidRPr="0017623D" w:rsidRDefault="00DC4D0E" w:rsidP="00DC4D0E">
      <w:pPr>
        <w:pStyle w:val="FigureSource"/>
      </w:pPr>
      <w:r>
        <w:t>Source: Downloaded from U.S. EPA web page for Emissions &amp; Generation Resource Integrated Database (</w:t>
      </w:r>
      <w:hyperlink r:id="rId74" w:history="1">
        <w:r w:rsidRPr="00CE5E5F">
          <w:rPr>
            <w:rStyle w:val="Hyperlink"/>
          </w:rPr>
          <w:t>https://www.epa.gov/energy/egrid</w:t>
        </w:r>
      </w:hyperlink>
      <w:r>
        <w:t>), August 19, 2016.</w:t>
      </w:r>
    </w:p>
    <w:p w14:paraId="57BC8DCF" w14:textId="77777777" w:rsidR="00DC4D0E" w:rsidRDefault="00DC4D0E" w:rsidP="00F919E1">
      <w:pPr>
        <w:spacing w:before="120" w:after="240"/>
        <w:jc w:val="center"/>
      </w:pPr>
    </w:p>
    <w:p w14:paraId="750ED2C9" w14:textId="77777777" w:rsidR="001512C6" w:rsidRDefault="001512C6">
      <w:pPr>
        <w:spacing w:after="200" w:line="276" w:lineRule="auto"/>
      </w:pPr>
      <w:r>
        <w:br w:type="page"/>
      </w:r>
    </w:p>
    <w:p w14:paraId="779925F9" w14:textId="1CA80685" w:rsidR="002E4D87" w:rsidRDefault="002E4D87" w:rsidP="00575B41">
      <w:pPr>
        <w:spacing w:after="240" w:line="276" w:lineRule="auto"/>
      </w:pPr>
      <w:r>
        <w:lastRenderedPageBreak/>
        <w:t>For exhaust retrofit</w:t>
      </w:r>
      <w:r w:rsidR="00DC4D0E">
        <w:t>s</w:t>
      </w:r>
      <w:r>
        <w:t>, aerodynamic</w:t>
      </w:r>
      <w:r w:rsidR="00DC4D0E">
        <w:t xml:space="preserve"> devices</w:t>
      </w:r>
      <w:r>
        <w:t>, tire</w:t>
      </w:r>
      <w:r w:rsidR="00DC4D0E">
        <w:t>s</w:t>
      </w:r>
      <w:r>
        <w:t>, and idle</w:t>
      </w:r>
      <w:r w:rsidR="00DC4D0E">
        <w:t>-</w:t>
      </w:r>
      <w:r>
        <w:t>reduction strategies, RRFs were determined from EPA’s Diesel Emission Quantifier tool.</w:t>
      </w:r>
      <w:r>
        <w:rPr>
          <w:rStyle w:val="FootnoteReference"/>
        </w:rPr>
        <w:footnoteReference w:id="7"/>
      </w:r>
      <w:r w:rsidR="00330080">
        <w:t xml:space="preserve"> </w:t>
      </w:r>
      <w:r>
        <w:t xml:space="preserve">These are listed </w:t>
      </w:r>
      <w:r w:rsidR="00DC4D0E">
        <w:t xml:space="preserve">in </w:t>
      </w:r>
      <w:r w:rsidR="00833B69">
        <w:fldChar w:fldCharType="begin"/>
      </w:r>
      <w:r w:rsidR="00DC4D0E">
        <w:instrText xml:space="preserve"> REF _Ref459898823 \h </w:instrText>
      </w:r>
      <w:r w:rsidR="00833B69">
        <w:fldChar w:fldCharType="separate"/>
      </w:r>
      <w:r w:rsidR="00C42F38">
        <w:t xml:space="preserve">Table </w:t>
      </w:r>
      <w:r w:rsidR="00C42F38">
        <w:rPr>
          <w:noProof/>
        </w:rPr>
        <w:t>21</w:t>
      </w:r>
      <w:r w:rsidR="00833B69">
        <w:fldChar w:fldCharType="end"/>
      </w:r>
      <w:r>
        <w:t>.</w:t>
      </w:r>
    </w:p>
    <w:p w14:paraId="4952B140" w14:textId="53567DBB" w:rsidR="00DC4D0E" w:rsidRDefault="00DC4D0E" w:rsidP="00DC4D0E">
      <w:pPr>
        <w:pStyle w:val="TableCaption"/>
      </w:pPr>
      <w:bookmarkStart w:id="83" w:name="_Ref459898823"/>
      <w:bookmarkStart w:id="84" w:name="_Toc482973601"/>
      <w:r>
        <w:t xml:space="preserve">Table </w:t>
      </w:r>
      <w:r w:rsidR="00833B69">
        <w:fldChar w:fldCharType="begin"/>
      </w:r>
      <w:r>
        <w:instrText xml:space="preserve"> SEQ Table \* ARABIC </w:instrText>
      </w:r>
      <w:r w:rsidR="00833B69">
        <w:fldChar w:fldCharType="separate"/>
      </w:r>
      <w:r w:rsidR="00305706">
        <w:t>21</w:t>
      </w:r>
      <w:r w:rsidR="00833B69">
        <w:fldChar w:fldCharType="end"/>
      </w:r>
      <w:bookmarkEnd w:id="83"/>
      <w:r>
        <w:t xml:space="preserve">. RRFs for Other </w:t>
      </w:r>
      <w:r w:rsidR="00652358">
        <w:t>Strategy Types</w:t>
      </w:r>
      <w:bookmarkEnd w:id="84"/>
    </w:p>
    <w:tbl>
      <w:tblPr>
        <w:tblStyle w:val="ListTable3-Accent11"/>
        <w:tblW w:w="9643" w:type="dxa"/>
        <w:jc w:val="center"/>
        <w:tblLayout w:type="fixed"/>
        <w:tblLook w:val="04A0" w:firstRow="1" w:lastRow="0" w:firstColumn="1" w:lastColumn="0" w:noHBand="0" w:noVBand="1"/>
      </w:tblPr>
      <w:tblGrid>
        <w:gridCol w:w="1345"/>
        <w:gridCol w:w="2160"/>
        <w:gridCol w:w="2430"/>
        <w:gridCol w:w="927"/>
        <w:gridCol w:w="927"/>
        <w:gridCol w:w="927"/>
        <w:gridCol w:w="927"/>
      </w:tblGrid>
      <w:tr w:rsidR="00F919E1" w:rsidRPr="00AF154D" w14:paraId="58666981" w14:textId="77777777" w:rsidTr="00DC4D0E">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100" w:firstRow="0" w:lastRow="0" w:firstColumn="1" w:lastColumn="0" w:oddVBand="0" w:evenVBand="0" w:oddHBand="0" w:evenHBand="0" w:firstRowFirstColumn="1" w:firstRowLastColumn="0" w:lastRowFirstColumn="0" w:lastRowLastColumn="0"/>
            <w:tcW w:w="1345" w:type="dxa"/>
            <w:tcBorders>
              <w:top w:val="single" w:sz="4" w:space="0" w:color="0067AB" w:themeColor="accent1"/>
              <w:bottom w:val="single" w:sz="4" w:space="0" w:color="0067AB" w:themeColor="accent1"/>
              <w:right w:val="single" w:sz="4" w:space="0" w:color="FFFFFF" w:themeColor="background1"/>
            </w:tcBorders>
            <w:vAlign w:val="bottom"/>
          </w:tcPr>
          <w:p w14:paraId="0466BE65" w14:textId="77777777" w:rsidR="002E4D87" w:rsidRPr="00F919E1" w:rsidRDefault="002E4D87" w:rsidP="000843AE">
            <w:pPr>
              <w:keepNext/>
              <w:jc w:val="center"/>
              <w:rPr>
                <w:rFonts w:asciiTheme="minorHAnsi" w:hAnsiTheme="minorHAnsi"/>
                <w:sz w:val="18"/>
                <w:szCs w:val="18"/>
              </w:rPr>
            </w:pPr>
            <w:r w:rsidRPr="00F919E1">
              <w:rPr>
                <w:rFonts w:asciiTheme="minorHAnsi" w:hAnsiTheme="minorHAnsi"/>
                <w:sz w:val="18"/>
                <w:szCs w:val="18"/>
              </w:rPr>
              <w:t>Strategy Type</w:t>
            </w:r>
          </w:p>
        </w:tc>
        <w:tc>
          <w:tcPr>
            <w:tcW w:w="2160" w:type="dxa"/>
            <w:tcBorders>
              <w:top w:val="single" w:sz="4" w:space="0" w:color="0067AB" w:themeColor="accent1"/>
              <w:left w:val="single" w:sz="4" w:space="0" w:color="FFFFFF" w:themeColor="background1"/>
              <w:bottom w:val="single" w:sz="4" w:space="0" w:color="0067AB" w:themeColor="accent1"/>
              <w:right w:val="single" w:sz="4" w:space="0" w:color="FFFFFF" w:themeColor="background1"/>
            </w:tcBorders>
            <w:vAlign w:val="bottom"/>
          </w:tcPr>
          <w:p w14:paraId="74A2C982" w14:textId="77777777" w:rsidR="002E4D87" w:rsidRPr="00F919E1" w:rsidRDefault="002E4D87" w:rsidP="000843AE">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Modification</w:t>
            </w:r>
          </w:p>
        </w:tc>
        <w:tc>
          <w:tcPr>
            <w:tcW w:w="2430" w:type="dxa"/>
            <w:tcBorders>
              <w:top w:val="single" w:sz="4" w:space="0" w:color="0067AB" w:themeColor="accent1"/>
              <w:left w:val="single" w:sz="4" w:space="0" w:color="FFFFFF" w:themeColor="background1"/>
              <w:bottom w:val="single" w:sz="4" w:space="0" w:color="0067AB" w:themeColor="accent1"/>
              <w:right w:val="single" w:sz="4" w:space="0" w:color="FFFFFF" w:themeColor="background1"/>
            </w:tcBorders>
            <w:vAlign w:val="bottom"/>
          </w:tcPr>
          <w:p w14:paraId="24196F7F" w14:textId="77777777" w:rsidR="002E4D87" w:rsidRPr="00F919E1" w:rsidRDefault="002E4D87" w:rsidP="000843AE">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Truck Type</w:t>
            </w:r>
          </w:p>
        </w:tc>
        <w:tc>
          <w:tcPr>
            <w:tcW w:w="927" w:type="dxa"/>
            <w:tcBorders>
              <w:top w:val="single" w:sz="4" w:space="0" w:color="0067AB" w:themeColor="accent1"/>
              <w:left w:val="single" w:sz="4" w:space="0" w:color="FFFFFF" w:themeColor="background1"/>
              <w:bottom w:val="single" w:sz="4" w:space="0" w:color="0067AB" w:themeColor="accent1"/>
              <w:right w:val="single" w:sz="4" w:space="0" w:color="FFFFFF" w:themeColor="background1"/>
            </w:tcBorders>
            <w:vAlign w:val="bottom"/>
          </w:tcPr>
          <w:p w14:paraId="7ED72AEF" w14:textId="77777777" w:rsidR="002E4D87" w:rsidRPr="00F919E1" w:rsidRDefault="002E4D87" w:rsidP="000843AE">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NOx</w:t>
            </w:r>
          </w:p>
        </w:tc>
        <w:tc>
          <w:tcPr>
            <w:tcW w:w="927" w:type="dxa"/>
            <w:tcBorders>
              <w:top w:val="single" w:sz="4" w:space="0" w:color="0067AB" w:themeColor="accent1"/>
              <w:left w:val="single" w:sz="4" w:space="0" w:color="FFFFFF" w:themeColor="background1"/>
              <w:bottom w:val="single" w:sz="4" w:space="0" w:color="0067AB" w:themeColor="accent1"/>
              <w:right w:val="single" w:sz="4" w:space="0" w:color="FFFFFF" w:themeColor="background1"/>
            </w:tcBorders>
            <w:vAlign w:val="bottom"/>
          </w:tcPr>
          <w:p w14:paraId="1F96FDD3" w14:textId="77777777" w:rsidR="002E4D87" w:rsidRPr="00F919E1" w:rsidRDefault="002E4D87" w:rsidP="000843AE">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PM</w:t>
            </w:r>
          </w:p>
        </w:tc>
        <w:tc>
          <w:tcPr>
            <w:tcW w:w="927" w:type="dxa"/>
            <w:tcBorders>
              <w:top w:val="single" w:sz="4" w:space="0" w:color="0067AB" w:themeColor="accent1"/>
              <w:left w:val="single" w:sz="4" w:space="0" w:color="FFFFFF" w:themeColor="background1"/>
              <w:bottom w:val="single" w:sz="4" w:space="0" w:color="0067AB" w:themeColor="accent1"/>
              <w:right w:val="single" w:sz="4" w:space="0" w:color="FFFFFF" w:themeColor="background1"/>
            </w:tcBorders>
            <w:vAlign w:val="bottom"/>
          </w:tcPr>
          <w:p w14:paraId="7E9449CF" w14:textId="77777777" w:rsidR="002E4D87" w:rsidRPr="00F919E1" w:rsidRDefault="002E4D87" w:rsidP="000843AE">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CO</w:t>
            </w:r>
            <w:r w:rsidRPr="00F919E1">
              <w:rPr>
                <w:rFonts w:asciiTheme="minorHAnsi" w:hAnsiTheme="minorHAnsi"/>
                <w:sz w:val="18"/>
                <w:szCs w:val="18"/>
                <w:vertAlign w:val="subscript"/>
              </w:rPr>
              <w:t>2</w:t>
            </w:r>
          </w:p>
        </w:tc>
        <w:tc>
          <w:tcPr>
            <w:tcW w:w="927" w:type="dxa"/>
            <w:tcBorders>
              <w:top w:val="single" w:sz="4" w:space="0" w:color="0067AB" w:themeColor="accent1"/>
              <w:left w:val="single" w:sz="4" w:space="0" w:color="FFFFFF" w:themeColor="background1"/>
              <w:bottom w:val="single" w:sz="4" w:space="0" w:color="0067AB" w:themeColor="accent1"/>
            </w:tcBorders>
            <w:vAlign w:val="bottom"/>
          </w:tcPr>
          <w:p w14:paraId="19E09951" w14:textId="77777777" w:rsidR="002E4D87" w:rsidRPr="00F919E1" w:rsidRDefault="002E4D87" w:rsidP="000843AE">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Fuel</w:t>
            </w:r>
          </w:p>
        </w:tc>
      </w:tr>
      <w:tr w:rsidR="00F919E1" w:rsidRPr="00AF154D" w14:paraId="2A981214" w14:textId="77777777" w:rsidTr="00DC4D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345" w:type="dxa"/>
            <w:vMerge w:val="restart"/>
            <w:tcBorders>
              <w:right w:val="single" w:sz="4" w:space="0" w:color="0067AB" w:themeColor="accent1"/>
            </w:tcBorders>
            <w:vAlign w:val="center"/>
          </w:tcPr>
          <w:p w14:paraId="6BEA52BA" w14:textId="77777777" w:rsidR="002E4D87" w:rsidRPr="00F919E1" w:rsidRDefault="002E4D87" w:rsidP="00DC4D0E">
            <w:pPr>
              <w:keepNext/>
              <w:rPr>
                <w:rFonts w:asciiTheme="minorHAnsi" w:hAnsiTheme="minorHAnsi"/>
                <w:b w:val="0"/>
                <w:sz w:val="18"/>
                <w:szCs w:val="18"/>
              </w:rPr>
            </w:pPr>
            <w:r w:rsidRPr="00F919E1">
              <w:rPr>
                <w:rFonts w:asciiTheme="minorHAnsi" w:hAnsiTheme="minorHAnsi"/>
                <w:b w:val="0"/>
                <w:sz w:val="18"/>
                <w:szCs w:val="18"/>
              </w:rPr>
              <w:t>Exhaust Retrofit</w:t>
            </w:r>
          </w:p>
        </w:tc>
        <w:tc>
          <w:tcPr>
            <w:tcW w:w="2160" w:type="dxa"/>
            <w:tcBorders>
              <w:left w:val="single" w:sz="4" w:space="0" w:color="0067AB" w:themeColor="accent1"/>
              <w:right w:val="single" w:sz="4" w:space="0" w:color="0067AB" w:themeColor="accent1"/>
            </w:tcBorders>
            <w:vAlign w:val="center"/>
          </w:tcPr>
          <w:p w14:paraId="177493BF" w14:textId="77777777" w:rsidR="002E4D87" w:rsidRPr="00F919E1" w:rsidRDefault="002E4D87" w:rsidP="00DC4D0E">
            <w:pPr>
              <w:keepNex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DOC</w:t>
            </w:r>
          </w:p>
        </w:tc>
        <w:tc>
          <w:tcPr>
            <w:tcW w:w="2430" w:type="dxa"/>
            <w:tcBorders>
              <w:left w:val="single" w:sz="4" w:space="0" w:color="0067AB" w:themeColor="accent1"/>
              <w:right w:val="single" w:sz="4" w:space="0" w:color="0067AB" w:themeColor="accent1"/>
            </w:tcBorders>
            <w:vAlign w:val="center"/>
          </w:tcPr>
          <w:p w14:paraId="6E54C8B2" w14:textId="77777777" w:rsidR="002E4D87" w:rsidRPr="00F919E1" w:rsidRDefault="002E4D87" w:rsidP="00DC4D0E">
            <w:pPr>
              <w:keepNex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All Diesel MY 1991-2003</w:t>
            </w:r>
          </w:p>
        </w:tc>
        <w:tc>
          <w:tcPr>
            <w:tcW w:w="927" w:type="dxa"/>
            <w:tcBorders>
              <w:left w:val="single" w:sz="4" w:space="0" w:color="0067AB" w:themeColor="accent1"/>
              <w:right w:val="single" w:sz="4" w:space="0" w:color="0067AB" w:themeColor="accent1"/>
            </w:tcBorders>
            <w:vAlign w:val="center"/>
          </w:tcPr>
          <w:p w14:paraId="45A44B5A" w14:textId="77777777" w:rsidR="002E4D87" w:rsidRPr="00F919E1" w:rsidRDefault="002E4D87" w:rsidP="000843A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F919E1">
              <w:rPr>
                <w:rFonts w:asciiTheme="minorHAnsi" w:hAnsiTheme="minorHAnsi"/>
                <w:color w:val="000000"/>
                <w:sz w:val="18"/>
                <w:szCs w:val="18"/>
              </w:rPr>
              <w:t>0%</w:t>
            </w:r>
          </w:p>
        </w:tc>
        <w:tc>
          <w:tcPr>
            <w:tcW w:w="927" w:type="dxa"/>
            <w:tcBorders>
              <w:left w:val="single" w:sz="4" w:space="0" w:color="0067AB" w:themeColor="accent1"/>
              <w:right w:val="single" w:sz="4" w:space="0" w:color="0067AB" w:themeColor="accent1"/>
            </w:tcBorders>
            <w:vAlign w:val="center"/>
          </w:tcPr>
          <w:p w14:paraId="4AEB8ABF" w14:textId="77777777" w:rsidR="002E4D87" w:rsidRPr="00F919E1" w:rsidRDefault="002E4D87" w:rsidP="000843A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F919E1">
              <w:rPr>
                <w:rFonts w:asciiTheme="minorHAnsi" w:hAnsiTheme="minorHAnsi"/>
                <w:color w:val="000000"/>
                <w:sz w:val="18"/>
                <w:szCs w:val="18"/>
              </w:rPr>
              <w:t>25%</w:t>
            </w:r>
          </w:p>
        </w:tc>
        <w:tc>
          <w:tcPr>
            <w:tcW w:w="927" w:type="dxa"/>
            <w:tcBorders>
              <w:left w:val="single" w:sz="4" w:space="0" w:color="0067AB" w:themeColor="accent1"/>
              <w:right w:val="single" w:sz="4" w:space="0" w:color="0067AB" w:themeColor="accent1"/>
            </w:tcBorders>
            <w:vAlign w:val="center"/>
          </w:tcPr>
          <w:p w14:paraId="49368D10" w14:textId="77777777" w:rsidR="002E4D87" w:rsidRPr="00F919E1" w:rsidRDefault="002E4D87" w:rsidP="000843A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F919E1">
              <w:rPr>
                <w:rFonts w:asciiTheme="minorHAnsi" w:hAnsiTheme="minorHAnsi"/>
                <w:color w:val="000000"/>
                <w:sz w:val="18"/>
                <w:szCs w:val="18"/>
              </w:rPr>
              <w:t>0%</w:t>
            </w:r>
          </w:p>
        </w:tc>
        <w:tc>
          <w:tcPr>
            <w:tcW w:w="927" w:type="dxa"/>
            <w:tcBorders>
              <w:left w:val="single" w:sz="4" w:space="0" w:color="0067AB" w:themeColor="accent1"/>
            </w:tcBorders>
            <w:vAlign w:val="center"/>
          </w:tcPr>
          <w:p w14:paraId="4CCE8A2F" w14:textId="77777777" w:rsidR="002E4D87" w:rsidRPr="00F919E1" w:rsidRDefault="002E4D87" w:rsidP="000843A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F919E1">
              <w:rPr>
                <w:rFonts w:asciiTheme="minorHAnsi" w:hAnsiTheme="minorHAnsi"/>
                <w:color w:val="000000"/>
                <w:sz w:val="18"/>
                <w:szCs w:val="18"/>
              </w:rPr>
              <w:t>0%</w:t>
            </w:r>
          </w:p>
        </w:tc>
      </w:tr>
      <w:tr w:rsidR="00F919E1" w:rsidRPr="00AF154D" w14:paraId="6F8924FB" w14:textId="77777777" w:rsidTr="00DC4D0E">
        <w:trPr>
          <w:trHeight w:val="288"/>
          <w:jc w:val="center"/>
        </w:trPr>
        <w:tc>
          <w:tcPr>
            <w:cnfStyle w:val="001000000000" w:firstRow="0" w:lastRow="0" w:firstColumn="1" w:lastColumn="0" w:oddVBand="0" w:evenVBand="0" w:oddHBand="0" w:evenHBand="0" w:firstRowFirstColumn="0" w:firstRowLastColumn="0" w:lastRowFirstColumn="0" w:lastRowLastColumn="0"/>
            <w:tcW w:w="1345" w:type="dxa"/>
            <w:vMerge/>
            <w:tcBorders>
              <w:top w:val="single" w:sz="4" w:space="0" w:color="0067AB" w:themeColor="accent1"/>
              <w:bottom w:val="single" w:sz="4" w:space="0" w:color="0067AB" w:themeColor="accent1"/>
              <w:right w:val="single" w:sz="4" w:space="0" w:color="0067AB" w:themeColor="accent1"/>
            </w:tcBorders>
            <w:vAlign w:val="center"/>
          </w:tcPr>
          <w:p w14:paraId="26FA5D69" w14:textId="77777777" w:rsidR="002E4D87" w:rsidRPr="00F919E1" w:rsidRDefault="002E4D87" w:rsidP="00DC4D0E">
            <w:pPr>
              <w:keepNext/>
              <w:rPr>
                <w:rFonts w:asciiTheme="minorHAnsi" w:hAnsiTheme="minorHAnsi"/>
                <w:b w:val="0"/>
                <w:sz w:val="18"/>
                <w:szCs w:val="18"/>
              </w:rPr>
            </w:pPr>
          </w:p>
        </w:tc>
        <w:tc>
          <w:tcPr>
            <w:tcW w:w="216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6DDE5E4F" w14:textId="77777777" w:rsidR="002E4D87" w:rsidRPr="00F919E1" w:rsidRDefault="002E4D87" w:rsidP="00DC4D0E">
            <w:pPr>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DPF</w:t>
            </w:r>
          </w:p>
        </w:tc>
        <w:tc>
          <w:tcPr>
            <w:tcW w:w="243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06D4DC63" w14:textId="77777777" w:rsidR="002E4D87" w:rsidRPr="00F919E1" w:rsidRDefault="002E4D87" w:rsidP="00DC4D0E">
            <w:pPr>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All Diesel MY 1994-2006</w:t>
            </w:r>
          </w:p>
        </w:tc>
        <w:tc>
          <w:tcPr>
            <w:tcW w:w="92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2F1773CB" w14:textId="77777777" w:rsidR="002E4D87" w:rsidRPr="00F919E1" w:rsidRDefault="002E4D87" w:rsidP="000843A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F919E1">
              <w:rPr>
                <w:rFonts w:asciiTheme="minorHAnsi" w:hAnsiTheme="minorHAnsi"/>
                <w:color w:val="000000"/>
                <w:sz w:val="18"/>
                <w:szCs w:val="18"/>
              </w:rPr>
              <w:t>0%</w:t>
            </w:r>
          </w:p>
        </w:tc>
        <w:tc>
          <w:tcPr>
            <w:tcW w:w="92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31C20492" w14:textId="77777777" w:rsidR="002E4D87" w:rsidRPr="00F919E1" w:rsidRDefault="002E4D87" w:rsidP="000843A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F919E1">
              <w:rPr>
                <w:rFonts w:asciiTheme="minorHAnsi" w:hAnsiTheme="minorHAnsi"/>
                <w:color w:val="000000"/>
                <w:sz w:val="18"/>
                <w:szCs w:val="18"/>
              </w:rPr>
              <w:t>85%</w:t>
            </w:r>
          </w:p>
        </w:tc>
        <w:tc>
          <w:tcPr>
            <w:tcW w:w="927"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7B361600" w14:textId="77777777" w:rsidR="002E4D87" w:rsidRPr="00F919E1" w:rsidRDefault="002E4D87" w:rsidP="000843A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F919E1">
              <w:rPr>
                <w:rFonts w:asciiTheme="minorHAnsi" w:hAnsiTheme="minorHAnsi"/>
                <w:color w:val="000000"/>
                <w:sz w:val="18"/>
                <w:szCs w:val="18"/>
              </w:rPr>
              <w:t>0%</w:t>
            </w:r>
          </w:p>
        </w:tc>
        <w:tc>
          <w:tcPr>
            <w:tcW w:w="927" w:type="dxa"/>
            <w:tcBorders>
              <w:top w:val="single" w:sz="4" w:space="0" w:color="0067AB" w:themeColor="accent1"/>
              <w:left w:val="single" w:sz="4" w:space="0" w:color="0067AB" w:themeColor="accent1"/>
              <w:bottom w:val="single" w:sz="4" w:space="0" w:color="0067AB" w:themeColor="accent1"/>
            </w:tcBorders>
            <w:vAlign w:val="center"/>
          </w:tcPr>
          <w:p w14:paraId="64F6EA58" w14:textId="77777777" w:rsidR="002E4D87" w:rsidRPr="00F919E1" w:rsidRDefault="002E4D87" w:rsidP="000843A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F919E1">
              <w:rPr>
                <w:rFonts w:asciiTheme="minorHAnsi" w:hAnsiTheme="minorHAnsi"/>
                <w:color w:val="000000"/>
                <w:sz w:val="18"/>
                <w:szCs w:val="18"/>
              </w:rPr>
              <w:t>0%</w:t>
            </w:r>
          </w:p>
        </w:tc>
      </w:tr>
      <w:tr w:rsidR="00F919E1" w:rsidRPr="003F6864" w14:paraId="5F4D0782" w14:textId="77777777" w:rsidTr="00DC4D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345" w:type="dxa"/>
            <w:vMerge w:val="restart"/>
            <w:tcBorders>
              <w:right w:val="single" w:sz="4" w:space="0" w:color="0067AB" w:themeColor="accent1"/>
            </w:tcBorders>
            <w:vAlign w:val="center"/>
          </w:tcPr>
          <w:p w14:paraId="18E17AA4" w14:textId="77777777" w:rsidR="002E4D87" w:rsidRPr="00F919E1" w:rsidRDefault="002E4D87" w:rsidP="00DC4D0E">
            <w:pPr>
              <w:keepNext/>
              <w:rPr>
                <w:rFonts w:asciiTheme="minorHAnsi" w:hAnsiTheme="minorHAnsi"/>
                <w:b w:val="0"/>
                <w:sz w:val="18"/>
                <w:szCs w:val="18"/>
              </w:rPr>
            </w:pPr>
            <w:r w:rsidRPr="00F919E1">
              <w:rPr>
                <w:rFonts w:asciiTheme="minorHAnsi" w:hAnsiTheme="minorHAnsi"/>
                <w:b w:val="0"/>
                <w:sz w:val="18"/>
                <w:szCs w:val="18"/>
              </w:rPr>
              <w:t>Aerodynamic Devices</w:t>
            </w:r>
          </w:p>
        </w:tc>
        <w:tc>
          <w:tcPr>
            <w:tcW w:w="2160" w:type="dxa"/>
            <w:vMerge w:val="restart"/>
            <w:tcBorders>
              <w:left w:val="single" w:sz="4" w:space="0" w:color="0067AB" w:themeColor="accent1"/>
              <w:right w:val="single" w:sz="4" w:space="0" w:color="0067AB" w:themeColor="accent1"/>
            </w:tcBorders>
            <w:vAlign w:val="center"/>
          </w:tcPr>
          <w:p w14:paraId="1D2AAA11" w14:textId="77777777" w:rsidR="002E4D87" w:rsidRPr="00F919E1" w:rsidRDefault="002E4D87" w:rsidP="00DC4D0E">
            <w:pPr>
              <w:keepNex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Boat Tail</w:t>
            </w:r>
          </w:p>
        </w:tc>
        <w:tc>
          <w:tcPr>
            <w:tcW w:w="2430" w:type="dxa"/>
            <w:tcBorders>
              <w:left w:val="single" w:sz="4" w:space="0" w:color="0067AB" w:themeColor="accent1"/>
              <w:right w:val="single" w:sz="4" w:space="0" w:color="0067AB" w:themeColor="accent1"/>
            </w:tcBorders>
            <w:vAlign w:val="center"/>
          </w:tcPr>
          <w:p w14:paraId="08CB0268" w14:textId="6CA34FBB" w:rsidR="002E4D87" w:rsidRPr="00F919E1" w:rsidRDefault="002E4D87" w:rsidP="00DC4D0E">
            <w:pPr>
              <w:keepNex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Single</w:t>
            </w:r>
            <w:r w:rsidR="007B1EA8">
              <w:rPr>
                <w:rFonts w:asciiTheme="minorHAnsi" w:hAnsiTheme="minorHAnsi"/>
                <w:sz w:val="18"/>
                <w:szCs w:val="18"/>
              </w:rPr>
              <w:t xml:space="preserve"> unit</w:t>
            </w:r>
            <w:r w:rsidRPr="00F919E1">
              <w:rPr>
                <w:rFonts w:asciiTheme="minorHAnsi" w:hAnsiTheme="minorHAnsi"/>
                <w:sz w:val="18"/>
                <w:szCs w:val="18"/>
              </w:rPr>
              <w:t xml:space="preserve"> Long Haul</w:t>
            </w:r>
          </w:p>
        </w:tc>
        <w:tc>
          <w:tcPr>
            <w:tcW w:w="927" w:type="dxa"/>
            <w:tcBorders>
              <w:left w:val="single" w:sz="4" w:space="0" w:color="0067AB" w:themeColor="accent1"/>
              <w:right w:val="single" w:sz="4" w:space="0" w:color="0067AB" w:themeColor="accent1"/>
            </w:tcBorders>
            <w:vAlign w:val="center"/>
          </w:tcPr>
          <w:p w14:paraId="6F27F40B" w14:textId="77777777" w:rsidR="002E4D87" w:rsidRPr="00F919E1" w:rsidRDefault="002E4D87" w:rsidP="000843A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0%</w:t>
            </w:r>
          </w:p>
        </w:tc>
        <w:tc>
          <w:tcPr>
            <w:tcW w:w="927" w:type="dxa"/>
            <w:tcBorders>
              <w:left w:val="single" w:sz="4" w:space="0" w:color="0067AB" w:themeColor="accent1"/>
              <w:right w:val="single" w:sz="4" w:space="0" w:color="0067AB" w:themeColor="accent1"/>
            </w:tcBorders>
            <w:vAlign w:val="center"/>
          </w:tcPr>
          <w:p w14:paraId="6ACA46E6" w14:textId="77777777" w:rsidR="002E4D87" w:rsidRPr="00F919E1" w:rsidRDefault="002E4D87" w:rsidP="000843A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0%</w:t>
            </w:r>
          </w:p>
        </w:tc>
        <w:tc>
          <w:tcPr>
            <w:tcW w:w="927" w:type="dxa"/>
            <w:tcBorders>
              <w:left w:val="single" w:sz="4" w:space="0" w:color="0067AB" w:themeColor="accent1"/>
              <w:right w:val="single" w:sz="4" w:space="0" w:color="0067AB" w:themeColor="accent1"/>
            </w:tcBorders>
            <w:vAlign w:val="center"/>
          </w:tcPr>
          <w:p w14:paraId="6D0EDDF6" w14:textId="77777777" w:rsidR="002E4D87" w:rsidRPr="00F919E1" w:rsidRDefault="002E4D87" w:rsidP="000843A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2.7%</w:t>
            </w:r>
          </w:p>
        </w:tc>
        <w:tc>
          <w:tcPr>
            <w:tcW w:w="927" w:type="dxa"/>
            <w:tcBorders>
              <w:left w:val="single" w:sz="4" w:space="0" w:color="0067AB" w:themeColor="accent1"/>
            </w:tcBorders>
            <w:vAlign w:val="center"/>
          </w:tcPr>
          <w:p w14:paraId="6E6622AC" w14:textId="77777777" w:rsidR="002E4D87" w:rsidRPr="00F919E1" w:rsidRDefault="002E4D87" w:rsidP="000843A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2.7%</w:t>
            </w:r>
          </w:p>
        </w:tc>
      </w:tr>
      <w:tr w:rsidR="00F919E1" w:rsidRPr="003F6864" w14:paraId="6F72E3F6" w14:textId="77777777" w:rsidTr="00DC4D0E">
        <w:trPr>
          <w:trHeight w:val="288"/>
          <w:jc w:val="center"/>
        </w:trPr>
        <w:tc>
          <w:tcPr>
            <w:cnfStyle w:val="001000000000" w:firstRow="0" w:lastRow="0" w:firstColumn="1" w:lastColumn="0" w:oddVBand="0" w:evenVBand="0" w:oddHBand="0" w:evenHBand="0" w:firstRowFirstColumn="0" w:firstRowLastColumn="0" w:lastRowFirstColumn="0" w:lastRowLastColumn="0"/>
            <w:tcW w:w="1345" w:type="dxa"/>
            <w:vMerge/>
            <w:tcBorders>
              <w:right w:val="single" w:sz="4" w:space="0" w:color="0067AB" w:themeColor="accent1"/>
            </w:tcBorders>
            <w:vAlign w:val="center"/>
          </w:tcPr>
          <w:p w14:paraId="2925FD24" w14:textId="77777777" w:rsidR="002E4D87" w:rsidRPr="00F919E1" w:rsidRDefault="002E4D87" w:rsidP="00DC4D0E">
            <w:pPr>
              <w:rPr>
                <w:rFonts w:asciiTheme="minorHAnsi" w:hAnsiTheme="minorHAnsi"/>
                <w:b w:val="0"/>
                <w:sz w:val="18"/>
                <w:szCs w:val="18"/>
              </w:rPr>
            </w:pPr>
          </w:p>
        </w:tc>
        <w:tc>
          <w:tcPr>
            <w:tcW w:w="2160" w:type="dxa"/>
            <w:vMerge/>
            <w:tcBorders>
              <w:left w:val="single" w:sz="4" w:space="0" w:color="0067AB" w:themeColor="accent1"/>
              <w:right w:val="single" w:sz="4" w:space="0" w:color="0067AB" w:themeColor="accent1"/>
            </w:tcBorders>
            <w:vAlign w:val="center"/>
          </w:tcPr>
          <w:p w14:paraId="316D0BAC" w14:textId="77777777" w:rsidR="002E4D87" w:rsidRPr="00F919E1" w:rsidRDefault="002E4D87" w:rsidP="00DC4D0E">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18"/>
                <w:szCs w:val="18"/>
              </w:rPr>
            </w:pPr>
          </w:p>
        </w:tc>
        <w:tc>
          <w:tcPr>
            <w:tcW w:w="2430" w:type="dxa"/>
            <w:tcBorders>
              <w:left w:val="single" w:sz="4" w:space="0" w:color="0067AB" w:themeColor="accent1"/>
              <w:right w:val="single" w:sz="4" w:space="0" w:color="0067AB" w:themeColor="accent1"/>
            </w:tcBorders>
            <w:vAlign w:val="center"/>
          </w:tcPr>
          <w:p w14:paraId="3F6584CD" w14:textId="5036AFC5" w:rsidR="002E4D87" w:rsidRPr="00F919E1" w:rsidRDefault="002E4D87" w:rsidP="00DC4D0E">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18"/>
                <w:szCs w:val="18"/>
              </w:rPr>
            </w:pPr>
            <w:r w:rsidRPr="00F919E1">
              <w:rPr>
                <w:rFonts w:asciiTheme="minorHAnsi" w:hAnsiTheme="minorHAnsi"/>
                <w:bCs/>
                <w:sz w:val="18"/>
                <w:szCs w:val="18"/>
              </w:rPr>
              <w:t>Combination</w:t>
            </w:r>
            <w:r w:rsidR="007B1EA8">
              <w:rPr>
                <w:rFonts w:asciiTheme="minorHAnsi" w:hAnsiTheme="minorHAnsi"/>
                <w:bCs/>
                <w:sz w:val="18"/>
                <w:szCs w:val="18"/>
              </w:rPr>
              <w:t xml:space="preserve"> unit</w:t>
            </w:r>
            <w:r w:rsidRPr="00F919E1">
              <w:rPr>
                <w:rFonts w:asciiTheme="minorHAnsi" w:hAnsiTheme="minorHAnsi"/>
                <w:bCs/>
                <w:sz w:val="18"/>
                <w:szCs w:val="18"/>
              </w:rPr>
              <w:t xml:space="preserve"> Long Haul</w:t>
            </w:r>
          </w:p>
        </w:tc>
        <w:tc>
          <w:tcPr>
            <w:tcW w:w="927" w:type="dxa"/>
            <w:tcBorders>
              <w:left w:val="single" w:sz="4" w:space="0" w:color="0067AB" w:themeColor="accent1"/>
              <w:right w:val="single" w:sz="4" w:space="0" w:color="0067AB" w:themeColor="accent1"/>
            </w:tcBorders>
            <w:vAlign w:val="center"/>
          </w:tcPr>
          <w:p w14:paraId="34A4729B" w14:textId="77777777" w:rsidR="002E4D87" w:rsidRPr="00F919E1" w:rsidRDefault="002E4D87" w:rsidP="00F919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18"/>
                <w:szCs w:val="18"/>
              </w:rPr>
            </w:pPr>
            <w:r w:rsidRPr="00F919E1">
              <w:rPr>
                <w:rFonts w:asciiTheme="minorHAnsi" w:hAnsiTheme="minorHAnsi"/>
                <w:bCs/>
                <w:sz w:val="18"/>
                <w:szCs w:val="18"/>
              </w:rPr>
              <w:t>0%</w:t>
            </w:r>
          </w:p>
        </w:tc>
        <w:tc>
          <w:tcPr>
            <w:tcW w:w="927" w:type="dxa"/>
            <w:tcBorders>
              <w:left w:val="single" w:sz="4" w:space="0" w:color="0067AB" w:themeColor="accent1"/>
              <w:right w:val="single" w:sz="4" w:space="0" w:color="0067AB" w:themeColor="accent1"/>
            </w:tcBorders>
            <w:vAlign w:val="center"/>
          </w:tcPr>
          <w:p w14:paraId="23CD7EC0" w14:textId="77777777" w:rsidR="002E4D87" w:rsidRPr="00F919E1" w:rsidRDefault="002E4D87" w:rsidP="00F919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18"/>
                <w:szCs w:val="18"/>
              </w:rPr>
            </w:pPr>
            <w:r w:rsidRPr="00F919E1">
              <w:rPr>
                <w:rFonts w:asciiTheme="minorHAnsi" w:hAnsiTheme="minorHAnsi"/>
                <w:bCs/>
                <w:sz w:val="18"/>
                <w:szCs w:val="18"/>
              </w:rPr>
              <w:t>0%</w:t>
            </w:r>
          </w:p>
        </w:tc>
        <w:tc>
          <w:tcPr>
            <w:tcW w:w="927" w:type="dxa"/>
            <w:tcBorders>
              <w:left w:val="single" w:sz="4" w:space="0" w:color="0067AB" w:themeColor="accent1"/>
              <w:right w:val="single" w:sz="4" w:space="0" w:color="0067AB" w:themeColor="accent1"/>
            </w:tcBorders>
            <w:vAlign w:val="center"/>
          </w:tcPr>
          <w:p w14:paraId="1D844872" w14:textId="77777777" w:rsidR="002E4D87" w:rsidRPr="00F919E1" w:rsidRDefault="002E4D87" w:rsidP="00F919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18"/>
                <w:szCs w:val="18"/>
              </w:rPr>
            </w:pPr>
            <w:r w:rsidRPr="00F919E1">
              <w:rPr>
                <w:rFonts w:asciiTheme="minorHAnsi" w:hAnsiTheme="minorHAnsi"/>
                <w:bCs/>
                <w:sz w:val="18"/>
                <w:szCs w:val="18"/>
              </w:rPr>
              <w:t>2.7%</w:t>
            </w:r>
          </w:p>
        </w:tc>
        <w:tc>
          <w:tcPr>
            <w:tcW w:w="927" w:type="dxa"/>
            <w:tcBorders>
              <w:left w:val="single" w:sz="4" w:space="0" w:color="0067AB" w:themeColor="accent1"/>
            </w:tcBorders>
            <w:vAlign w:val="center"/>
          </w:tcPr>
          <w:p w14:paraId="76DBF5D5" w14:textId="77777777" w:rsidR="002E4D87" w:rsidRPr="00F919E1" w:rsidRDefault="002E4D87" w:rsidP="00F919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18"/>
                <w:szCs w:val="18"/>
              </w:rPr>
            </w:pPr>
            <w:r w:rsidRPr="00F919E1">
              <w:rPr>
                <w:rFonts w:asciiTheme="minorHAnsi" w:hAnsiTheme="minorHAnsi"/>
                <w:bCs/>
                <w:sz w:val="18"/>
                <w:szCs w:val="18"/>
              </w:rPr>
              <w:t>2.7%</w:t>
            </w:r>
          </w:p>
        </w:tc>
      </w:tr>
      <w:tr w:rsidR="00F919E1" w:rsidRPr="003F6864" w14:paraId="5115CB89" w14:textId="77777777" w:rsidTr="00DC4D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345" w:type="dxa"/>
            <w:vMerge/>
            <w:tcBorders>
              <w:right w:val="single" w:sz="4" w:space="0" w:color="0067AB" w:themeColor="accent1"/>
            </w:tcBorders>
            <w:vAlign w:val="center"/>
          </w:tcPr>
          <w:p w14:paraId="25A050AD" w14:textId="77777777" w:rsidR="002E4D87" w:rsidRPr="00F919E1" w:rsidRDefault="002E4D87" w:rsidP="00DC4D0E">
            <w:pPr>
              <w:rPr>
                <w:rFonts w:asciiTheme="minorHAnsi" w:hAnsiTheme="minorHAnsi"/>
                <w:b w:val="0"/>
                <w:sz w:val="18"/>
                <w:szCs w:val="18"/>
              </w:rPr>
            </w:pPr>
          </w:p>
        </w:tc>
        <w:tc>
          <w:tcPr>
            <w:tcW w:w="2160" w:type="dxa"/>
            <w:tcBorders>
              <w:left w:val="single" w:sz="4" w:space="0" w:color="0067AB" w:themeColor="accent1"/>
              <w:right w:val="single" w:sz="4" w:space="0" w:color="0067AB" w:themeColor="accent1"/>
            </w:tcBorders>
            <w:vAlign w:val="center"/>
          </w:tcPr>
          <w:p w14:paraId="1243BD84" w14:textId="77777777" w:rsidR="002E4D87" w:rsidRPr="00F919E1" w:rsidRDefault="002E4D87" w:rsidP="00DC4D0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Trailer Gap Fairing</w:t>
            </w:r>
          </w:p>
        </w:tc>
        <w:tc>
          <w:tcPr>
            <w:tcW w:w="2430" w:type="dxa"/>
            <w:tcBorders>
              <w:left w:val="single" w:sz="4" w:space="0" w:color="0067AB" w:themeColor="accent1"/>
              <w:right w:val="single" w:sz="4" w:space="0" w:color="0067AB" w:themeColor="accent1"/>
            </w:tcBorders>
            <w:vAlign w:val="center"/>
          </w:tcPr>
          <w:p w14:paraId="4BCA1B10" w14:textId="5D01F5B3" w:rsidR="002E4D87" w:rsidRPr="00F919E1" w:rsidRDefault="002E4D87" w:rsidP="00DC4D0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Combination</w:t>
            </w:r>
            <w:r w:rsidR="007B1EA8">
              <w:rPr>
                <w:rFonts w:asciiTheme="minorHAnsi" w:hAnsiTheme="minorHAnsi"/>
                <w:sz w:val="18"/>
                <w:szCs w:val="18"/>
              </w:rPr>
              <w:t xml:space="preserve"> unit</w:t>
            </w:r>
            <w:r w:rsidRPr="00F919E1">
              <w:rPr>
                <w:rFonts w:asciiTheme="minorHAnsi" w:hAnsiTheme="minorHAnsi"/>
                <w:sz w:val="18"/>
                <w:szCs w:val="18"/>
              </w:rPr>
              <w:t xml:space="preserve"> Long Haul</w:t>
            </w:r>
          </w:p>
        </w:tc>
        <w:tc>
          <w:tcPr>
            <w:tcW w:w="927" w:type="dxa"/>
            <w:tcBorders>
              <w:left w:val="single" w:sz="4" w:space="0" w:color="0067AB" w:themeColor="accent1"/>
              <w:right w:val="single" w:sz="4" w:space="0" w:color="0067AB" w:themeColor="accent1"/>
            </w:tcBorders>
            <w:vAlign w:val="center"/>
          </w:tcPr>
          <w:p w14:paraId="237D11CD" w14:textId="77777777" w:rsidR="002E4D87" w:rsidRPr="00F919E1" w:rsidRDefault="002E4D87" w:rsidP="00F919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0%</w:t>
            </w:r>
          </w:p>
        </w:tc>
        <w:tc>
          <w:tcPr>
            <w:tcW w:w="927" w:type="dxa"/>
            <w:tcBorders>
              <w:left w:val="single" w:sz="4" w:space="0" w:color="0067AB" w:themeColor="accent1"/>
              <w:right w:val="single" w:sz="4" w:space="0" w:color="0067AB" w:themeColor="accent1"/>
            </w:tcBorders>
            <w:vAlign w:val="center"/>
          </w:tcPr>
          <w:p w14:paraId="1020A8E9" w14:textId="77777777" w:rsidR="002E4D87" w:rsidRPr="00F919E1" w:rsidRDefault="002E4D87" w:rsidP="00F919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0%</w:t>
            </w:r>
          </w:p>
        </w:tc>
        <w:tc>
          <w:tcPr>
            <w:tcW w:w="927" w:type="dxa"/>
            <w:tcBorders>
              <w:left w:val="single" w:sz="4" w:space="0" w:color="0067AB" w:themeColor="accent1"/>
              <w:right w:val="single" w:sz="4" w:space="0" w:color="0067AB" w:themeColor="accent1"/>
            </w:tcBorders>
            <w:vAlign w:val="center"/>
          </w:tcPr>
          <w:p w14:paraId="4FFCB867" w14:textId="77777777" w:rsidR="002E4D87" w:rsidRPr="00F919E1" w:rsidRDefault="002E4D87" w:rsidP="00F919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2.0%</w:t>
            </w:r>
          </w:p>
        </w:tc>
        <w:tc>
          <w:tcPr>
            <w:tcW w:w="927" w:type="dxa"/>
            <w:tcBorders>
              <w:left w:val="single" w:sz="4" w:space="0" w:color="0067AB" w:themeColor="accent1"/>
            </w:tcBorders>
            <w:vAlign w:val="center"/>
          </w:tcPr>
          <w:p w14:paraId="2D3B2561" w14:textId="77777777" w:rsidR="002E4D87" w:rsidRPr="00F919E1" w:rsidRDefault="002E4D87" w:rsidP="00F919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2.0%</w:t>
            </w:r>
          </w:p>
        </w:tc>
      </w:tr>
      <w:tr w:rsidR="00F919E1" w:rsidRPr="003F6864" w14:paraId="254E8FEC" w14:textId="77777777" w:rsidTr="00DC4D0E">
        <w:trPr>
          <w:trHeight w:val="288"/>
          <w:jc w:val="center"/>
        </w:trPr>
        <w:tc>
          <w:tcPr>
            <w:cnfStyle w:val="001000000000" w:firstRow="0" w:lastRow="0" w:firstColumn="1" w:lastColumn="0" w:oddVBand="0" w:evenVBand="0" w:oddHBand="0" w:evenHBand="0" w:firstRowFirstColumn="0" w:firstRowLastColumn="0" w:lastRowFirstColumn="0" w:lastRowLastColumn="0"/>
            <w:tcW w:w="1345" w:type="dxa"/>
            <w:vMerge/>
            <w:tcBorders>
              <w:right w:val="single" w:sz="4" w:space="0" w:color="0067AB" w:themeColor="accent1"/>
            </w:tcBorders>
            <w:vAlign w:val="center"/>
          </w:tcPr>
          <w:p w14:paraId="4C2E23AE" w14:textId="77777777" w:rsidR="002E4D87" w:rsidRPr="00F919E1" w:rsidRDefault="002E4D87" w:rsidP="00DC4D0E">
            <w:pPr>
              <w:rPr>
                <w:rFonts w:asciiTheme="minorHAnsi" w:hAnsiTheme="minorHAnsi"/>
                <w:b w:val="0"/>
                <w:sz w:val="18"/>
                <w:szCs w:val="18"/>
              </w:rPr>
            </w:pPr>
          </w:p>
        </w:tc>
        <w:tc>
          <w:tcPr>
            <w:tcW w:w="2160" w:type="dxa"/>
            <w:vMerge w:val="restart"/>
            <w:tcBorders>
              <w:left w:val="single" w:sz="4" w:space="0" w:color="0067AB" w:themeColor="accent1"/>
              <w:right w:val="single" w:sz="4" w:space="0" w:color="0067AB" w:themeColor="accent1"/>
            </w:tcBorders>
            <w:vAlign w:val="center"/>
          </w:tcPr>
          <w:p w14:paraId="211BAD0B" w14:textId="77777777" w:rsidR="002E4D87" w:rsidRPr="00F919E1" w:rsidRDefault="002E4D87" w:rsidP="00DC4D0E">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18"/>
                <w:szCs w:val="18"/>
              </w:rPr>
            </w:pPr>
            <w:r w:rsidRPr="00F919E1">
              <w:rPr>
                <w:rFonts w:asciiTheme="minorHAnsi" w:hAnsiTheme="minorHAnsi"/>
                <w:bCs/>
                <w:sz w:val="18"/>
                <w:szCs w:val="18"/>
              </w:rPr>
              <w:t>Roof Fairing</w:t>
            </w:r>
          </w:p>
        </w:tc>
        <w:tc>
          <w:tcPr>
            <w:tcW w:w="2430" w:type="dxa"/>
            <w:tcBorders>
              <w:left w:val="single" w:sz="4" w:space="0" w:color="0067AB" w:themeColor="accent1"/>
              <w:right w:val="single" w:sz="4" w:space="0" w:color="0067AB" w:themeColor="accent1"/>
            </w:tcBorders>
            <w:vAlign w:val="center"/>
          </w:tcPr>
          <w:p w14:paraId="3DCA48E0" w14:textId="2404DBB9" w:rsidR="002E4D87" w:rsidRPr="00F919E1" w:rsidRDefault="002E4D87" w:rsidP="00DC4D0E">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18"/>
                <w:szCs w:val="18"/>
              </w:rPr>
            </w:pPr>
            <w:r w:rsidRPr="00F919E1">
              <w:rPr>
                <w:rFonts w:asciiTheme="minorHAnsi" w:hAnsiTheme="minorHAnsi"/>
                <w:bCs/>
                <w:sz w:val="18"/>
                <w:szCs w:val="18"/>
              </w:rPr>
              <w:t>Single</w:t>
            </w:r>
            <w:r w:rsidR="007B1EA8">
              <w:rPr>
                <w:rFonts w:asciiTheme="minorHAnsi" w:hAnsiTheme="minorHAnsi"/>
                <w:bCs/>
                <w:sz w:val="18"/>
                <w:szCs w:val="18"/>
              </w:rPr>
              <w:t xml:space="preserve"> unit</w:t>
            </w:r>
            <w:r w:rsidRPr="00F919E1">
              <w:rPr>
                <w:rFonts w:asciiTheme="minorHAnsi" w:hAnsiTheme="minorHAnsi"/>
                <w:bCs/>
                <w:sz w:val="18"/>
                <w:szCs w:val="18"/>
              </w:rPr>
              <w:t xml:space="preserve"> Long Haul</w:t>
            </w:r>
          </w:p>
        </w:tc>
        <w:tc>
          <w:tcPr>
            <w:tcW w:w="927" w:type="dxa"/>
            <w:tcBorders>
              <w:left w:val="single" w:sz="4" w:space="0" w:color="0067AB" w:themeColor="accent1"/>
              <w:right w:val="single" w:sz="4" w:space="0" w:color="0067AB" w:themeColor="accent1"/>
            </w:tcBorders>
            <w:vAlign w:val="center"/>
          </w:tcPr>
          <w:p w14:paraId="145A96F7" w14:textId="77777777" w:rsidR="002E4D87" w:rsidRPr="00F919E1" w:rsidRDefault="002E4D87" w:rsidP="00F919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18"/>
                <w:szCs w:val="18"/>
              </w:rPr>
            </w:pPr>
            <w:r w:rsidRPr="00F919E1">
              <w:rPr>
                <w:rFonts w:asciiTheme="minorHAnsi" w:hAnsiTheme="minorHAnsi"/>
                <w:bCs/>
                <w:sz w:val="18"/>
                <w:szCs w:val="18"/>
              </w:rPr>
              <w:t>0%</w:t>
            </w:r>
          </w:p>
        </w:tc>
        <w:tc>
          <w:tcPr>
            <w:tcW w:w="927" w:type="dxa"/>
            <w:tcBorders>
              <w:left w:val="single" w:sz="4" w:space="0" w:color="0067AB" w:themeColor="accent1"/>
              <w:right w:val="single" w:sz="4" w:space="0" w:color="0067AB" w:themeColor="accent1"/>
            </w:tcBorders>
            <w:vAlign w:val="center"/>
          </w:tcPr>
          <w:p w14:paraId="725E302F" w14:textId="77777777" w:rsidR="002E4D87" w:rsidRPr="00F919E1" w:rsidRDefault="002E4D87" w:rsidP="00F919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18"/>
                <w:szCs w:val="18"/>
              </w:rPr>
            </w:pPr>
            <w:r w:rsidRPr="00F919E1">
              <w:rPr>
                <w:rFonts w:asciiTheme="minorHAnsi" w:hAnsiTheme="minorHAnsi"/>
                <w:bCs/>
                <w:sz w:val="18"/>
                <w:szCs w:val="18"/>
              </w:rPr>
              <w:t>0%</w:t>
            </w:r>
          </w:p>
        </w:tc>
        <w:tc>
          <w:tcPr>
            <w:tcW w:w="927" w:type="dxa"/>
            <w:tcBorders>
              <w:left w:val="single" w:sz="4" w:space="0" w:color="0067AB" w:themeColor="accent1"/>
              <w:right w:val="single" w:sz="4" w:space="0" w:color="0067AB" w:themeColor="accent1"/>
            </w:tcBorders>
            <w:vAlign w:val="center"/>
          </w:tcPr>
          <w:p w14:paraId="226B6C98" w14:textId="77777777" w:rsidR="002E4D87" w:rsidRPr="00F919E1" w:rsidRDefault="002E4D87" w:rsidP="00F919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18"/>
                <w:szCs w:val="18"/>
              </w:rPr>
            </w:pPr>
            <w:r w:rsidRPr="00F919E1">
              <w:rPr>
                <w:rFonts w:asciiTheme="minorHAnsi" w:hAnsiTheme="minorHAnsi"/>
                <w:bCs/>
                <w:sz w:val="18"/>
                <w:szCs w:val="18"/>
              </w:rPr>
              <w:t>2.9%</w:t>
            </w:r>
          </w:p>
        </w:tc>
        <w:tc>
          <w:tcPr>
            <w:tcW w:w="927" w:type="dxa"/>
            <w:tcBorders>
              <w:left w:val="single" w:sz="4" w:space="0" w:color="0067AB" w:themeColor="accent1"/>
            </w:tcBorders>
            <w:vAlign w:val="center"/>
          </w:tcPr>
          <w:p w14:paraId="0E31BDE4" w14:textId="77777777" w:rsidR="002E4D87" w:rsidRPr="00F919E1" w:rsidRDefault="002E4D87" w:rsidP="00F919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18"/>
                <w:szCs w:val="18"/>
              </w:rPr>
            </w:pPr>
            <w:r w:rsidRPr="00F919E1">
              <w:rPr>
                <w:rFonts w:asciiTheme="minorHAnsi" w:hAnsiTheme="minorHAnsi"/>
                <w:bCs/>
                <w:sz w:val="18"/>
                <w:szCs w:val="18"/>
              </w:rPr>
              <w:t>2.9%</w:t>
            </w:r>
          </w:p>
        </w:tc>
      </w:tr>
      <w:tr w:rsidR="00F919E1" w:rsidRPr="00AF154D" w14:paraId="1470E73B" w14:textId="77777777" w:rsidTr="00DC4D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345" w:type="dxa"/>
            <w:vMerge/>
            <w:tcBorders>
              <w:right w:val="single" w:sz="4" w:space="0" w:color="0067AB" w:themeColor="accent1"/>
            </w:tcBorders>
            <w:vAlign w:val="center"/>
          </w:tcPr>
          <w:p w14:paraId="51F41E22" w14:textId="77777777" w:rsidR="002E4D87" w:rsidRPr="00F919E1" w:rsidRDefault="002E4D87" w:rsidP="00DC4D0E">
            <w:pPr>
              <w:rPr>
                <w:rFonts w:asciiTheme="minorHAnsi" w:hAnsiTheme="minorHAnsi"/>
                <w:b w:val="0"/>
                <w:sz w:val="18"/>
                <w:szCs w:val="18"/>
              </w:rPr>
            </w:pPr>
          </w:p>
        </w:tc>
        <w:tc>
          <w:tcPr>
            <w:tcW w:w="2160" w:type="dxa"/>
            <w:vMerge/>
            <w:tcBorders>
              <w:left w:val="single" w:sz="4" w:space="0" w:color="0067AB" w:themeColor="accent1"/>
              <w:right w:val="single" w:sz="4" w:space="0" w:color="0067AB" w:themeColor="accent1"/>
            </w:tcBorders>
            <w:vAlign w:val="center"/>
          </w:tcPr>
          <w:p w14:paraId="1D34F08B" w14:textId="77777777" w:rsidR="002E4D87" w:rsidRPr="00F919E1" w:rsidRDefault="002E4D87" w:rsidP="00DC4D0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430" w:type="dxa"/>
            <w:tcBorders>
              <w:left w:val="single" w:sz="4" w:space="0" w:color="0067AB" w:themeColor="accent1"/>
              <w:right w:val="single" w:sz="4" w:space="0" w:color="0067AB" w:themeColor="accent1"/>
            </w:tcBorders>
            <w:vAlign w:val="center"/>
          </w:tcPr>
          <w:p w14:paraId="12FCD772" w14:textId="696E008D" w:rsidR="002E4D87" w:rsidRPr="00F919E1" w:rsidRDefault="002E4D87" w:rsidP="00DC4D0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Combination</w:t>
            </w:r>
            <w:r w:rsidR="007B1EA8">
              <w:rPr>
                <w:rFonts w:asciiTheme="minorHAnsi" w:hAnsiTheme="minorHAnsi"/>
                <w:sz w:val="18"/>
                <w:szCs w:val="18"/>
              </w:rPr>
              <w:t xml:space="preserve"> unit</w:t>
            </w:r>
            <w:r w:rsidRPr="00F919E1">
              <w:rPr>
                <w:rFonts w:asciiTheme="minorHAnsi" w:hAnsiTheme="minorHAnsi"/>
                <w:sz w:val="18"/>
                <w:szCs w:val="18"/>
              </w:rPr>
              <w:t xml:space="preserve"> Long Haul</w:t>
            </w:r>
          </w:p>
        </w:tc>
        <w:tc>
          <w:tcPr>
            <w:tcW w:w="927" w:type="dxa"/>
            <w:tcBorders>
              <w:left w:val="single" w:sz="4" w:space="0" w:color="0067AB" w:themeColor="accent1"/>
              <w:right w:val="single" w:sz="4" w:space="0" w:color="0067AB" w:themeColor="accent1"/>
            </w:tcBorders>
            <w:vAlign w:val="center"/>
          </w:tcPr>
          <w:p w14:paraId="08E1E6D1" w14:textId="77777777" w:rsidR="002E4D87" w:rsidRPr="00F919E1" w:rsidRDefault="002E4D87" w:rsidP="00F919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sz w:val="18"/>
                <w:szCs w:val="18"/>
              </w:rPr>
            </w:pPr>
            <w:r w:rsidRPr="00F919E1">
              <w:rPr>
                <w:rFonts w:asciiTheme="minorHAnsi" w:hAnsiTheme="minorHAnsi"/>
                <w:bCs/>
                <w:sz w:val="18"/>
                <w:szCs w:val="18"/>
              </w:rPr>
              <w:t>0%</w:t>
            </w:r>
          </w:p>
        </w:tc>
        <w:tc>
          <w:tcPr>
            <w:tcW w:w="927" w:type="dxa"/>
            <w:tcBorders>
              <w:left w:val="single" w:sz="4" w:space="0" w:color="0067AB" w:themeColor="accent1"/>
              <w:right w:val="single" w:sz="4" w:space="0" w:color="0067AB" w:themeColor="accent1"/>
            </w:tcBorders>
            <w:vAlign w:val="center"/>
          </w:tcPr>
          <w:p w14:paraId="5D608E74" w14:textId="77777777" w:rsidR="002E4D87" w:rsidRPr="00F919E1" w:rsidRDefault="002E4D87" w:rsidP="00F919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sz w:val="18"/>
                <w:szCs w:val="18"/>
              </w:rPr>
            </w:pPr>
            <w:r w:rsidRPr="00F919E1">
              <w:rPr>
                <w:rFonts w:asciiTheme="minorHAnsi" w:hAnsiTheme="minorHAnsi"/>
                <w:bCs/>
                <w:sz w:val="18"/>
                <w:szCs w:val="18"/>
              </w:rPr>
              <w:t>0%</w:t>
            </w:r>
          </w:p>
        </w:tc>
        <w:tc>
          <w:tcPr>
            <w:tcW w:w="927" w:type="dxa"/>
            <w:tcBorders>
              <w:left w:val="single" w:sz="4" w:space="0" w:color="0067AB" w:themeColor="accent1"/>
              <w:right w:val="single" w:sz="4" w:space="0" w:color="0067AB" w:themeColor="accent1"/>
            </w:tcBorders>
            <w:vAlign w:val="center"/>
          </w:tcPr>
          <w:p w14:paraId="5C45F0A0" w14:textId="77777777" w:rsidR="002E4D87" w:rsidRPr="00F919E1" w:rsidRDefault="002E4D87" w:rsidP="00F919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sz w:val="18"/>
                <w:szCs w:val="18"/>
              </w:rPr>
            </w:pPr>
            <w:r w:rsidRPr="00F919E1">
              <w:rPr>
                <w:rFonts w:asciiTheme="minorHAnsi" w:hAnsiTheme="minorHAnsi"/>
                <w:bCs/>
                <w:sz w:val="18"/>
                <w:szCs w:val="18"/>
              </w:rPr>
              <w:t>2.9%</w:t>
            </w:r>
          </w:p>
        </w:tc>
        <w:tc>
          <w:tcPr>
            <w:tcW w:w="927" w:type="dxa"/>
            <w:tcBorders>
              <w:left w:val="single" w:sz="4" w:space="0" w:color="0067AB" w:themeColor="accent1"/>
            </w:tcBorders>
            <w:vAlign w:val="center"/>
          </w:tcPr>
          <w:p w14:paraId="022D06F7" w14:textId="77777777" w:rsidR="002E4D87" w:rsidRPr="00F919E1" w:rsidRDefault="002E4D87" w:rsidP="00F919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sz w:val="18"/>
                <w:szCs w:val="18"/>
              </w:rPr>
            </w:pPr>
            <w:r w:rsidRPr="00F919E1">
              <w:rPr>
                <w:rFonts w:asciiTheme="minorHAnsi" w:hAnsiTheme="minorHAnsi"/>
                <w:bCs/>
                <w:sz w:val="18"/>
                <w:szCs w:val="18"/>
              </w:rPr>
              <w:t>2.9%</w:t>
            </w:r>
          </w:p>
        </w:tc>
      </w:tr>
      <w:tr w:rsidR="00F919E1" w:rsidRPr="00AF154D" w14:paraId="508B4EB7" w14:textId="77777777" w:rsidTr="00DC4D0E">
        <w:trPr>
          <w:trHeight w:val="288"/>
          <w:jc w:val="center"/>
        </w:trPr>
        <w:tc>
          <w:tcPr>
            <w:cnfStyle w:val="001000000000" w:firstRow="0" w:lastRow="0" w:firstColumn="1" w:lastColumn="0" w:oddVBand="0" w:evenVBand="0" w:oddHBand="0" w:evenHBand="0" w:firstRowFirstColumn="0" w:firstRowLastColumn="0" w:lastRowFirstColumn="0" w:lastRowLastColumn="0"/>
            <w:tcW w:w="1345" w:type="dxa"/>
            <w:vMerge/>
            <w:tcBorders>
              <w:right w:val="single" w:sz="4" w:space="0" w:color="0067AB" w:themeColor="accent1"/>
            </w:tcBorders>
            <w:vAlign w:val="center"/>
          </w:tcPr>
          <w:p w14:paraId="4A639070" w14:textId="77777777" w:rsidR="002E4D87" w:rsidRPr="00F919E1" w:rsidRDefault="002E4D87" w:rsidP="00DC4D0E">
            <w:pPr>
              <w:rPr>
                <w:rFonts w:asciiTheme="minorHAnsi" w:hAnsiTheme="minorHAnsi"/>
                <w:b w:val="0"/>
                <w:sz w:val="18"/>
                <w:szCs w:val="18"/>
              </w:rPr>
            </w:pPr>
          </w:p>
        </w:tc>
        <w:tc>
          <w:tcPr>
            <w:tcW w:w="2160" w:type="dxa"/>
            <w:tcBorders>
              <w:left w:val="single" w:sz="4" w:space="0" w:color="0067AB" w:themeColor="accent1"/>
              <w:right w:val="single" w:sz="4" w:space="0" w:color="0067AB" w:themeColor="accent1"/>
            </w:tcBorders>
            <w:vAlign w:val="center"/>
          </w:tcPr>
          <w:p w14:paraId="68A8E689" w14:textId="77777777" w:rsidR="002E4D87" w:rsidRPr="00F919E1" w:rsidRDefault="002E4D87" w:rsidP="00DC4D0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Tractor Side Fairing</w:t>
            </w:r>
          </w:p>
        </w:tc>
        <w:tc>
          <w:tcPr>
            <w:tcW w:w="2430" w:type="dxa"/>
            <w:tcBorders>
              <w:left w:val="single" w:sz="4" w:space="0" w:color="0067AB" w:themeColor="accent1"/>
              <w:right w:val="single" w:sz="4" w:space="0" w:color="0067AB" w:themeColor="accent1"/>
            </w:tcBorders>
            <w:vAlign w:val="center"/>
          </w:tcPr>
          <w:p w14:paraId="32A10B68" w14:textId="3C1811D7" w:rsidR="002E4D87" w:rsidRPr="00F919E1" w:rsidRDefault="002E4D87" w:rsidP="00DC4D0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Combination</w:t>
            </w:r>
            <w:r w:rsidR="007B1EA8">
              <w:rPr>
                <w:rFonts w:asciiTheme="minorHAnsi" w:hAnsiTheme="minorHAnsi"/>
                <w:sz w:val="18"/>
                <w:szCs w:val="18"/>
              </w:rPr>
              <w:t xml:space="preserve"> unit</w:t>
            </w:r>
            <w:r w:rsidRPr="00F919E1">
              <w:rPr>
                <w:rFonts w:asciiTheme="minorHAnsi" w:hAnsiTheme="minorHAnsi"/>
                <w:sz w:val="18"/>
                <w:szCs w:val="18"/>
              </w:rPr>
              <w:t xml:space="preserve"> Long Haul</w:t>
            </w:r>
          </w:p>
        </w:tc>
        <w:tc>
          <w:tcPr>
            <w:tcW w:w="927" w:type="dxa"/>
            <w:tcBorders>
              <w:left w:val="single" w:sz="4" w:space="0" w:color="0067AB" w:themeColor="accent1"/>
              <w:right w:val="single" w:sz="4" w:space="0" w:color="0067AB" w:themeColor="accent1"/>
            </w:tcBorders>
            <w:vAlign w:val="center"/>
          </w:tcPr>
          <w:p w14:paraId="673F755D" w14:textId="77777777" w:rsidR="002E4D87" w:rsidRPr="00F919E1" w:rsidRDefault="002E4D87" w:rsidP="00F919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18"/>
                <w:szCs w:val="18"/>
              </w:rPr>
            </w:pPr>
            <w:r w:rsidRPr="00F919E1">
              <w:rPr>
                <w:rFonts w:asciiTheme="minorHAnsi" w:hAnsiTheme="minorHAnsi"/>
                <w:bCs/>
                <w:sz w:val="18"/>
                <w:szCs w:val="18"/>
              </w:rPr>
              <w:t>0%</w:t>
            </w:r>
          </w:p>
        </w:tc>
        <w:tc>
          <w:tcPr>
            <w:tcW w:w="927" w:type="dxa"/>
            <w:tcBorders>
              <w:left w:val="single" w:sz="4" w:space="0" w:color="0067AB" w:themeColor="accent1"/>
              <w:right w:val="single" w:sz="4" w:space="0" w:color="0067AB" w:themeColor="accent1"/>
            </w:tcBorders>
            <w:vAlign w:val="center"/>
          </w:tcPr>
          <w:p w14:paraId="08864FCC" w14:textId="77777777" w:rsidR="002E4D87" w:rsidRPr="00F919E1" w:rsidRDefault="002E4D87" w:rsidP="00F919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18"/>
                <w:szCs w:val="18"/>
              </w:rPr>
            </w:pPr>
            <w:r w:rsidRPr="00F919E1">
              <w:rPr>
                <w:rFonts w:asciiTheme="minorHAnsi" w:hAnsiTheme="minorHAnsi"/>
                <w:bCs/>
                <w:sz w:val="18"/>
                <w:szCs w:val="18"/>
              </w:rPr>
              <w:t>0%</w:t>
            </w:r>
          </w:p>
        </w:tc>
        <w:tc>
          <w:tcPr>
            <w:tcW w:w="927" w:type="dxa"/>
            <w:tcBorders>
              <w:left w:val="single" w:sz="4" w:space="0" w:color="0067AB" w:themeColor="accent1"/>
              <w:right w:val="single" w:sz="4" w:space="0" w:color="0067AB" w:themeColor="accent1"/>
            </w:tcBorders>
            <w:vAlign w:val="center"/>
          </w:tcPr>
          <w:p w14:paraId="23B004E0" w14:textId="77777777" w:rsidR="002E4D87" w:rsidRPr="00F919E1" w:rsidRDefault="002E4D87" w:rsidP="00F919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18"/>
                <w:szCs w:val="18"/>
              </w:rPr>
            </w:pPr>
            <w:r w:rsidRPr="00F919E1">
              <w:rPr>
                <w:rFonts w:asciiTheme="minorHAnsi" w:hAnsiTheme="minorHAnsi"/>
                <w:bCs/>
                <w:sz w:val="18"/>
                <w:szCs w:val="18"/>
              </w:rPr>
              <w:t>2.4%</w:t>
            </w:r>
          </w:p>
        </w:tc>
        <w:tc>
          <w:tcPr>
            <w:tcW w:w="927" w:type="dxa"/>
            <w:tcBorders>
              <w:left w:val="single" w:sz="4" w:space="0" w:color="0067AB" w:themeColor="accent1"/>
            </w:tcBorders>
            <w:vAlign w:val="center"/>
          </w:tcPr>
          <w:p w14:paraId="32B7CEF5" w14:textId="77777777" w:rsidR="002E4D87" w:rsidRPr="00F919E1" w:rsidRDefault="002E4D87" w:rsidP="00F919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18"/>
                <w:szCs w:val="18"/>
              </w:rPr>
            </w:pPr>
            <w:r w:rsidRPr="00F919E1">
              <w:rPr>
                <w:rFonts w:asciiTheme="minorHAnsi" w:hAnsiTheme="minorHAnsi"/>
                <w:bCs/>
                <w:sz w:val="18"/>
                <w:szCs w:val="18"/>
              </w:rPr>
              <w:t>2.4%</w:t>
            </w:r>
          </w:p>
        </w:tc>
      </w:tr>
      <w:tr w:rsidR="00F919E1" w:rsidRPr="00AF154D" w14:paraId="78BE873C" w14:textId="77777777" w:rsidTr="00DC4D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345" w:type="dxa"/>
            <w:vMerge/>
            <w:tcBorders>
              <w:right w:val="single" w:sz="4" w:space="0" w:color="0067AB" w:themeColor="accent1"/>
            </w:tcBorders>
            <w:vAlign w:val="center"/>
          </w:tcPr>
          <w:p w14:paraId="0B57A7C9" w14:textId="77777777" w:rsidR="002E4D87" w:rsidRPr="00F919E1" w:rsidRDefault="002E4D87" w:rsidP="00DC4D0E">
            <w:pPr>
              <w:rPr>
                <w:rFonts w:asciiTheme="minorHAnsi" w:hAnsiTheme="minorHAnsi"/>
                <w:b w:val="0"/>
                <w:sz w:val="18"/>
                <w:szCs w:val="18"/>
              </w:rPr>
            </w:pPr>
          </w:p>
        </w:tc>
        <w:tc>
          <w:tcPr>
            <w:tcW w:w="2160" w:type="dxa"/>
            <w:tcBorders>
              <w:left w:val="single" w:sz="4" w:space="0" w:color="0067AB" w:themeColor="accent1"/>
              <w:right w:val="single" w:sz="4" w:space="0" w:color="0067AB" w:themeColor="accent1"/>
            </w:tcBorders>
            <w:vAlign w:val="center"/>
          </w:tcPr>
          <w:p w14:paraId="3CCC93AD" w14:textId="77777777" w:rsidR="002E4D87" w:rsidRPr="00F919E1" w:rsidRDefault="002E4D87" w:rsidP="00DC4D0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Trailer Side Skirts</w:t>
            </w:r>
          </w:p>
        </w:tc>
        <w:tc>
          <w:tcPr>
            <w:tcW w:w="2430" w:type="dxa"/>
            <w:tcBorders>
              <w:left w:val="single" w:sz="4" w:space="0" w:color="0067AB" w:themeColor="accent1"/>
              <w:right w:val="single" w:sz="4" w:space="0" w:color="0067AB" w:themeColor="accent1"/>
            </w:tcBorders>
            <w:vAlign w:val="center"/>
          </w:tcPr>
          <w:p w14:paraId="0F4A1C88" w14:textId="02713F2C" w:rsidR="002E4D87" w:rsidRPr="00F919E1" w:rsidRDefault="002E4D87" w:rsidP="00DC4D0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Combination</w:t>
            </w:r>
            <w:r w:rsidR="007B1EA8">
              <w:rPr>
                <w:rFonts w:asciiTheme="minorHAnsi" w:hAnsiTheme="minorHAnsi"/>
                <w:sz w:val="18"/>
                <w:szCs w:val="18"/>
              </w:rPr>
              <w:t xml:space="preserve"> unit</w:t>
            </w:r>
            <w:r w:rsidRPr="00F919E1">
              <w:rPr>
                <w:rFonts w:asciiTheme="minorHAnsi" w:hAnsiTheme="minorHAnsi"/>
                <w:sz w:val="18"/>
                <w:szCs w:val="18"/>
              </w:rPr>
              <w:t xml:space="preserve"> Long Haul</w:t>
            </w:r>
          </w:p>
        </w:tc>
        <w:tc>
          <w:tcPr>
            <w:tcW w:w="927" w:type="dxa"/>
            <w:tcBorders>
              <w:left w:val="single" w:sz="4" w:space="0" w:color="0067AB" w:themeColor="accent1"/>
              <w:right w:val="single" w:sz="4" w:space="0" w:color="0067AB" w:themeColor="accent1"/>
            </w:tcBorders>
            <w:vAlign w:val="center"/>
          </w:tcPr>
          <w:p w14:paraId="2935483A" w14:textId="77777777" w:rsidR="002E4D87" w:rsidRPr="00F919E1" w:rsidRDefault="002E4D87" w:rsidP="00F919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F919E1">
              <w:rPr>
                <w:rFonts w:asciiTheme="minorHAnsi" w:hAnsiTheme="minorHAnsi"/>
                <w:color w:val="000000"/>
                <w:sz w:val="18"/>
                <w:szCs w:val="18"/>
              </w:rPr>
              <w:t>0%</w:t>
            </w:r>
          </w:p>
        </w:tc>
        <w:tc>
          <w:tcPr>
            <w:tcW w:w="927" w:type="dxa"/>
            <w:tcBorders>
              <w:left w:val="single" w:sz="4" w:space="0" w:color="0067AB" w:themeColor="accent1"/>
              <w:right w:val="single" w:sz="4" w:space="0" w:color="0067AB" w:themeColor="accent1"/>
            </w:tcBorders>
            <w:vAlign w:val="center"/>
          </w:tcPr>
          <w:p w14:paraId="7C20A319" w14:textId="77777777" w:rsidR="002E4D87" w:rsidRPr="00F919E1" w:rsidRDefault="002E4D87" w:rsidP="00F919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F919E1">
              <w:rPr>
                <w:rFonts w:asciiTheme="minorHAnsi" w:hAnsiTheme="minorHAnsi"/>
                <w:color w:val="000000"/>
                <w:sz w:val="18"/>
                <w:szCs w:val="18"/>
              </w:rPr>
              <w:t>0%</w:t>
            </w:r>
          </w:p>
        </w:tc>
        <w:tc>
          <w:tcPr>
            <w:tcW w:w="927" w:type="dxa"/>
            <w:tcBorders>
              <w:left w:val="single" w:sz="4" w:space="0" w:color="0067AB" w:themeColor="accent1"/>
              <w:right w:val="single" w:sz="4" w:space="0" w:color="0067AB" w:themeColor="accent1"/>
            </w:tcBorders>
            <w:vAlign w:val="center"/>
          </w:tcPr>
          <w:p w14:paraId="0B1DE19C" w14:textId="77777777" w:rsidR="002E4D87" w:rsidRPr="00F919E1" w:rsidRDefault="002E4D87" w:rsidP="00F919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F919E1">
              <w:rPr>
                <w:rFonts w:asciiTheme="minorHAnsi" w:hAnsiTheme="minorHAnsi"/>
                <w:color w:val="000000"/>
                <w:sz w:val="18"/>
                <w:szCs w:val="18"/>
              </w:rPr>
              <w:t>7%</w:t>
            </w:r>
          </w:p>
        </w:tc>
        <w:tc>
          <w:tcPr>
            <w:tcW w:w="927" w:type="dxa"/>
            <w:tcBorders>
              <w:left w:val="single" w:sz="4" w:space="0" w:color="0067AB" w:themeColor="accent1"/>
            </w:tcBorders>
            <w:vAlign w:val="center"/>
          </w:tcPr>
          <w:p w14:paraId="1464C3F7" w14:textId="77777777" w:rsidR="002E4D87" w:rsidRPr="00F919E1" w:rsidRDefault="002E4D87" w:rsidP="00F919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F919E1">
              <w:rPr>
                <w:rFonts w:asciiTheme="minorHAnsi" w:hAnsiTheme="minorHAnsi"/>
                <w:color w:val="000000"/>
                <w:sz w:val="18"/>
                <w:szCs w:val="18"/>
              </w:rPr>
              <w:t>7%</w:t>
            </w:r>
          </w:p>
        </w:tc>
      </w:tr>
      <w:tr w:rsidR="00F919E1" w:rsidRPr="00AF154D" w14:paraId="22A130B7" w14:textId="77777777" w:rsidTr="00DC4D0E">
        <w:trPr>
          <w:trHeight w:val="288"/>
          <w:jc w:val="center"/>
        </w:trPr>
        <w:tc>
          <w:tcPr>
            <w:cnfStyle w:val="001000000000" w:firstRow="0" w:lastRow="0" w:firstColumn="1" w:lastColumn="0" w:oddVBand="0" w:evenVBand="0" w:oddHBand="0" w:evenHBand="0" w:firstRowFirstColumn="0" w:firstRowLastColumn="0" w:lastRowFirstColumn="0" w:lastRowLastColumn="0"/>
            <w:tcW w:w="1345" w:type="dxa"/>
            <w:vMerge/>
            <w:tcBorders>
              <w:right w:val="single" w:sz="4" w:space="0" w:color="0067AB" w:themeColor="accent1"/>
            </w:tcBorders>
            <w:vAlign w:val="center"/>
          </w:tcPr>
          <w:p w14:paraId="405704F4" w14:textId="77777777" w:rsidR="002E4D87" w:rsidRPr="00F919E1" w:rsidRDefault="002E4D87" w:rsidP="00DC4D0E">
            <w:pPr>
              <w:rPr>
                <w:rFonts w:asciiTheme="minorHAnsi" w:hAnsiTheme="minorHAnsi"/>
                <w:b w:val="0"/>
                <w:sz w:val="18"/>
                <w:szCs w:val="18"/>
              </w:rPr>
            </w:pPr>
          </w:p>
        </w:tc>
        <w:tc>
          <w:tcPr>
            <w:tcW w:w="2160" w:type="dxa"/>
            <w:tcBorders>
              <w:left w:val="single" w:sz="4" w:space="0" w:color="0067AB" w:themeColor="accent1"/>
              <w:right w:val="single" w:sz="4" w:space="0" w:color="0067AB" w:themeColor="accent1"/>
            </w:tcBorders>
            <w:vAlign w:val="center"/>
          </w:tcPr>
          <w:p w14:paraId="6565DDBA" w14:textId="77777777" w:rsidR="002E4D87" w:rsidRPr="00F919E1" w:rsidRDefault="002E4D87" w:rsidP="00DC4D0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Fuel Tank Skirt</w:t>
            </w:r>
          </w:p>
        </w:tc>
        <w:tc>
          <w:tcPr>
            <w:tcW w:w="2430" w:type="dxa"/>
            <w:tcBorders>
              <w:left w:val="single" w:sz="4" w:space="0" w:color="0067AB" w:themeColor="accent1"/>
              <w:right w:val="single" w:sz="4" w:space="0" w:color="0067AB" w:themeColor="accent1"/>
            </w:tcBorders>
            <w:vAlign w:val="center"/>
          </w:tcPr>
          <w:p w14:paraId="0FF827A7" w14:textId="4D913B33" w:rsidR="002E4D87" w:rsidRPr="00F919E1" w:rsidRDefault="002E4D87" w:rsidP="00DC4D0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Combination</w:t>
            </w:r>
            <w:r w:rsidR="007B1EA8">
              <w:rPr>
                <w:rFonts w:asciiTheme="minorHAnsi" w:hAnsiTheme="minorHAnsi"/>
                <w:sz w:val="18"/>
                <w:szCs w:val="18"/>
              </w:rPr>
              <w:t xml:space="preserve"> unit</w:t>
            </w:r>
            <w:r w:rsidRPr="00F919E1">
              <w:rPr>
                <w:rFonts w:asciiTheme="minorHAnsi" w:hAnsiTheme="minorHAnsi"/>
                <w:sz w:val="18"/>
                <w:szCs w:val="18"/>
              </w:rPr>
              <w:t xml:space="preserve"> Long Haul</w:t>
            </w:r>
          </w:p>
        </w:tc>
        <w:tc>
          <w:tcPr>
            <w:tcW w:w="927" w:type="dxa"/>
            <w:tcBorders>
              <w:left w:val="single" w:sz="4" w:space="0" w:color="0067AB" w:themeColor="accent1"/>
              <w:right w:val="single" w:sz="4" w:space="0" w:color="0067AB" w:themeColor="accent1"/>
            </w:tcBorders>
            <w:vAlign w:val="center"/>
          </w:tcPr>
          <w:p w14:paraId="3E15E78B" w14:textId="77777777" w:rsidR="002E4D87" w:rsidRPr="00F919E1" w:rsidRDefault="002E4D87" w:rsidP="00F919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18"/>
                <w:szCs w:val="18"/>
              </w:rPr>
            </w:pPr>
            <w:r w:rsidRPr="00F919E1">
              <w:rPr>
                <w:rFonts w:asciiTheme="minorHAnsi" w:hAnsiTheme="minorHAnsi"/>
                <w:bCs/>
                <w:sz w:val="18"/>
                <w:szCs w:val="18"/>
              </w:rPr>
              <w:t>0%</w:t>
            </w:r>
          </w:p>
        </w:tc>
        <w:tc>
          <w:tcPr>
            <w:tcW w:w="927" w:type="dxa"/>
            <w:tcBorders>
              <w:left w:val="single" w:sz="4" w:space="0" w:color="0067AB" w:themeColor="accent1"/>
              <w:right w:val="single" w:sz="4" w:space="0" w:color="0067AB" w:themeColor="accent1"/>
            </w:tcBorders>
            <w:vAlign w:val="center"/>
          </w:tcPr>
          <w:p w14:paraId="696089F9" w14:textId="77777777" w:rsidR="002E4D87" w:rsidRPr="00F919E1" w:rsidRDefault="002E4D87" w:rsidP="00F919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18"/>
                <w:szCs w:val="18"/>
              </w:rPr>
            </w:pPr>
            <w:r w:rsidRPr="00F919E1">
              <w:rPr>
                <w:rFonts w:asciiTheme="minorHAnsi" w:hAnsiTheme="minorHAnsi"/>
                <w:bCs/>
                <w:sz w:val="18"/>
                <w:szCs w:val="18"/>
              </w:rPr>
              <w:t>0%</w:t>
            </w:r>
          </w:p>
        </w:tc>
        <w:tc>
          <w:tcPr>
            <w:tcW w:w="927" w:type="dxa"/>
            <w:tcBorders>
              <w:left w:val="single" w:sz="4" w:space="0" w:color="0067AB" w:themeColor="accent1"/>
              <w:right w:val="single" w:sz="4" w:space="0" w:color="0067AB" w:themeColor="accent1"/>
            </w:tcBorders>
            <w:vAlign w:val="center"/>
          </w:tcPr>
          <w:p w14:paraId="379A046D" w14:textId="77777777" w:rsidR="002E4D87" w:rsidRPr="00F919E1" w:rsidRDefault="002E4D87" w:rsidP="00F919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18"/>
                <w:szCs w:val="18"/>
              </w:rPr>
            </w:pPr>
            <w:r w:rsidRPr="00F919E1">
              <w:rPr>
                <w:rFonts w:asciiTheme="minorHAnsi" w:hAnsiTheme="minorHAnsi"/>
                <w:bCs/>
                <w:sz w:val="18"/>
                <w:szCs w:val="18"/>
              </w:rPr>
              <w:t>2.4%</w:t>
            </w:r>
          </w:p>
        </w:tc>
        <w:tc>
          <w:tcPr>
            <w:tcW w:w="927" w:type="dxa"/>
            <w:tcBorders>
              <w:left w:val="single" w:sz="4" w:space="0" w:color="0067AB" w:themeColor="accent1"/>
            </w:tcBorders>
            <w:vAlign w:val="center"/>
          </w:tcPr>
          <w:p w14:paraId="2AA8A3D0" w14:textId="77777777" w:rsidR="002E4D87" w:rsidRPr="00F919E1" w:rsidRDefault="002E4D87" w:rsidP="00F919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18"/>
                <w:szCs w:val="18"/>
              </w:rPr>
            </w:pPr>
            <w:r w:rsidRPr="00F919E1">
              <w:rPr>
                <w:rFonts w:asciiTheme="minorHAnsi" w:hAnsiTheme="minorHAnsi"/>
                <w:bCs/>
                <w:sz w:val="18"/>
                <w:szCs w:val="18"/>
              </w:rPr>
              <w:t>2.4%</w:t>
            </w:r>
          </w:p>
        </w:tc>
      </w:tr>
      <w:tr w:rsidR="00852846" w:rsidRPr="00AF154D" w14:paraId="609E809C" w14:textId="77777777" w:rsidTr="00DC4D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345" w:type="dxa"/>
            <w:vMerge w:val="restart"/>
            <w:tcBorders>
              <w:right w:val="single" w:sz="4" w:space="0" w:color="0067AB" w:themeColor="accent1"/>
            </w:tcBorders>
            <w:vAlign w:val="center"/>
          </w:tcPr>
          <w:p w14:paraId="1CD6A144" w14:textId="77777777" w:rsidR="00852846" w:rsidRPr="00F919E1" w:rsidRDefault="00852846" w:rsidP="00DC4D0E">
            <w:pPr>
              <w:rPr>
                <w:rFonts w:asciiTheme="minorHAnsi" w:hAnsiTheme="minorHAnsi"/>
                <w:b w:val="0"/>
                <w:sz w:val="18"/>
                <w:szCs w:val="18"/>
              </w:rPr>
            </w:pPr>
            <w:r w:rsidRPr="00F919E1">
              <w:rPr>
                <w:rFonts w:asciiTheme="minorHAnsi" w:hAnsiTheme="minorHAnsi"/>
                <w:b w:val="0"/>
                <w:sz w:val="18"/>
                <w:szCs w:val="18"/>
              </w:rPr>
              <w:t>Tires</w:t>
            </w:r>
          </w:p>
        </w:tc>
        <w:tc>
          <w:tcPr>
            <w:tcW w:w="2160" w:type="dxa"/>
            <w:tcBorders>
              <w:left w:val="single" w:sz="4" w:space="0" w:color="0067AB" w:themeColor="accent1"/>
              <w:right w:val="single" w:sz="4" w:space="0" w:color="0067AB" w:themeColor="accent1"/>
            </w:tcBorders>
            <w:vAlign w:val="center"/>
          </w:tcPr>
          <w:p w14:paraId="70F57DCC" w14:textId="77777777" w:rsidR="00852846" w:rsidRPr="00F919E1" w:rsidRDefault="00852846" w:rsidP="00DC4D0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Low Rolling Resistance</w:t>
            </w:r>
          </w:p>
        </w:tc>
        <w:tc>
          <w:tcPr>
            <w:tcW w:w="2430" w:type="dxa"/>
            <w:tcBorders>
              <w:left w:val="single" w:sz="4" w:space="0" w:color="0067AB" w:themeColor="accent1"/>
              <w:right w:val="single" w:sz="4" w:space="0" w:color="0067AB" w:themeColor="accent1"/>
            </w:tcBorders>
            <w:vAlign w:val="center"/>
          </w:tcPr>
          <w:p w14:paraId="14E801FC" w14:textId="77777777" w:rsidR="00852846" w:rsidRPr="00F919E1" w:rsidRDefault="00852846" w:rsidP="00DC4D0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All Trucks</w:t>
            </w:r>
          </w:p>
        </w:tc>
        <w:tc>
          <w:tcPr>
            <w:tcW w:w="927" w:type="dxa"/>
            <w:tcBorders>
              <w:left w:val="single" w:sz="4" w:space="0" w:color="0067AB" w:themeColor="accent1"/>
              <w:right w:val="single" w:sz="4" w:space="0" w:color="0067AB" w:themeColor="accent1"/>
            </w:tcBorders>
            <w:vAlign w:val="center"/>
          </w:tcPr>
          <w:p w14:paraId="23A0D23A" w14:textId="77777777" w:rsidR="00852846" w:rsidRPr="00F919E1" w:rsidRDefault="00852846" w:rsidP="00F919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F919E1">
              <w:rPr>
                <w:rFonts w:asciiTheme="minorHAnsi" w:hAnsiTheme="minorHAnsi"/>
                <w:color w:val="000000"/>
                <w:sz w:val="18"/>
                <w:szCs w:val="18"/>
              </w:rPr>
              <w:t>0%</w:t>
            </w:r>
          </w:p>
        </w:tc>
        <w:tc>
          <w:tcPr>
            <w:tcW w:w="927" w:type="dxa"/>
            <w:tcBorders>
              <w:left w:val="single" w:sz="4" w:space="0" w:color="0067AB" w:themeColor="accent1"/>
              <w:right w:val="single" w:sz="4" w:space="0" w:color="0067AB" w:themeColor="accent1"/>
            </w:tcBorders>
            <w:vAlign w:val="center"/>
          </w:tcPr>
          <w:p w14:paraId="6BADBEF4" w14:textId="77777777" w:rsidR="00852846" w:rsidRPr="00F919E1" w:rsidRDefault="00852846" w:rsidP="00F919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F919E1">
              <w:rPr>
                <w:rFonts w:asciiTheme="minorHAnsi" w:hAnsiTheme="minorHAnsi"/>
                <w:color w:val="000000"/>
                <w:sz w:val="18"/>
                <w:szCs w:val="18"/>
              </w:rPr>
              <w:t>0%</w:t>
            </w:r>
          </w:p>
        </w:tc>
        <w:tc>
          <w:tcPr>
            <w:tcW w:w="927" w:type="dxa"/>
            <w:tcBorders>
              <w:left w:val="single" w:sz="4" w:space="0" w:color="0067AB" w:themeColor="accent1"/>
              <w:right w:val="single" w:sz="4" w:space="0" w:color="0067AB" w:themeColor="accent1"/>
            </w:tcBorders>
            <w:vAlign w:val="center"/>
          </w:tcPr>
          <w:p w14:paraId="03838636" w14:textId="77777777" w:rsidR="00852846" w:rsidRPr="00F919E1" w:rsidRDefault="00852846" w:rsidP="00F919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F919E1">
              <w:rPr>
                <w:rFonts w:asciiTheme="minorHAnsi" w:hAnsiTheme="minorHAnsi"/>
                <w:color w:val="000000"/>
                <w:sz w:val="18"/>
                <w:szCs w:val="18"/>
              </w:rPr>
              <w:t>1%</w:t>
            </w:r>
          </w:p>
        </w:tc>
        <w:tc>
          <w:tcPr>
            <w:tcW w:w="927" w:type="dxa"/>
            <w:tcBorders>
              <w:left w:val="single" w:sz="4" w:space="0" w:color="0067AB" w:themeColor="accent1"/>
            </w:tcBorders>
            <w:vAlign w:val="center"/>
          </w:tcPr>
          <w:p w14:paraId="67C08AEC" w14:textId="77777777" w:rsidR="00852846" w:rsidRPr="00F919E1" w:rsidRDefault="00852846" w:rsidP="00F919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F919E1">
              <w:rPr>
                <w:rFonts w:asciiTheme="minorHAnsi" w:hAnsiTheme="minorHAnsi"/>
                <w:color w:val="000000"/>
                <w:sz w:val="18"/>
                <w:szCs w:val="18"/>
              </w:rPr>
              <w:t>1%</w:t>
            </w:r>
          </w:p>
        </w:tc>
      </w:tr>
      <w:tr w:rsidR="00852846" w:rsidRPr="00AF154D" w14:paraId="41A63895" w14:textId="77777777" w:rsidTr="00DC4D0E">
        <w:trPr>
          <w:trHeight w:val="288"/>
          <w:jc w:val="center"/>
        </w:trPr>
        <w:tc>
          <w:tcPr>
            <w:cnfStyle w:val="001000000000" w:firstRow="0" w:lastRow="0" w:firstColumn="1" w:lastColumn="0" w:oddVBand="0" w:evenVBand="0" w:oddHBand="0" w:evenHBand="0" w:firstRowFirstColumn="0" w:firstRowLastColumn="0" w:lastRowFirstColumn="0" w:lastRowLastColumn="0"/>
            <w:tcW w:w="1345" w:type="dxa"/>
            <w:vMerge/>
            <w:tcBorders>
              <w:right w:val="single" w:sz="4" w:space="0" w:color="0067AB" w:themeColor="accent1"/>
            </w:tcBorders>
            <w:vAlign w:val="center"/>
          </w:tcPr>
          <w:p w14:paraId="3BB8CAB2" w14:textId="77777777" w:rsidR="00852846" w:rsidRPr="00F919E1" w:rsidRDefault="00852846" w:rsidP="00DC4D0E">
            <w:pPr>
              <w:rPr>
                <w:rFonts w:asciiTheme="minorHAnsi" w:hAnsiTheme="minorHAnsi"/>
                <w:b w:val="0"/>
                <w:sz w:val="18"/>
                <w:szCs w:val="18"/>
              </w:rPr>
            </w:pPr>
          </w:p>
        </w:tc>
        <w:tc>
          <w:tcPr>
            <w:tcW w:w="2160" w:type="dxa"/>
            <w:tcBorders>
              <w:left w:val="single" w:sz="4" w:space="0" w:color="0067AB" w:themeColor="accent1"/>
              <w:right w:val="single" w:sz="4" w:space="0" w:color="0067AB" w:themeColor="accent1"/>
            </w:tcBorders>
            <w:vAlign w:val="center"/>
          </w:tcPr>
          <w:p w14:paraId="3B44E954" w14:textId="77777777" w:rsidR="00852846" w:rsidRPr="00F919E1" w:rsidRDefault="00852846" w:rsidP="00DC4D0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Single Wide</w:t>
            </w:r>
          </w:p>
        </w:tc>
        <w:tc>
          <w:tcPr>
            <w:tcW w:w="2430" w:type="dxa"/>
            <w:tcBorders>
              <w:left w:val="single" w:sz="4" w:space="0" w:color="0067AB" w:themeColor="accent1"/>
              <w:right w:val="single" w:sz="4" w:space="0" w:color="0067AB" w:themeColor="accent1"/>
            </w:tcBorders>
            <w:vAlign w:val="center"/>
          </w:tcPr>
          <w:p w14:paraId="5DB80D1C" w14:textId="77777777" w:rsidR="00852846" w:rsidRPr="00F919E1" w:rsidRDefault="00852846" w:rsidP="00DC4D0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All Trucks</w:t>
            </w:r>
          </w:p>
        </w:tc>
        <w:tc>
          <w:tcPr>
            <w:tcW w:w="927" w:type="dxa"/>
            <w:tcBorders>
              <w:left w:val="single" w:sz="4" w:space="0" w:color="0067AB" w:themeColor="accent1"/>
              <w:right w:val="single" w:sz="4" w:space="0" w:color="0067AB" w:themeColor="accent1"/>
            </w:tcBorders>
            <w:vAlign w:val="center"/>
          </w:tcPr>
          <w:p w14:paraId="78DBE3F4" w14:textId="77777777" w:rsidR="00852846" w:rsidRPr="00F919E1" w:rsidRDefault="00852846" w:rsidP="00F919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F919E1">
              <w:rPr>
                <w:rFonts w:asciiTheme="minorHAnsi" w:hAnsiTheme="minorHAnsi"/>
                <w:color w:val="000000"/>
                <w:sz w:val="18"/>
                <w:szCs w:val="18"/>
              </w:rPr>
              <w:t>0%</w:t>
            </w:r>
          </w:p>
        </w:tc>
        <w:tc>
          <w:tcPr>
            <w:tcW w:w="927" w:type="dxa"/>
            <w:tcBorders>
              <w:left w:val="single" w:sz="4" w:space="0" w:color="0067AB" w:themeColor="accent1"/>
              <w:right w:val="single" w:sz="4" w:space="0" w:color="0067AB" w:themeColor="accent1"/>
            </w:tcBorders>
            <w:vAlign w:val="center"/>
          </w:tcPr>
          <w:p w14:paraId="26C5005A" w14:textId="77777777" w:rsidR="00852846" w:rsidRPr="00F919E1" w:rsidRDefault="00852846" w:rsidP="00F919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F919E1">
              <w:rPr>
                <w:rFonts w:asciiTheme="minorHAnsi" w:hAnsiTheme="minorHAnsi"/>
                <w:color w:val="000000"/>
                <w:sz w:val="18"/>
                <w:szCs w:val="18"/>
              </w:rPr>
              <w:t>0%</w:t>
            </w:r>
          </w:p>
        </w:tc>
        <w:tc>
          <w:tcPr>
            <w:tcW w:w="927" w:type="dxa"/>
            <w:tcBorders>
              <w:left w:val="single" w:sz="4" w:space="0" w:color="0067AB" w:themeColor="accent1"/>
              <w:right w:val="single" w:sz="4" w:space="0" w:color="0067AB" w:themeColor="accent1"/>
            </w:tcBorders>
            <w:vAlign w:val="center"/>
          </w:tcPr>
          <w:p w14:paraId="6EAB4825" w14:textId="77777777" w:rsidR="00852846" w:rsidRPr="00F919E1" w:rsidRDefault="00852846" w:rsidP="00F919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F919E1">
              <w:rPr>
                <w:rFonts w:asciiTheme="minorHAnsi" w:hAnsiTheme="minorHAnsi"/>
                <w:color w:val="000000"/>
                <w:sz w:val="18"/>
                <w:szCs w:val="18"/>
              </w:rPr>
              <w:t>1%</w:t>
            </w:r>
          </w:p>
        </w:tc>
        <w:tc>
          <w:tcPr>
            <w:tcW w:w="927" w:type="dxa"/>
            <w:tcBorders>
              <w:left w:val="single" w:sz="4" w:space="0" w:color="0067AB" w:themeColor="accent1"/>
            </w:tcBorders>
            <w:vAlign w:val="center"/>
          </w:tcPr>
          <w:p w14:paraId="3BFBB046" w14:textId="77777777" w:rsidR="00852846" w:rsidRPr="00F919E1" w:rsidRDefault="00852846" w:rsidP="00F919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F919E1">
              <w:rPr>
                <w:rFonts w:asciiTheme="minorHAnsi" w:hAnsiTheme="minorHAnsi"/>
                <w:color w:val="000000"/>
                <w:sz w:val="18"/>
                <w:szCs w:val="18"/>
              </w:rPr>
              <w:t>1%</w:t>
            </w:r>
          </w:p>
        </w:tc>
      </w:tr>
      <w:tr w:rsidR="00852846" w:rsidRPr="00AF154D" w14:paraId="01E92EBA" w14:textId="77777777" w:rsidTr="00DC4D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345" w:type="dxa"/>
            <w:vMerge w:val="restart"/>
            <w:tcBorders>
              <w:right w:val="single" w:sz="4" w:space="0" w:color="0067AB" w:themeColor="accent1"/>
            </w:tcBorders>
            <w:vAlign w:val="center"/>
          </w:tcPr>
          <w:p w14:paraId="20D58D17" w14:textId="77777777" w:rsidR="00852846" w:rsidRPr="00F919E1" w:rsidRDefault="00852846" w:rsidP="00DC4D0E">
            <w:pPr>
              <w:rPr>
                <w:rFonts w:asciiTheme="minorHAnsi" w:hAnsiTheme="minorHAnsi"/>
                <w:b w:val="0"/>
                <w:sz w:val="18"/>
                <w:szCs w:val="18"/>
              </w:rPr>
            </w:pPr>
            <w:r>
              <w:rPr>
                <w:rFonts w:asciiTheme="minorHAnsi" w:hAnsiTheme="minorHAnsi"/>
                <w:b w:val="0"/>
                <w:sz w:val="18"/>
                <w:szCs w:val="18"/>
              </w:rPr>
              <w:t>Tires</w:t>
            </w:r>
          </w:p>
        </w:tc>
        <w:tc>
          <w:tcPr>
            <w:tcW w:w="2160" w:type="dxa"/>
            <w:tcBorders>
              <w:left w:val="single" w:sz="4" w:space="0" w:color="0067AB" w:themeColor="accent1"/>
              <w:right w:val="single" w:sz="4" w:space="0" w:color="0067AB" w:themeColor="accent1"/>
            </w:tcBorders>
            <w:vAlign w:val="center"/>
          </w:tcPr>
          <w:p w14:paraId="3B92607B" w14:textId="77777777" w:rsidR="00852846" w:rsidRPr="00F919E1" w:rsidRDefault="00852846" w:rsidP="00DC4D0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Tire Pressure Monitor</w:t>
            </w:r>
          </w:p>
        </w:tc>
        <w:tc>
          <w:tcPr>
            <w:tcW w:w="2430" w:type="dxa"/>
            <w:tcBorders>
              <w:left w:val="single" w:sz="4" w:space="0" w:color="0067AB" w:themeColor="accent1"/>
              <w:right w:val="single" w:sz="4" w:space="0" w:color="0067AB" w:themeColor="accent1"/>
            </w:tcBorders>
            <w:vAlign w:val="center"/>
          </w:tcPr>
          <w:p w14:paraId="798C2034" w14:textId="5798E08E" w:rsidR="00852846" w:rsidRPr="00F919E1" w:rsidRDefault="00852846" w:rsidP="00DC4D0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Combination</w:t>
            </w:r>
            <w:r w:rsidR="007B1EA8">
              <w:rPr>
                <w:rFonts w:asciiTheme="minorHAnsi" w:hAnsiTheme="minorHAnsi"/>
                <w:sz w:val="18"/>
                <w:szCs w:val="18"/>
              </w:rPr>
              <w:t xml:space="preserve"> unit</w:t>
            </w:r>
            <w:r w:rsidRPr="00F919E1">
              <w:rPr>
                <w:rFonts w:asciiTheme="minorHAnsi" w:hAnsiTheme="minorHAnsi"/>
                <w:sz w:val="18"/>
                <w:szCs w:val="18"/>
              </w:rPr>
              <w:t xml:space="preserve"> Long Haul</w:t>
            </w:r>
          </w:p>
        </w:tc>
        <w:tc>
          <w:tcPr>
            <w:tcW w:w="927" w:type="dxa"/>
            <w:tcBorders>
              <w:left w:val="single" w:sz="4" w:space="0" w:color="0067AB" w:themeColor="accent1"/>
              <w:right w:val="single" w:sz="4" w:space="0" w:color="0067AB" w:themeColor="accent1"/>
            </w:tcBorders>
            <w:vAlign w:val="center"/>
          </w:tcPr>
          <w:p w14:paraId="0FBC5CB6" w14:textId="77777777" w:rsidR="00852846" w:rsidRPr="00F919E1" w:rsidRDefault="00852846" w:rsidP="00F919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F919E1">
              <w:rPr>
                <w:rFonts w:asciiTheme="minorHAnsi" w:hAnsiTheme="minorHAnsi"/>
                <w:color w:val="000000"/>
                <w:sz w:val="18"/>
                <w:szCs w:val="18"/>
              </w:rPr>
              <w:t>0%</w:t>
            </w:r>
          </w:p>
        </w:tc>
        <w:tc>
          <w:tcPr>
            <w:tcW w:w="927" w:type="dxa"/>
            <w:tcBorders>
              <w:left w:val="single" w:sz="4" w:space="0" w:color="0067AB" w:themeColor="accent1"/>
              <w:right w:val="single" w:sz="4" w:space="0" w:color="0067AB" w:themeColor="accent1"/>
            </w:tcBorders>
            <w:vAlign w:val="center"/>
          </w:tcPr>
          <w:p w14:paraId="483D624C" w14:textId="77777777" w:rsidR="00852846" w:rsidRPr="00F919E1" w:rsidRDefault="00852846" w:rsidP="00F919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F919E1">
              <w:rPr>
                <w:rFonts w:asciiTheme="minorHAnsi" w:hAnsiTheme="minorHAnsi"/>
                <w:color w:val="000000"/>
                <w:sz w:val="18"/>
                <w:szCs w:val="18"/>
              </w:rPr>
              <w:t>0%</w:t>
            </w:r>
          </w:p>
        </w:tc>
        <w:tc>
          <w:tcPr>
            <w:tcW w:w="927" w:type="dxa"/>
            <w:tcBorders>
              <w:left w:val="single" w:sz="4" w:space="0" w:color="0067AB" w:themeColor="accent1"/>
              <w:right w:val="single" w:sz="4" w:space="0" w:color="0067AB" w:themeColor="accent1"/>
            </w:tcBorders>
            <w:vAlign w:val="center"/>
          </w:tcPr>
          <w:p w14:paraId="75F0CF94" w14:textId="77777777" w:rsidR="00852846" w:rsidRPr="00F919E1" w:rsidRDefault="00852846" w:rsidP="00F919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F919E1">
              <w:rPr>
                <w:rFonts w:asciiTheme="minorHAnsi" w:hAnsiTheme="minorHAnsi"/>
                <w:color w:val="000000"/>
                <w:sz w:val="18"/>
                <w:szCs w:val="18"/>
              </w:rPr>
              <w:t>1%</w:t>
            </w:r>
          </w:p>
        </w:tc>
        <w:tc>
          <w:tcPr>
            <w:tcW w:w="927" w:type="dxa"/>
            <w:tcBorders>
              <w:left w:val="single" w:sz="4" w:space="0" w:color="0067AB" w:themeColor="accent1"/>
            </w:tcBorders>
            <w:vAlign w:val="center"/>
          </w:tcPr>
          <w:p w14:paraId="32585608" w14:textId="77777777" w:rsidR="00852846" w:rsidRPr="00F919E1" w:rsidRDefault="00852846" w:rsidP="00F919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F919E1">
              <w:rPr>
                <w:rFonts w:asciiTheme="minorHAnsi" w:hAnsiTheme="minorHAnsi"/>
                <w:color w:val="000000"/>
                <w:sz w:val="18"/>
                <w:szCs w:val="18"/>
              </w:rPr>
              <w:t>1%</w:t>
            </w:r>
          </w:p>
        </w:tc>
      </w:tr>
      <w:tr w:rsidR="00852846" w:rsidRPr="00AF154D" w14:paraId="597E1604" w14:textId="77777777" w:rsidTr="00DC4D0E">
        <w:trPr>
          <w:trHeight w:val="288"/>
          <w:jc w:val="center"/>
        </w:trPr>
        <w:tc>
          <w:tcPr>
            <w:cnfStyle w:val="001000000000" w:firstRow="0" w:lastRow="0" w:firstColumn="1" w:lastColumn="0" w:oddVBand="0" w:evenVBand="0" w:oddHBand="0" w:evenHBand="0" w:firstRowFirstColumn="0" w:firstRowLastColumn="0" w:lastRowFirstColumn="0" w:lastRowLastColumn="0"/>
            <w:tcW w:w="1345" w:type="dxa"/>
            <w:vMerge/>
            <w:tcBorders>
              <w:right w:val="single" w:sz="4" w:space="0" w:color="0067AB" w:themeColor="accent1"/>
            </w:tcBorders>
            <w:vAlign w:val="center"/>
          </w:tcPr>
          <w:p w14:paraId="69B2436D" w14:textId="77777777" w:rsidR="00852846" w:rsidRPr="00F919E1" w:rsidRDefault="00852846" w:rsidP="00DC4D0E">
            <w:pPr>
              <w:rPr>
                <w:rFonts w:asciiTheme="minorHAnsi" w:hAnsiTheme="minorHAnsi"/>
                <w:b w:val="0"/>
                <w:sz w:val="18"/>
                <w:szCs w:val="18"/>
              </w:rPr>
            </w:pPr>
          </w:p>
        </w:tc>
        <w:tc>
          <w:tcPr>
            <w:tcW w:w="2160" w:type="dxa"/>
            <w:tcBorders>
              <w:left w:val="single" w:sz="4" w:space="0" w:color="0067AB" w:themeColor="accent1"/>
              <w:right w:val="single" w:sz="4" w:space="0" w:color="0067AB" w:themeColor="accent1"/>
            </w:tcBorders>
            <w:vAlign w:val="center"/>
          </w:tcPr>
          <w:p w14:paraId="76D18CBB" w14:textId="77777777" w:rsidR="00852846" w:rsidRPr="00F919E1" w:rsidRDefault="00852846" w:rsidP="00DC4D0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Auto Tire Inflation</w:t>
            </w:r>
          </w:p>
        </w:tc>
        <w:tc>
          <w:tcPr>
            <w:tcW w:w="2430" w:type="dxa"/>
            <w:tcBorders>
              <w:left w:val="single" w:sz="4" w:space="0" w:color="0067AB" w:themeColor="accent1"/>
              <w:right w:val="single" w:sz="4" w:space="0" w:color="0067AB" w:themeColor="accent1"/>
            </w:tcBorders>
            <w:vAlign w:val="center"/>
          </w:tcPr>
          <w:p w14:paraId="6010D47F" w14:textId="1EEB8DF1" w:rsidR="00852846" w:rsidRPr="00F919E1" w:rsidRDefault="00852846" w:rsidP="00DC4D0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Combination</w:t>
            </w:r>
            <w:r w:rsidR="007B1EA8">
              <w:rPr>
                <w:rFonts w:asciiTheme="minorHAnsi" w:hAnsiTheme="minorHAnsi"/>
                <w:sz w:val="18"/>
                <w:szCs w:val="18"/>
              </w:rPr>
              <w:t xml:space="preserve"> unit</w:t>
            </w:r>
            <w:r w:rsidRPr="00F919E1">
              <w:rPr>
                <w:rFonts w:asciiTheme="minorHAnsi" w:hAnsiTheme="minorHAnsi"/>
                <w:sz w:val="18"/>
                <w:szCs w:val="18"/>
              </w:rPr>
              <w:t xml:space="preserve"> Long Haul</w:t>
            </w:r>
          </w:p>
        </w:tc>
        <w:tc>
          <w:tcPr>
            <w:tcW w:w="927" w:type="dxa"/>
            <w:tcBorders>
              <w:left w:val="single" w:sz="4" w:space="0" w:color="0067AB" w:themeColor="accent1"/>
              <w:right w:val="single" w:sz="4" w:space="0" w:color="0067AB" w:themeColor="accent1"/>
            </w:tcBorders>
            <w:vAlign w:val="center"/>
          </w:tcPr>
          <w:p w14:paraId="00B50201" w14:textId="77777777" w:rsidR="00852846" w:rsidRPr="00F919E1" w:rsidRDefault="00852846" w:rsidP="00F919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F919E1">
              <w:rPr>
                <w:rFonts w:asciiTheme="minorHAnsi" w:hAnsiTheme="minorHAnsi"/>
                <w:color w:val="000000"/>
                <w:sz w:val="18"/>
                <w:szCs w:val="18"/>
              </w:rPr>
              <w:t>0%</w:t>
            </w:r>
          </w:p>
        </w:tc>
        <w:tc>
          <w:tcPr>
            <w:tcW w:w="927" w:type="dxa"/>
            <w:tcBorders>
              <w:left w:val="single" w:sz="4" w:space="0" w:color="0067AB" w:themeColor="accent1"/>
              <w:right w:val="single" w:sz="4" w:space="0" w:color="0067AB" w:themeColor="accent1"/>
            </w:tcBorders>
            <w:vAlign w:val="center"/>
          </w:tcPr>
          <w:p w14:paraId="3B1A8920" w14:textId="77777777" w:rsidR="00852846" w:rsidRPr="00F919E1" w:rsidRDefault="00852846" w:rsidP="00F919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F919E1">
              <w:rPr>
                <w:rFonts w:asciiTheme="minorHAnsi" w:hAnsiTheme="minorHAnsi"/>
                <w:color w:val="000000"/>
                <w:sz w:val="18"/>
                <w:szCs w:val="18"/>
              </w:rPr>
              <w:t>0%</w:t>
            </w:r>
          </w:p>
        </w:tc>
        <w:tc>
          <w:tcPr>
            <w:tcW w:w="927" w:type="dxa"/>
            <w:tcBorders>
              <w:left w:val="single" w:sz="4" w:space="0" w:color="0067AB" w:themeColor="accent1"/>
              <w:right w:val="single" w:sz="4" w:space="0" w:color="0067AB" w:themeColor="accent1"/>
            </w:tcBorders>
            <w:vAlign w:val="center"/>
          </w:tcPr>
          <w:p w14:paraId="040B6347" w14:textId="77777777" w:rsidR="00852846" w:rsidRPr="00F919E1" w:rsidRDefault="00852846" w:rsidP="00F919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F919E1">
              <w:rPr>
                <w:rFonts w:asciiTheme="minorHAnsi" w:hAnsiTheme="minorHAnsi"/>
                <w:color w:val="000000"/>
                <w:sz w:val="18"/>
                <w:szCs w:val="18"/>
              </w:rPr>
              <w:t>1%</w:t>
            </w:r>
          </w:p>
        </w:tc>
        <w:tc>
          <w:tcPr>
            <w:tcW w:w="927" w:type="dxa"/>
            <w:tcBorders>
              <w:left w:val="single" w:sz="4" w:space="0" w:color="0067AB" w:themeColor="accent1"/>
            </w:tcBorders>
            <w:vAlign w:val="center"/>
          </w:tcPr>
          <w:p w14:paraId="43EC40C8" w14:textId="77777777" w:rsidR="00852846" w:rsidRPr="00F919E1" w:rsidRDefault="00852846" w:rsidP="00F919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F919E1">
              <w:rPr>
                <w:rFonts w:asciiTheme="minorHAnsi" w:hAnsiTheme="minorHAnsi"/>
                <w:color w:val="000000"/>
                <w:sz w:val="18"/>
                <w:szCs w:val="18"/>
              </w:rPr>
              <w:t>1%</w:t>
            </w:r>
          </w:p>
        </w:tc>
      </w:tr>
      <w:tr w:rsidR="00852846" w:rsidRPr="00AF154D" w14:paraId="5E24BECB" w14:textId="77777777" w:rsidTr="00DC4D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345" w:type="dxa"/>
            <w:vMerge/>
            <w:tcBorders>
              <w:right w:val="single" w:sz="4" w:space="0" w:color="0067AB" w:themeColor="accent1"/>
            </w:tcBorders>
            <w:vAlign w:val="center"/>
          </w:tcPr>
          <w:p w14:paraId="551F7DBB" w14:textId="77777777" w:rsidR="00852846" w:rsidRPr="00F919E1" w:rsidRDefault="00852846" w:rsidP="00DC4D0E">
            <w:pPr>
              <w:rPr>
                <w:rFonts w:asciiTheme="minorHAnsi" w:hAnsiTheme="minorHAnsi"/>
                <w:sz w:val="18"/>
                <w:szCs w:val="18"/>
              </w:rPr>
            </w:pPr>
          </w:p>
        </w:tc>
        <w:tc>
          <w:tcPr>
            <w:tcW w:w="2160" w:type="dxa"/>
            <w:tcBorders>
              <w:left w:val="single" w:sz="4" w:space="0" w:color="0067AB" w:themeColor="accent1"/>
              <w:right w:val="single" w:sz="4" w:space="0" w:color="0067AB" w:themeColor="accent1"/>
            </w:tcBorders>
            <w:vAlign w:val="center"/>
          </w:tcPr>
          <w:p w14:paraId="34274673" w14:textId="77777777" w:rsidR="00852846" w:rsidRPr="00F919E1" w:rsidRDefault="00852846" w:rsidP="00DC4D0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Dual Tire Equalizers</w:t>
            </w:r>
          </w:p>
        </w:tc>
        <w:tc>
          <w:tcPr>
            <w:tcW w:w="2430" w:type="dxa"/>
            <w:tcBorders>
              <w:left w:val="single" w:sz="4" w:space="0" w:color="0067AB" w:themeColor="accent1"/>
              <w:right w:val="single" w:sz="4" w:space="0" w:color="0067AB" w:themeColor="accent1"/>
            </w:tcBorders>
            <w:vAlign w:val="center"/>
          </w:tcPr>
          <w:p w14:paraId="61C6899C" w14:textId="4DB10EAC" w:rsidR="00852846" w:rsidRPr="00F919E1" w:rsidRDefault="00852846" w:rsidP="00DC4D0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Combination</w:t>
            </w:r>
            <w:r w:rsidR="007B1EA8">
              <w:rPr>
                <w:rFonts w:asciiTheme="minorHAnsi" w:hAnsiTheme="minorHAnsi"/>
                <w:sz w:val="18"/>
                <w:szCs w:val="18"/>
              </w:rPr>
              <w:t xml:space="preserve"> unit</w:t>
            </w:r>
            <w:r w:rsidRPr="00F919E1">
              <w:rPr>
                <w:rFonts w:asciiTheme="minorHAnsi" w:hAnsiTheme="minorHAnsi"/>
                <w:sz w:val="18"/>
                <w:szCs w:val="18"/>
              </w:rPr>
              <w:t xml:space="preserve"> Long Haul</w:t>
            </w:r>
          </w:p>
        </w:tc>
        <w:tc>
          <w:tcPr>
            <w:tcW w:w="927" w:type="dxa"/>
            <w:tcBorders>
              <w:left w:val="single" w:sz="4" w:space="0" w:color="0067AB" w:themeColor="accent1"/>
              <w:right w:val="single" w:sz="4" w:space="0" w:color="0067AB" w:themeColor="accent1"/>
            </w:tcBorders>
            <w:vAlign w:val="center"/>
          </w:tcPr>
          <w:p w14:paraId="189A0BBA" w14:textId="77777777" w:rsidR="00852846" w:rsidRPr="00F919E1" w:rsidRDefault="00852846" w:rsidP="00F919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F919E1">
              <w:rPr>
                <w:rFonts w:asciiTheme="minorHAnsi" w:hAnsiTheme="minorHAnsi"/>
                <w:color w:val="000000"/>
                <w:sz w:val="18"/>
                <w:szCs w:val="18"/>
              </w:rPr>
              <w:t>0%</w:t>
            </w:r>
          </w:p>
        </w:tc>
        <w:tc>
          <w:tcPr>
            <w:tcW w:w="927" w:type="dxa"/>
            <w:tcBorders>
              <w:left w:val="single" w:sz="4" w:space="0" w:color="0067AB" w:themeColor="accent1"/>
              <w:right w:val="single" w:sz="4" w:space="0" w:color="0067AB" w:themeColor="accent1"/>
            </w:tcBorders>
            <w:vAlign w:val="center"/>
          </w:tcPr>
          <w:p w14:paraId="68C0A12E" w14:textId="77777777" w:rsidR="00852846" w:rsidRPr="00F919E1" w:rsidRDefault="00852846" w:rsidP="00F919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F919E1">
              <w:rPr>
                <w:rFonts w:asciiTheme="minorHAnsi" w:hAnsiTheme="minorHAnsi"/>
                <w:color w:val="000000"/>
                <w:sz w:val="18"/>
                <w:szCs w:val="18"/>
              </w:rPr>
              <w:t>0%</w:t>
            </w:r>
          </w:p>
        </w:tc>
        <w:tc>
          <w:tcPr>
            <w:tcW w:w="927" w:type="dxa"/>
            <w:tcBorders>
              <w:left w:val="single" w:sz="4" w:space="0" w:color="0067AB" w:themeColor="accent1"/>
              <w:right w:val="single" w:sz="4" w:space="0" w:color="0067AB" w:themeColor="accent1"/>
            </w:tcBorders>
            <w:vAlign w:val="center"/>
          </w:tcPr>
          <w:p w14:paraId="40F44DE8" w14:textId="77777777" w:rsidR="00852846" w:rsidRPr="00F919E1" w:rsidRDefault="00852846" w:rsidP="00F919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F919E1">
              <w:rPr>
                <w:rFonts w:asciiTheme="minorHAnsi" w:hAnsiTheme="minorHAnsi"/>
                <w:color w:val="000000"/>
                <w:sz w:val="18"/>
                <w:szCs w:val="18"/>
              </w:rPr>
              <w:t>1%</w:t>
            </w:r>
          </w:p>
        </w:tc>
        <w:tc>
          <w:tcPr>
            <w:tcW w:w="927" w:type="dxa"/>
            <w:tcBorders>
              <w:left w:val="single" w:sz="4" w:space="0" w:color="0067AB" w:themeColor="accent1"/>
            </w:tcBorders>
            <w:vAlign w:val="center"/>
          </w:tcPr>
          <w:p w14:paraId="775DA235" w14:textId="77777777" w:rsidR="00852846" w:rsidRPr="00F919E1" w:rsidRDefault="00852846" w:rsidP="00F919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F919E1">
              <w:rPr>
                <w:rFonts w:asciiTheme="minorHAnsi" w:hAnsiTheme="minorHAnsi"/>
                <w:color w:val="000000"/>
                <w:sz w:val="18"/>
                <w:szCs w:val="18"/>
              </w:rPr>
              <w:t>1%</w:t>
            </w:r>
          </w:p>
        </w:tc>
      </w:tr>
      <w:tr w:rsidR="00852846" w:rsidRPr="00AF154D" w14:paraId="16521706" w14:textId="77777777" w:rsidTr="00DC4D0E">
        <w:trPr>
          <w:trHeight w:val="288"/>
          <w:jc w:val="center"/>
        </w:trPr>
        <w:tc>
          <w:tcPr>
            <w:cnfStyle w:val="001000000000" w:firstRow="0" w:lastRow="0" w:firstColumn="1" w:lastColumn="0" w:oddVBand="0" w:evenVBand="0" w:oddHBand="0" w:evenHBand="0" w:firstRowFirstColumn="0" w:firstRowLastColumn="0" w:lastRowFirstColumn="0" w:lastRowLastColumn="0"/>
            <w:tcW w:w="1345" w:type="dxa"/>
            <w:vMerge/>
            <w:tcBorders>
              <w:right w:val="single" w:sz="4" w:space="0" w:color="0067AB" w:themeColor="accent1"/>
            </w:tcBorders>
            <w:vAlign w:val="center"/>
          </w:tcPr>
          <w:p w14:paraId="42B84F2F" w14:textId="77777777" w:rsidR="00852846" w:rsidRPr="00F919E1" w:rsidRDefault="00852846" w:rsidP="00DC4D0E">
            <w:pPr>
              <w:rPr>
                <w:rFonts w:asciiTheme="minorHAnsi" w:hAnsiTheme="minorHAnsi"/>
                <w:sz w:val="18"/>
                <w:szCs w:val="18"/>
              </w:rPr>
            </w:pPr>
          </w:p>
        </w:tc>
        <w:tc>
          <w:tcPr>
            <w:tcW w:w="2160" w:type="dxa"/>
            <w:tcBorders>
              <w:left w:val="single" w:sz="4" w:space="0" w:color="0067AB" w:themeColor="accent1"/>
              <w:right w:val="single" w:sz="4" w:space="0" w:color="0067AB" w:themeColor="accent1"/>
            </w:tcBorders>
            <w:vAlign w:val="center"/>
          </w:tcPr>
          <w:p w14:paraId="33C284F5" w14:textId="77777777" w:rsidR="00852846" w:rsidRPr="00F919E1" w:rsidRDefault="00852846" w:rsidP="00DC4D0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Central Tire Inflation</w:t>
            </w:r>
          </w:p>
        </w:tc>
        <w:tc>
          <w:tcPr>
            <w:tcW w:w="2430" w:type="dxa"/>
            <w:tcBorders>
              <w:left w:val="single" w:sz="4" w:space="0" w:color="0067AB" w:themeColor="accent1"/>
              <w:right w:val="single" w:sz="4" w:space="0" w:color="0067AB" w:themeColor="accent1"/>
            </w:tcBorders>
            <w:vAlign w:val="center"/>
          </w:tcPr>
          <w:p w14:paraId="48737E66" w14:textId="1C8CB833" w:rsidR="00852846" w:rsidRPr="00F919E1" w:rsidRDefault="00852846" w:rsidP="00DC4D0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Combination</w:t>
            </w:r>
            <w:r w:rsidR="007B1EA8">
              <w:rPr>
                <w:rFonts w:asciiTheme="minorHAnsi" w:hAnsiTheme="minorHAnsi"/>
                <w:sz w:val="18"/>
                <w:szCs w:val="18"/>
              </w:rPr>
              <w:t xml:space="preserve"> unit</w:t>
            </w:r>
            <w:r w:rsidRPr="00F919E1">
              <w:rPr>
                <w:rFonts w:asciiTheme="minorHAnsi" w:hAnsiTheme="minorHAnsi"/>
                <w:sz w:val="18"/>
                <w:szCs w:val="18"/>
              </w:rPr>
              <w:t xml:space="preserve"> Long Haul</w:t>
            </w:r>
          </w:p>
        </w:tc>
        <w:tc>
          <w:tcPr>
            <w:tcW w:w="927" w:type="dxa"/>
            <w:tcBorders>
              <w:left w:val="single" w:sz="4" w:space="0" w:color="0067AB" w:themeColor="accent1"/>
              <w:right w:val="single" w:sz="4" w:space="0" w:color="0067AB" w:themeColor="accent1"/>
            </w:tcBorders>
            <w:vAlign w:val="center"/>
          </w:tcPr>
          <w:p w14:paraId="11C4EF44" w14:textId="77777777" w:rsidR="00852846" w:rsidRPr="00F919E1" w:rsidRDefault="00852846" w:rsidP="00F919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F919E1">
              <w:rPr>
                <w:rFonts w:asciiTheme="minorHAnsi" w:hAnsiTheme="minorHAnsi"/>
                <w:color w:val="000000"/>
                <w:sz w:val="18"/>
                <w:szCs w:val="18"/>
              </w:rPr>
              <w:t>0%</w:t>
            </w:r>
          </w:p>
        </w:tc>
        <w:tc>
          <w:tcPr>
            <w:tcW w:w="927" w:type="dxa"/>
            <w:tcBorders>
              <w:left w:val="single" w:sz="4" w:space="0" w:color="0067AB" w:themeColor="accent1"/>
              <w:right w:val="single" w:sz="4" w:space="0" w:color="0067AB" w:themeColor="accent1"/>
            </w:tcBorders>
            <w:vAlign w:val="center"/>
          </w:tcPr>
          <w:p w14:paraId="4B1BBFDF" w14:textId="77777777" w:rsidR="00852846" w:rsidRPr="00F919E1" w:rsidRDefault="00852846" w:rsidP="00F919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F919E1">
              <w:rPr>
                <w:rFonts w:asciiTheme="minorHAnsi" w:hAnsiTheme="minorHAnsi"/>
                <w:color w:val="000000"/>
                <w:sz w:val="18"/>
                <w:szCs w:val="18"/>
              </w:rPr>
              <w:t>0%</w:t>
            </w:r>
          </w:p>
        </w:tc>
        <w:tc>
          <w:tcPr>
            <w:tcW w:w="927" w:type="dxa"/>
            <w:tcBorders>
              <w:left w:val="single" w:sz="4" w:space="0" w:color="0067AB" w:themeColor="accent1"/>
              <w:right w:val="single" w:sz="4" w:space="0" w:color="0067AB" w:themeColor="accent1"/>
            </w:tcBorders>
            <w:vAlign w:val="center"/>
          </w:tcPr>
          <w:p w14:paraId="029CA263" w14:textId="77777777" w:rsidR="00852846" w:rsidRPr="00F919E1" w:rsidRDefault="00852846" w:rsidP="00F919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F919E1">
              <w:rPr>
                <w:rFonts w:asciiTheme="minorHAnsi" w:hAnsiTheme="minorHAnsi"/>
                <w:color w:val="000000"/>
                <w:sz w:val="18"/>
                <w:szCs w:val="18"/>
              </w:rPr>
              <w:t>1%</w:t>
            </w:r>
          </w:p>
        </w:tc>
        <w:tc>
          <w:tcPr>
            <w:tcW w:w="927" w:type="dxa"/>
            <w:tcBorders>
              <w:left w:val="single" w:sz="4" w:space="0" w:color="0067AB" w:themeColor="accent1"/>
            </w:tcBorders>
            <w:vAlign w:val="center"/>
          </w:tcPr>
          <w:p w14:paraId="4E0E514F" w14:textId="77777777" w:rsidR="00852846" w:rsidRPr="00F919E1" w:rsidRDefault="00852846" w:rsidP="00F919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F919E1">
              <w:rPr>
                <w:rFonts w:asciiTheme="minorHAnsi" w:hAnsiTheme="minorHAnsi"/>
                <w:color w:val="000000"/>
                <w:sz w:val="18"/>
                <w:szCs w:val="18"/>
              </w:rPr>
              <w:t>1%</w:t>
            </w:r>
          </w:p>
        </w:tc>
      </w:tr>
      <w:tr w:rsidR="00852846" w:rsidRPr="00AF154D" w14:paraId="545CE2FA" w14:textId="77777777" w:rsidTr="00DC4D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345" w:type="dxa"/>
            <w:vMerge/>
            <w:tcBorders>
              <w:right w:val="single" w:sz="4" w:space="0" w:color="0067AB" w:themeColor="accent1"/>
            </w:tcBorders>
            <w:vAlign w:val="center"/>
          </w:tcPr>
          <w:p w14:paraId="664A0B0F" w14:textId="77777777" w:rsidR="00852846" w:rsidRPr="00F919E1" w:rsidRDefault="00852846" w:rsidP="00DC4D0E">
            <w:pPr>
              <w:rPr>
                <w:rFonts w:asciiTheme="minorHAnsi" w:hAnsiTheme="minorHAnsi"/>
                <w:sz w:val="18"/>
                <w:szCs w:val="18"/>
              </w:rPr>
            </w:pPr>
          </w:p>
        </w:tc>
        <w:tc>
          <w:tcPr>
            <w:tcW w:w="2160" w:type="dxa"/>
            <w:tcBorders>
              <w:left w:val="single" w:sz="4" w:space="0" w:color="0067AB" w:themeColor="accent1"/>
              <w:right w:val="single" w:sz="4" w:space="0" w:color="0067AB" w:themeColor="accent1"/>
            </w:tcBorders>
            <w:vAlign w:val="center"/>
          </w:tcPr>
          <w:p w14:paraId="41971C09" w14:textId="77777777" w:rsidR="00852846" w:rsidRPr="00F919E1" w:rsidRDefault="00852846" w:rsidP="00DC4D0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Passive Tire Containment</w:t>
            </w:r>
          </w:p>
        </w:tc>
        <w:tc>
          <w:tcPr>
            <w:tcW w:w="2430" w:type="dxa"/>
            <w:tcBorders>
              <w:left w:val="single" w:sz="4" w:space="0" w:color="0067AB" w:themeColor="accent1"/>
              <w:right w:val="single" w:sz="4" w:space="0" w:color="0067AB" w:themeColor="accent1"/>
            </w:tcBorders>
            <w:vAlign w:val="center"/>
          </w:tcPr>
          <w:p w14:paraId="5D1B5A16" w14:textId="5D833C97" w:rsidR="00852846" w:rsidRPr="00F919E1" w:rsidRDefault="00852846" w:rsidP="00DC4D0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Combination</w:t>
            </w:r>
            <w:r w:rsidR="007B1EA8">
              <w:rPr>
                <w:rFonts w:asciiTheme="minorHAnsi" w:hAnsiTheme="minorHAnsi"/>
                <w:sz w:val="18"/>
                <w:szCs w:val="18"/>
              </w:rPr>
              <w:t xml:space="preserve"> unit</w:t>
            </w:r>
            <w:r w:rsidRPr="00F919E1">
              <w:rPr>
                <w:rFonts w:asciiTheme="minorHAnsi" w:hAnsiTheme="minorHAnsi"/>
                <w:sz w:val="18"/>
                <w:szCs w:val="18"/>
              </w:rPr>
              <w:t xml:space="preserve"> Long Haul</w:t>
            </w:r>
          </w:p>
        </w:tc>
        <w:tc>
          <w:tcPr>
            <w:tcW w:w="927" w:type="dxa"/>
            <w:tcBorders>
              <w:left w:val="single" w:sz="4" w:space="0" w:color="0067AB" w:themeColor="accent1"/>
              <w:right w:val="single" w:sz="4" w:space="0" w:color="0067AB" w:themeColor="accent1"/>
            </w:tcBorders>
            <w:vAlign w:val="center"/>
          </w:tcPr>
          <w:p w14:paraId="7D5BEF81" w14:textId="77777777" w:rsidR="00852846" w:rsidRPr="00F919E1" w:rsidRDefault="00852846" w:rsidP="00F919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F919E1">
              <w:rPr>
                <w:rFonts w:asciiTheme="minorHAnsi" w:hAnsiTheme="minorHAnsi"/>
                <w:color w:val="000000"/>
                <w:sz w:val="18"/>
                <w:szCs w:val="18"/>
              </w:rPr>
              <w:t>0%</w:t>
            </w:r>
          </w:p>
        </w:tc>
        <w:tc>
          <w:tcPr>
            <w:tcW w:w="927" w:type="dxa"/>
            <w:tcBorders>
              <w:left w:val="single" w:sz="4" w:space="0" w:color="0067AB" w:themeColor="accent1"/>
              <w:right w:val="single" w:sz="4" w:space="0" w:color="0067AB" w:themeColor="accent1"/>
            </w:tcBorders>
            <w:vAlign w:val="center"/>
          </w:tcPr>
          <w:p w14:paraId="4B002F2F" w14:textId="77777777" w:rsidR="00852846" w:rsidRPr="00F919E1" w:rsidRDefault="00852846" w:rsidP="00F919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F919E1">
              <w:rPr>
                <w:rFonts w:asciiTheme="minorHAnsi" w:hAnsiTheme="minorHAnsi"/>
                <w:color w:val="000000"/>
                <w:sz w:val="18"/>
                <w:szCs w:val="18"/>
              </w:rPr>
              <w:t>0%</w:t>
            </w:r>
          </w:p>
        </w:tc>
        <w:tc>
          <w:tcPr>
            <w:tcW w:w="927" w:type="dxa"/>
            <w:tcBorders>
              <w:left w:val="single" w:sz="4" w:space="0" w:color="0067AB" w:themeColor="accent1"/>
              <w:right w:val="single" w:sz="4" w:space="0" w:color="0067AB" w:themeColor="accent1"/>
            </w:tcBorders>
            <w:vAlign w:val="center"/>
          </w:tcPr>
          <w:p w14:paraId="611EF9B6" w14:textId="77777777" w:rsidR="00852846" w:rsidRPr="00F919E1" w:rsidRDefault="00852846" w:rsidP="00F919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F919E1">
              <w:rPr>
                <w:rFonts w:asciiTheme="minorHAnsi" w:hAnsiTheme="minorHAnsi"/>
                <w:color w:val="000000"/>
                <w:sz w:val="18"/>
                <w:szCs w:val="18"/>
              </w:rPr>
              <w:t>1%</w:t>
            </w:r>
          </w:p>
        </w:tc>
        <w:tc>
          <w:tcPr>
            <w:tcW w:w="927" w:type="dxa"/>
            <w:tcBorders>
              <w:left w:val="single" w:sz="4" w:space="0" w:color="0067AB" w:themeColor="accent1"/>
            </w:tcBorders>
            <w:vAlign w:val="center"/>
          </w:tcPr>
          <w:p w14:paraId="7C5E9A93" w14:textId="77777777" w:rsidR="00852846" w:rsidRPr="00F919E1" w:rsidRDefault="00852846" w:rsidP="00F919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F919E1">
              <w:rPr>
                <w:rFonts w:asciiTheme="minorHAnsi" w:hAnsiTheme="minorHAnsi"/>
                <w:color w:val="000000"/>
                <w:sz w:val="18"/>
                <w:szCs w:val="18"/>
              </w:rPr>
              <w:t>1%</w:t>
            </w:r>
          </w:p>
        </w:tc>
      </w:tr>
    </w:tbl>
    <w:p w14:paraId="54B96B3E" w14:textId="77777777" w:rsidR="001512C6" w:rsidRDefault="001512C6" w:rsidP="001512C6">
      <w:pPr>
        <w:pStyle w:val="BodyText"/>
      </w:pPr>
    </w:p>
    <w:p w14:paraId="68541E09" w14:textId="7E112A6A" w:rsidR="001512C6" w:rsidRDefault="001512C6">
      <w:pPr>
        <w:spacing w:after="200" w:line="276" w:lineRule="auto"/>
        <w:rPr>
          <w:rFonts w:cs="Arial"/>
        </w:rPr>
      </w:pPr>
      <w:r>
        <w:br w:type="page"/>
      </w:r>
    </w:p>
    <w:p w14:paraId="0A7C681E" w14:textId="77777777" w:rsidR="00987C9F" w:rsidRDefault="00987C9F" w:rsidP="00987C9F">
      <w:pPr>
        <w:pStyle w:val="Heading2"/>
      </w:pPr>
      <w:bookmarkStart w:id="85" w:name="_Toc482973566"/>
      <w:r>
        <w:lastRenderedPageBreak/>
        <w:t>Cost Estimates</w:t>
      </w:r>
      <w:bookmarkEnd w:id="85"/>
    </w:p>
    <w:p w14:paraId="61B2EB76" w14:textId="0EB85250" w:rsidR="00DC4D0E" w:rsidRDefault="00DC4D0E" w:rsidP="00901C9F">
      <w:pPr>
        <w:pStyle w:val="BodyText"/>
      </w:pPr>
      <w:r>
        <w:t xml:space="preserve">To calculate cost impacts and </w:t>
      </w:r>
      <w:r w:rsidR="001F7075">
        <w:t>cost effective</w:t>
      </w:r>
      <w:r>
        <w:t xml:space="preserve">ness in the Tool, typical capital costs and operation-and-maintenance costs for each strategy were taken from the Clean Truck Strategies Guide developed under this project. Fuel costs are discussed later in this section. </w:t>
      </w:r>
    </w:p>
    <w:p w14:paraId="28000049" w14:textId="32EC3C82" w:rsidR="00DC4D0E" w:rsidRDefault="00DC4D0E" w:rsidP="00901C9F">
      <w:pPr>
        <w:pStyle w:val="BodyText"/>
      </w:pPr>
      <w:r>
        <w:t>For alternative</w:t>
      </w:r>
      <w:r w:rsidR="00652358">
        <w:t xml:space="preserve"> </w:t>
      </w:r>
      <w:r>
        <w:t>fuel trucks that require full vehicle replacement, an incremental cost was calculated and added to the cost of a new conventional</w:t>
      </w:r>
      <w:r w:rsidR="00652358">
        <w:t xml:space="preserve"> </w:t>
      </w:r>
      <w:r>
        <w:t xml:space="preserve">fuel truck. Incremental costs for the various alternative fuels used in the Tool are shown in </w:t>
      </w:r>
      <w:r w:rsidR="00833B69">
        <w:fldChar w:fldCharType="begin"/>
      </w:r>
      <w:r>
        <w:instrText xml:space="preserve"> REF _Ref459899530 \h </w:instrText>
      </w:r>
      <w:r w:rsidR="00833B69">
        <w:fldChar w:fldCharType="separate"/>
      </w:r>
      <w:r w:rsidR="00C42F38">
        <w:t xml:space="preserve">Table </w:t>
      </w:r>
      <w:r w:rsidR="00C42F38">
        <w:rPr>
          <w:noProof/>
        </w:rPr>
        <w:t>22</w:t>
      </w:r>
      <w:r w:rsidR="00833B69">
        <w:fldChar w:fldCharType="end"/>
      </w:r>
      <w:r>
        <w:t>.</w:t>
      </w:r>
      <w:r w:rsidRPr="005A1D4D">
        <w:t xml:space="preserve"> </w:t>
      </w:r>
      <w:r>
        <w:t>There is no capital cost for drop-in fuels such as B20 or R100</w:t>
      </w:r>
      <w:r w:rsidR="00652358">
        <w:t>, which can be used in conventional trucks without modification</w:t>
      </w:r>
      <w:r>
        <w:t>.</w:t>
      </w:r>
    </w:p>
    <w:p w14:paraId="2317B202" w14:textId="77777777" w:rsidR="00DC4D0E" w:rsidRDefault="00DC4D0E" w:rsidP="00082BE8">
      <w:pPr>
        <w:pStyle w:val="TableCaption"/>
        <w:keepNext w:val="0"/>
      </w:pPr>
      <w:bookmarkStart w:id="86" w:name="_Ref459899530"/>
      <w:bookmarkStart w:id="87" w:name="_Toc482973602"/>
      <w:r>
        <w:t xml:space="preserve">Table </w:t>
      </w:r>
      <w:r w:rsidR="00833B69">
        <w:fldChar w:fldCharType="begin"/>
      </w:r>
      <w:r>
        <w:instrText xml:space="preserve"> SEQ Table \* ARABIC </w:instrText>
      </w:r>
      <w:r w:rsidR="00833B69">
        <w:fldChar w:fldCharType="separate"/>
      </w:r>
      <w:r w:rsidR="00305706">
        <w:t>22</w:t>
      </w:r>
      <w:r w:rsidR="00833B69">
        <w:fldChar w:fldCharType="end"/>
      </w:r>
      <w:bookmarkEnd w:id="86"/>
      <w:r>
        <w:t>. Incremental Capital Costs for Alternative-fuel Scenarios</w:t>
      </w:r>
      <w:bookmarkEnd w:id="87"/>
    </w:p>
    <w:tbl>
      <w:tblPr>
        <w:tblStyle w:val="TemplateTable"/>
        <w:tblW w:w="0" w:type="auto"/>
        <w:tblLook w:val="04A0" w:firstRow="1" w:lastRow="0" w:firstColumn="1" w:lastColumn="0" w:noHBand="0" w:noVBand="1"/>
      </w:tblPr>
      <w:tblGrid>
        <w:gridCol w:w="2250"/>
        <w:gridCol w:w="1372"/>
        <w:gridCol w:w="1373"/>
        <w:gridCol w:w="1480"/>
        <w:gridCol w:w="1440"/>
      </w:tblGrid>
      <w:tr w:rsidR="00B30802" w14:paraId="1E049909" w14:textId="77777777" w:rsidTr="00DC4D0E">
        <w:trPr>
          <w:cnfStyle w:val="100000000000" w:firstRow="1" w:lastRow="0" w:firstColumn="0" w:lastColumn="0" w:oddVBand="0" w:evenVBand="0" w:oddHBand="0" w:evenHBand="0" w:firstRowFirstColumn="0" w:firstRowLastColumn="0" w:lastRowFirstColumn="0" w:lastRowLastColumn="0"/>
        </w:trPr>
        <w:tc>
          <w:tcPr>
            <w:tcW w:w="2250" w:type="dxa"/>
            <w:tcBorders>
              <w:bottom w:val="single" w:sz="4" w:space="0" w:color="0067AB" w:themeColor="accent1"/>
            </w:tcBorders>
          </w:tcPr>
          <w:p w14:paraId="5F14C720" w14:textId="77777777" w:rsidR="00B30802" w:rsidRPr="00B30802" w:rsidRDefault="00B30802" w:rsidP="00082BE8">
            <w:pPr>
              <w:pStyle w:val="BodyText"/>
              <w:keepNext w:val="0"/>
              <w:keepLines w:val="0"/>
              <w:spacing w:after="0" w:line="240" w:lineRule="auto"/>
              <w:rPr>
                <w:sz w:val="18"/>
                <w:szCs w:val="18"/>
              </w:rPr>
            </w:pPr>
            <w:r>
              <w:rPr>
                <w:sz w:val="18"/>
                <w:szCs w:val="18"/>
              </w:rPr>
              <w:t>Fuel</w:t>
            </w:r>
          </w:p>
        </w:tc>
        <w:tc>
          <w:tcPr>
            <w:tcW w:w="1372" w:type="dxa"/>
            <w:tcBorders>
              <w:bottom w:val="single" w:sz="4" w:space="0" w:color="0067AB" w:themeColor="accent1"/>
            </w:tcBorders>
          </w:tcPr>
          <w:p w14:paraId="3B27ECA5" w14:textId="66C98229" w:rsidR="00B30802" w:rsidRPr="00B30802" w:rsidRDefault="00B30802" w:rsidP="00082BE8">
            <w:pPr>
              <w:pStyle w:val="BodyText"/>
              <w:keepNext w:val="0"/>
              <w:keepLines w:val="0"/>
              <w:spacing w:after="0" w:line="240" w:lineRule="auto"/>
              <w:rPr>
                <w:sz w:val="18"/>
                <w:szCs w:val="18"/>
              </w:rPr>
            </w:pPr>
            <w:r>
              <w:rPr>
                <w:sz w:val="18"/>
                <w:szCs w:val="18"/>
              </w:rPr>
              <w:t>Single</w:t>
            </w:r>
            <w:r w:rsidR="007B1EA8">
              <w:rPr>
                <w:sz w:val="18"/>
                <w:szCs w:val="18"/>
              </w:rPr>
              <w:t xml:space="preserve"> unit</w:t>
            </w:r>
            <w:r>
              <w:rPr>
                <w:sz w:val="18"/>
                <w:szCs w:val="18"/>
              </w:rPr>
              <w:t xml:space="preserve"> Short Haul</w:t>
            </w:r>
          </w:p>
        </w:tc>
        <w:tc>
          <w:tcPr>
            <w:tcW w:w="1373" w:type="dxa"/>
            <w:tcBorders>
              <w:bottom w:val="single" w:sz="4" w:space="0" w:color="0067AB" w:themeColor="accent1"/>
            </w:tcBorders>
          </w:tcPr>
          <w:p w14:paraId="05AE3D80" w14:textId="3DA8EB4B" w:rsidR="00B30802" w:rsidRPr="00B30802" w:rsidRDefault="00B30802" w:rsidP="00082BE8">
            <w:pPr>
              <w:pStyle w:val="BodyText"/>
              <w:keepNext w:val="0"/>
              <w:keepLines w:val="0"/>
              <w:spacing w:after="0" w:line="240" w:lineRule="auto"/>
              <w:rPr>
                <w:sz w:val="18"/>
                <w:szCs w:val="18"/>
              </w:rPr>
            </w:pPr>
            <w:r>
              <w:rPr>
                <w:sz w:val="18"/>
                <w:szCs w:val="18"/>
              </w:rPr>
              <w:t>Single</w:t>
            </w:r>
            <w:r w:rsidR="007B1EA8">
              <w:rPr>
                <w:sz w:val="18"/>
                <w:szCs w:val="18"/>
              </w:rPr>
              <w:t xml:space="preserve"> unit</w:t>
            </w:r>
            <w:r>
              <w:rPr>
                <w:sz w:val="18"/>
                <w:szCs w:val="18"/>
              </w:rPr>
              <w:t xml:space="preserve"> Long Haul</w:t>
            </w:r>
          </w:p>
        </w:tc>
        <w:tc>
          <w:tcPr>
            <w:tcW w:w="1480" w:type="dxa"/>
            <w:tcBorders>
              <w:bottom w:val="single" w:sz="4" w:space="0" w:color="0067AB" w:themeColor="accent1"/>
            </w:tcBorders>
          </w:tcPr>
          <w:p w14:paraId="087A1CE3" w14:textId="14576468" w:rsidR="00B30802" w:rsidRPr="00B30802" w:rsidRDefault="00B30802" w:rsidP="00082BE8">
            <w:pPr>
              <w:pStyle w:val="BodyText"/>
              <w:keepNext w:val="0"/>
              <w:keepLines w:val="0"/>
              <w:spacing w:after="0" w:line="240" w:lineRule="auto"/>
              <w:rPr>
                <w:sz w:val="18"/>
                <w:szCs w:val="18"/>
              </w:rPr>
            </w:pPr>
            <w:r>
              <w:rPr>
                <w:sz w:val="18"/>
                <w:szCs w:val="18"/>
              </w:rPr>
              <w:t>Combination</w:t>
            </w:r>
            <w:r w:rsidR="007B1EA8">
              <w:rPr>
                <w:sz w:val="18"/>
                <w:szCs w:val="18"/>
              </w:rPr>
              <w:t xml:space="preserve"> unit</w:t>
            </w:r>
            <w:r w:rsidR="00DC4D0E">
              <w:rPr>
                <w:sz w:val="18"/>
                <w:szCs w:val="18"/>
              </w:rPr>
              <w:t xml:space="preserve"> </w:t>
            </w:r>
            <w:r>
              <w:rPr>
                <w:sz w:val="18"/>
                <w:szCs w:val="18"/>
              </w:rPr>
              <w:t xml:space="preserve"> Short Haul</w:t>
            </w:r>
          </w:p>
        </w:tc>
        <w:tc>
          <w:tcPr>
            <w:tcW w:w="1440" w:type="dxa"/>
            <w:tcBorders>
              <w:bottom w:val="single" w:sz="4" w:space="0" w:color="0067AB" w:themeColor="accent1"/>
            </w:tcBorders>
          </w:tcPr>
          <w:p w14:paraId="4FB2EB95" w14:textId="77B39A2F" w:rsidR="00B30802" w:rsidRPr="00B30802" w:rsidRDefault="00B30802" w:rsidP="00082BE8">
            <w:pPr>
              <w:pStyle w:val="BodyText"/>
              <w:keepNext w:val="0"/>
              <w:keepLines w:val="0"/>
              <w:spacing w:after="0" w:line="240" w:lineRule="auto"/>
              <w:rPr>
                <w:sz w:val="18"/>
                <w:szCs w:val="18"/>
              </w:rPr>
            </w:pPr>
            <w:r>
              <w:rPr>
                <w:sz w:val="18"/>
                <w:szCs w:val="18"/>
              </w:rPr>
              <w:t>Combination</w:t>
            </w:r>
            <w:r w:rsidR="007B1EA8">
              <w:rPr>
                <w:sz w:val="18"/>
                <w:szCs w:val="18"/>
              </w:rPr>
              <w:t xml:space="preserve"> unit</w:t>
            </w:r>
            <w:r>
              <w:rPr>
                <w:sz w:val="18"/>
                <w:szCs w:val="18"/>
              </w:rPr>
              <w:t xml:space="preserve"> Long Haul</w:t>
            </w:r>
          </w:p>
        </w:tc>
      </w:tr>
      <w:tr w:rsidR="00B30802" w14:paraId="11B32569" w14:textId="77777777" w:rsidTr="00DC4D0E">
        <w:tc>
          <w:tcPr>
            <w:tcW w:w="225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316FA2F2" w14:textId="77777777" w:rsidR="00B30802" w:rsidRPr="00B30802" w:rsidRDefault="00B30802" w:rsidP="00082BE8">
            <w:pPr>
              <w:pStyle w:val="BodyText"/>
              <w:spacing w:after="0" w:line="240" w:lineRule="auto"/>
              <w:rPr>
                <w:sz w:val="18"/>
                <w:szCs w:val="18"/>
              </w:rPr>
            </w:pPr>
            <w:r>
              <w:rPr>
                <w:sz w:val="18"/>
                <w:szCs w:val="18"/>
              </w:rPr>
              <w:t>CNG</w:t>
            </w:r>
          </w:p>
        </w:tc>
        <w:tc>
          <w:tcPr>
            <w:tcW w:w="1372"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22CAEBFE" w14:textId="77777777" w:rsidR="00B30802" w:rsidRPr="00B30802" w:rsidRDefault="00090B99" w:rsidP="00082BE8">
            <w:pPr>
              <w:pStyle w:val="BodyText"/>
              <w:spacing w:after="0" w:line="240" w:lineRule="auto"/>
              <w:jc w:val="center"/>
              <w:rPr>
                <w:sz w:val="18"/>
                <w:szCs w:val="18"/>
              </w:rPr>
            </w:pPr>
            <w:r>
              <w:rPr>
                <w:sz w:val="18"/>
                <w:szCs w:val="18"/>
              </w:rPr>
              <w:t>$35,000</w:t>
            </w:r>
          </w:p>
        </w:tc>
        <w:tc>
          <w:tcPr>
            <w:tcW w:w="1373"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5DCC2D16" w14:textId="77777777" w:rsidR="00B30802" w:rsidRPr="00B30802" w:rsidRDefault="005A1D4D" w:rsidP="00082BE8">
            <w:pPr>
              <w:pStyle w:val="BodyText"/>
              <w:spacing w:after="0" w:line="240" w:lineRule="auto"/>
              <w:jc w:val="center"/>
              <w:rPr>
                <w:sz w:val="18"/>
                <w:szCs w:val="18"/>
              </w:rPr>
            </w:pPr>
            <w:r>
              <w:rPr>
                <w:sz w:val="18"/>
                <w:szCs w:val="18"/>
              </w:rPr>
              <w:t>$45,000</w:t>
            </w:r>
          </w:p>
        </w:tc>
        <w:tc>
          <w:tcPr>
            <w:tcW w:w="148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7CEA9F92" w14:textId="77777777" w:rsidR="00B30802" w:rsidRPr="00B30802" w:rsidRDefault="005A1D4D" w:rsidP="00082BE8">
            <w:pPr>
              <w:pStyle w:val="BodyText"/>
              <w:spacing w:after="0" w:line="240" w:lineRule="auto"/>
              <w:jc w:val="center"/>
              <w:rPr>
                <w:sz w:val="18"/>
                <w:szCs w:val="18"/>
              </w:rPr>
            </w:pPr>
            <w:r>
              <w:rPr>
                <w:sz w:val="18"/>
                <w:szCs w:val="18"/>
              </w:rPr>
              <w:t>$60,000</w:t>
            </w:r>
          </w:p>
        </w:tc>
        <w:tc>
          <w:tcPr>
            <w:tcW w:w="144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4FF8AA89" w14:textId="77777777" w:rsidR="00B30802" w:rsidRPr="00B30802" w:rsidRDefault="005A1D4D" w:rsidP="00082BE8">
            <w:pPr>
              <w:pStyle w:val="BodyText"/>
              <w:spacing w:after="0" w:line="240" w:lineRule="auto"/>
              <w:jc w:val="center"/>
              <w:rPr>
                <w:sz w:val="18"/>
                <w:szCs w:val="18"/>
              </w:rPr>
            </w:pPr>
            <w:r>
              <w:rPr>
                <w:sz w:val="18"/>
                <w:szCs w:val="18"/>
              </w:rPr>
              <w:t>$75,000</w:t>
            </w:r>
          </w:p>
        </w:tc>
      </w:tr>
      <w:tr w:rsidR="00B30802" w14:paraId="4D3E4630" w14:textId="77777777" w:rsidTr="00DC4D0E">
        <w:tc>
          <w:tcPr>
            <w:tcW w:w="225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20AEE63E" w14:textId="77777777" w:rsidR="00B30802" w:rsidRPr="00B30802" w:rsidRDefault="00B30802" w:rsidP="00082BE8">
            <w:pPr>
              <w:pStyle w:val="BodyText"/>
              <w:spacing w:after="0" w:line="240" w:lineRule="auto"/>
              <w:rPr>
                <w:sz w:val="18"/>
                <w:szCs w:val="18"/>
              </w:rPr>
            </w:pPr>
            <w:r>
              <w:rPr>
                <w:sz w:val="18"/>
                <w:szCs w:val="18"/>
              </w:rPr>
              <w:t>LNG</w:t>
            </w:r>
          </w:p>
        </w:tc>
        <w:tc>
          <w:tcPr>
            <w:tcW w:w="1372"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70C39BBB" w14:textId="77777777" w:rsidR="00B30802" w:rsidRPr="00B30802" w:rsidRDefault="00090B99" w:rsidP="00082BE8">
            <w:pPr>
              <w:pStyle w:val="BodyText"/>
              <w:spacing w:after="0" w:line="240" w:lineRule="auto"/>
              <w:jc w:val="center"/>
              <w:rPr>
                <w:sz w:val="18"/>
                <w:szCs w:val="18"/>
              </w:rPr>
            </w:pPr>
            <w:r>
              <w:rPr>
                <w:sz w:val="18"/>
                <w:szCs w:val="18"/>
              </w:rPr>
              <w:t>N/A</w:t>
            </w:r>
          </w:p>
        </w:tc>
        <w:tc>
          <w:tcPr>
            <w:tcW w:w="1373"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1B3A5284" w14:textId="77777777" w:rsidR="00B30802" w:rsidRPr="00B30802" w:rsidRDefault="00090B99" w:rsidP="00082BE8">
            <w:pPr>
              <w:pStyle w:val="BodyText"/>
              <w:spacing w:after="0" w:line="240" w:lineRule="auto"/>
              <w:jc w:val="center"/>
              <w:rPr>
                <w:sz w:val="18"/>
                <w:szCs w:val="18"/>
              </w:rPr>
            </w:pPr>
            <w:r>
              <w:rPr>
                <w:sz w:val="18"/>
                <w:szCs w:val="18"/>
              </w:rPr>
              <w:t>N/A</w:t>
            </w:r>
          </w:p>
        </w:tc>
        <w:tc>
          <w:tcPr>
            <w:tcW w:w="148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277C55EA" w14:textId="77777777" w:rsidR="00B30802" w:rsidRPr="00B30802" w:rsidRDefault="00090B99" w:rsidP="00082BE8">
            <w:pPr>
              <w:pStyle w:val="BodyText"/>
              <w:spacing w:after="0" w:line="240" w:lineRule="auto"/>
              <w:jc w:val="center"/>
              <w:rPr>
                <w:sz w:val="18"/>
                <w:szCs w:val="18"/>
              </w:rPr>
            </w:pPr>
            <w:r>
              <w:rPr>
                <w:sz w:val="18"/>
                <w:szCs w:val="18"/>
              </w:rPr>
              <w:t>N/A</w:t>
            </w:r>
          </w:p>
        </w:tc>
        <w:tc>
          <w:tcPr>
            <w:tcW w:w="144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67F8C22E" w14:textId="77777777" w:rsidR="00B30802" w:rsidRPr="00B30802" w:rsidRDefault="005A1D4D" w:rsidP="00082BE8">
            <w:pPr>
              <w:pStyle w:val="BodyText"/>
              <w:spacing w:after="0" w:line="240" w:lineRule="auto"/>
              <w:jc w:val="center"/>
              <w:rPr>
                <w:sz w:val="18"/>
                <w:szCs w:val="18"/>
              </w:rPr>
            </w:pPr>
            <w:r>
              <w:rPr>
                <w:sz w:val="18"/>
                <w:szCs w:val="18"/>
              </w:rPr>
              <w:t>$80,000</w:t>
            </w:r>
          </w:p>
        </w:tc>
      </w:tr>
      <w:tr w:rsidR="00930745" w14:paraId="6737A1B0" w14:textId="77777777" w:rsidTr="00DC4D0E">
        <w:tc>
          <w:tcPr>
            <w:tcW w:w="225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3D5E12AB" w14:textId="5C42D8B8" w:rsidR="00930745" w:rsidRDefault="00930745" w:rsidP="00930745">
            <w:pPr>
              <w:pStyle w:val="BodyText"/>
              <w:spacing w:after="0" w:line="240" w:lineRule="auto"/>
              <w:rPr>
                <w:sz w:val="18"/>
                <w:szCs w:val="18"/>
              </w:rPr>
            </w:pPr>
            <w:r>
              <w:rPr>
                <w:sz w:val="18"/>
                <w:szCs w:val="18"/>
              </w:rPr>
              <w:t>RCNG</w:t>
            </w:r>
          </w:p>
        </w:tc>
        <w:tc>
          <w:tcPr>
            <w:tcW w:w="1372"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5CFF1198" w14:textId="6C0E29E8" w:rsidR="00930745" w:rsidRDefault="00930745" w:rsidP="00930745">
            <w:pPr>
              <w:pStyle w:val="BodyText"/>
              <w:spacing w:after="0" w:line="240" w:lineRule="auto"/>
              <w:jc w:val="center"/>
              <w:rPr>
                <w:sz w:val="18"/>
                <w:szCs w:val="18"/>
              </w:rPr>
            </w:pPr>
            <w:r>
              <w:rPr>
                <w:sz w:val="18"/>
                <w:szCs w:val="18"/>
              </w:rPr>
              <w:t>$35,000</w:t>
            </w:r>
          </w:p>
        </w:tc>
        <w:tc>
          <w:tcPr>
            <w:tcW w:w="1373"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4052EE81" w14:textId="766AA18A" w:rsidR="00930745" w:rsidRDefault="00930745" w:rsidP="00930745">
            <w:pPr>
              <w:pStyle w:val="BodyText"/>
              <w:spacing w:after="0" w:line="240" w:lineRule="auto"/>
              <w:jc w:val="center"/>
              <w:rPr>
                <w:sz w:val="18"/>
                <w:szCs w:val="18"/>
              </w:rPr>
            </w:pPr>
            <w:r>
              <w:rPr>
                <w:sz w:val="18"/>
                <w:szCs w:val="18"/>
              </w:rPr>
              <w:t>$45,000</w:t>
            </w:r>
          </w:p>
        </w:tc>
        <w:tc>
          <w:tcPr>
            <w:tcW w:w="148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48948F1F" w14:textId="73C41980" w:rsidR="00930745" w:rsidRDefault="00930745" w:rsidP="00930745">
            <w:pPr>
              <w:pStyle w:val="BodyText"/>
              <w:spacing w:after="0" w:line="240" w:lineRule="auto"/>
              <w:jc w:val="center"/>
              <w:rPr>
                <w:sz w:val="18"/>
                <w:szCs w:val="18"/>
              </w:rPr>
            </w:pPr>
            <w:r>
              <w:rPr>
                <w:sz w:val="18"/>
                <w:szCs w:val="18"/>
              </w:rPr>
              <w:t>$60,000</w:t>
            </w:r>
          </w:p>
        </w:tc>
        <w:tc>
          <w:tcPr>
            <w:tcW w:w="144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06438450" w14:textId="451332C5" w:rsidR="00930745" w:rsidRDefault="00930745" w:rsidP="00930745">
            <w:pPr>
              <w:pStyle w:val="BodyText"/>
              <w:spacing w:after="0" w:line="240" w:lineRule="auto"/>
              <w:jc w:val="center"/>
              <w:rPr>
                <w:sz w:val="18"/>
                <w:szCs w:val="18"/>
              </w:rPr>
            </w:pPr>
            <w:r>
              <w:rPr>
                <w:sz w:val="18"/>
                <w:szCs w:val="18"/>
              </w:rPr>
              <w:t>$75,000</w:t>
            </w:r>
          </w:p>
        </w:tc>
      </w:tr>
      <w:tr w:rsidR="00930745" w14:paraId="271B3848" w14:textId="77777777" w:rsidTr="00DC4D0E">
        <w:tc>
          <w:tcPr>
            <w:tcW w:w="225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6BDC6F72" w14:textId="0B80E762" w:rsidR="00930745" w:rsidRDefault="00930745" w:rsidP="00930745">
            <w:pPr>
              <w:pStyle w:val="BodyText"/>
              <w:spacing w:after="0" w:line="240" w:lineRule="auto"/>
              <w:rPr>
                <w:sz w:val="18"/>
                <w:szCs w:val="18"/>
              </w:rPr>
            </w:pPr>
            <w:r>
              <w:rPr>
                <w:sz w:val="18"/>
                <w:szCs w:val="18"/>
              </w:rPr>
              <w:t>RLNG</w:t>
            </w:r>
          </w:p>
        </w:tc>
        <w:tc>
          <w:tcPr>
            <w:tcW w:w="1372"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02AC4C5F" w14:textId="0C8F7F5E" w:rsidR="00930745" w:rsidRDefault="00930745" w:rsidP="00930745">
            <w:pPr>
              <w:pStyle w:val="BodyText"/>
              <w:spacing w:after="0" w:line="240" w:lineRule="auto"/>
              <w:jc w:val="center"/>
              <w:rPr>
                <w:sz w:val="18"/>
                <w:szCs w:val="18"/>
              </w:rPr>
            </w:pPr>
            <w:r>
              <w:rPr>
                <w:sz w:val="18"/>
                <w:szCs w:val="18"/>
              </w:rPr>
              <w:t>N/A</w:t>
            </w:r>
          </w:p>
        </w:tc>
        <w:tc>
          <w:tcPr>
            <w:tcW w:w="1373"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26FA97FA" w14:textId="7815FDC8" w:rsidR="00930745" w:rsidRDefault="00930745" w:rsidP="00930745">
            <w:pPr>
              <w:pStyle w:val="BodyText"/>
              <w:spacing w:after="0" w:line="240" w:lineRule="auto"/>
              <w:jc w:val="center"/>
              <w:rPr>
                <w:sz w:val="18"/>
                <w:szCs w:val="18"/>
              </w:rPr>
            </w:pPr>
            <w:r>
              <w:rPr>
                <w:sz w:val="18"/>
                <w:szCs w:val="18"/>
              </w:rPr>
              <w:t>N/A</w:t>
            </w:r>
          </w:p>
        </w:tc>
        <w:tc>
          <w:tcPr>
            <w:tcW w:w="148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76A525E4" w14:textId="7EB5CA2D" w:rsidR="00930745" w:rsidRDefault="00930745" w:rsidP="00930745">
            <w:pPr>
              <w:pStyle w:val="BodyText"/>
              <w:spacing w:after="0" w:line="240" w:lineRule="auto"/>
              <w:jc w:val="center"/>
              <w:rPr>
                <w:sz w:val="18"/>
                <w:szCs w:val="18"/>
              </w:rPr>
            </w:pPr>
            <w:r>
              <w:rPr>
                <w:sz w:val="18"/>
                <w:szCs w:val="18"/>
              </w:rPr>
              <w:t>N/A</w:t>
            </w:r>
          </w:p>
        </w:tc>
        <w:tc>
          <w:tcPr>
            <w:tcW w:w="144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38AB8507" w14:textId="1F1A2F8A" w:rsidR="00930745" w:rsidRDefault="00930745" w:rsidP="00930745">
            <w:pPr>
              <w:pStyle w:val="BodyText"/>
              <w:spacing w:after="0" w:line="240" w:lineRule="auto"/>
              <w:jc w:val="center"/>
              <w:rPr>
                <w:sz w:val="18"/>
                <w:szCs w:val="18"/>
              </w:rPr>
            </w:pPr>
            <w:r>
              <w:rPr>
                <w:sz w:val="18"/>
                <w:szCs w:val="18"/>
              </w:rPr>
              <w:t>$80,000</w:t>
            </w:r>
          </w:p>
        </w:tc>
      </w:tr>
      <w:tr w:rsidR="00930745" w14:paraId="6E94EEA0" w14:textId="77777777" w:rsidTr="00DC4D0E">
        <w:tc>
          <w:tcPr>
            <w:tcW w:w="225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27389657" w14:textId="12553158" w:rsidR="00930745" w:rsidRDefault="00930745" w:rsidP="00930745">
            <w:pPr>
              <w:pStyle w:val="BodyText"/>
              <w:spacing w:after="0" w:line="240" w:lineRule="auto"/>
              <w:rPr>
                <w:sz w:val="18"/>
                <w:szCs w:val="18"/>
              </w:rPr>
            </w:pPr>
            <w:r>
              <w:rPr>
                <w:sz w:val="18"/>
                <w:szCs w:val="18"/>
              </w:rPr>
              <w:t>CNG + Low NOx Engine</w:t>
            </w:r>
          </w:p>
        </w:tc>
        <w:tc>
          <w:tcPr>
            <w:tcW w:w="1372"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40EC4EF0" w14:textId="23871471" w:rsidR="00930745" w:rsidRDefault="00930745" w:rsidP="00930745">
            <w:pPr>
              <w:pStyle w:val="BodyText"/>
              <w:spacing w:after="0" w:line="240" w:lineRule="auto"/>
              <w:jc w:val="center"/>
              <w:rPr>
                <w:sz w:val="18"/>
                <w:szCs w:val="18"/>
              </w:rPr>
            </w:pPr>
            <w:r>
              <w:rPr>
                <w:sz w:val="18"/>
                <w:szCs w:val="18"/>
              </w:rPr>
              <w:t>$45,000</w:t>
            </w:r>
          </w:p>
        </w:tc>
        <w:tc>
          <w:tcPr>
            <w:tcW w:w="1373"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449D2408" w14:textId="1027F3A4" w:rsidR="00930745" w:rsidRDefault="00930745" w:rsidP="00930745">
            <w:pPr>
              <w:pStyle w:val="BodyText"/>
              <w:spacing w:after="0" w:line="240" w:lineRule="auto"/>
              <w:jc w:val="center"/>
              <w:rPr>
                <w:sz w:val="18"/>
                <w:szCs w:val="18"/>
              </w:rPr>
            </w:pPr>
            <w:r>
              <w:rPr>
                <w:sz w:val="18"/>
                <w:szCs w:val="18"/>
              </w:rPr>
              <w:t>$57,000</w:t>
            </w:r>
          </w:p>
        </w:tc>
        <w:tc>
          <w:tcPr>
            <w:tcW w:w="148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5B7C0E63" w14:textId="67BAA415" w:rsidR="00930745" w:rsidRDefault="00930745" w:rsidP="00930745">
            <w:pPr>
              <w:pStyle w:val="BodyText"/>
              <w:spacing w:after="0" w:line="240" w:lineRule="auto"/>
              <w:jc w:val="center"/>
              <w:rPr>
                <w:sz w:val="18"/>
                <w:szCs w:val="18"/>
              </w:rPr>
            </w:pPr>
            <w:r>
              <w:rPr>
                <w:sz w:val="18"/>
                <w:szCs w:val="18"/>
              </w:rPr>
              <w:t>$74,000</w:t>
            </w:r>
          </w:p>
        </w:tc>
        <w:tc>
          <w:tcPr>
            <w:tcW w:w="144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4140D0BE" w14:textId="7E359ABC" w:rsidR="00930745" w:rsidRDefault="00930745" w:rsidP="00930745">
            <w:pPr>
              <w:pStyle w:val="BodyText"/>
              <w:spacing w:after="0" w:line="240" w:lineRule="auto"/>
              <w:jc w:val="center"/>
              <w:rPr>
                <w:sz w:val="18"/>
                <w:szCs w:val="18"/>
              </w:rPr>
            </w:pPr>
            <w:r>
              <w:rPr>
                <w:sz w:val="18"/>
                <w:szCs w:val="18"/>
              </w:rPr>
              <w:t>$90,000</w:t>
            </w:r>
          </w:p>
        </w:tc>
      </w:tr>
      <w:tr w:rsidR="00930745" w14:paraId="618E51A9" w14:textId="77777777" w:rsidTr="00DC4D0E">
        <w:tc>
          <w:tcPr>
            <w:tcW w:w="225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3D31B594" w14:textId="249293BA" w:rsidR="00930745" w:rsidRDefault="00930745" w:rsidP="00930745">
            <w:pPr>
              <w:pStyle w:val="BodyText"/>
              <w:spacing w:after="0" w:line="240" w:lineRule="auto"/>
              <w:rPr>
                <w:sz w:val="18"/>
                <w:szCs w:val="18"/>
              </w:rPr>
            </w:pPr>
            <w:r>
              <w:rPr>
                <w:sz w:val="18"/>
                <w:szCs w:val="18"/>
              </w:rPr>
              <w:t>LNG + Low NOx Engine</w:t>
            </w:r>
          </w:p>
        </w:tc>
        <w:tc>
          <w:tcPr>
            <w:tcW w:w="1372"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370FC5D5" w14:textId="697E07B8" w:rsidR="00930745" w:rsidRDefault="00930745" w:rsidP="00930745">
            <w:pPr>
              <w:pStyle w:val="BodyText"/>
              <w:spacing w:after="0" w:line="240" w:lineRule="auto"/>
              <w:jc w:val="center"/>
              <w:rPr>
                <w:sz w:val="18"/>
                <w:szCs w:val="18"/>
              </w:rPr>
            </w:pPr>
            <w:r>
              <w:rPr>
                <w:sz w:val="18"/>
                <w:szCs w:val="18"/>
              </w:rPr>
              <w:t>N/A</w:t>
            </w:r>
          </w:p>
        </w:tc>
        <w:tc>
          <w:tcPr>
            <w:tcW w:w="1373"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732558C3" w14:textId="22FB0D90" w:rsidR="00930745" w:rsidRDefault="00930745" w:rsidP="00930745">
            <w:pPr>
              <w:pStyle w:val="BodyText"/>
              <w:spacing w:after="0" w:line="240" w:lineRule="auto"/>
              <w:jc w:val="center"/>
              <w:rPr>
                <w:sz w:val="18"/>
                <w:szCs w:val="18"/>
              </w:rPr>
            </w:pPr>
            <w:r>
              <w:rPr>
                <w:sz w:val="18"/>
                <w:szCs w:val="18"/>
              </w:rPr>
              <w:t>N/A</w:t>
            </w:r>
          </w:p>
        </w:tc>
        <w:tc>
          <w:tcPr>
            <w:tcW w:w="148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7ACB2F9E" w14:textId="1444207C" w:rsidR="00930745" w:rsidRDefault="00930745" w:rsidP="00930745">
            <w:pPr>
              <w:pStyle w:val="BodyText"/>
              <w:spacing w:after="0" w:line="240" w:lineRule="auto"/>
              <w:jc w:val="center"/>
              <w:rPr>
                <w:sz w:val="18"/>
                <w:szCs w:val="18"/>
              </w:rPr>
            </w:pPr>
            <w:r>
              <w:rPr>
                <w:sz w:val="18"/>
                <w:szCs w:val="18"/>
              </w:rPr>
              <w:t>N/A</w:t>
            </w:r>
          </w:p>
        </w:tc>
        <w:tc>
          <w:tcPr>
            <w:tcW w:w="144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5FEEA720" w14:textId="149F005A" w:rsidR="00930745" w:rsidRDefault="00930745" w:rsidP="00930745">
            <w:pPr>
              <w:pStyle w:val="BodyText"/>
              <w:spacing w:after="0" w:line="240" w:lineRule="auto"/>
              <w:jc w:val="center"/>
              <w:rPr>
                <w:sz w:val="18"/>
                <w:szCs w:val="18"/>
              </w:rPr>
            </w:pPr>
            <w:r>
              <w:rPr>
                <w:sz w:val="18"/>
                <w:szCs w:val="18"/>
              </w:rPr>
              <w:t>$95,000</w:t>
            </w:r>
          </w:p>
        </w:tc>
      </w:tr>
      <w:tr w:rsidR="00930745" w14:paraId="02DABA21" w14:textId="77777777" w:rsidTr="00DC4D0E">
        <w:tc>
          <w:tcPr>
            <w:tcW w:w="225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6917735B" w14:textId="77777777" w:rsidR="00930745" w:rsidRPr="00B30802" w:rsidRDefault="00930745" w:rsidP="00930745">
            <w:pPr>
              <w:pStyle w:val="BodyText"/>
              <w:spacing w:after="0" w:line="240" w:lineRule="auto"/>
              <w:rPr>
                <w:sz w:val="18"/>
                <w:szCs w:val="18"/>
              </w:rPr>
            </w:pPr>
            <w:r>
              <w:rPr>
                <w:sz w:val="18"/>
                <w:szCs w:val="18"/>
              </w:rPr>
              <w:t>RCNG + Low NOx Engine</w:t>
            </w:r>
          </w:p>
        </w:tc>
        <w:tc>
          <w:tcPr>
            <w:tcW w:w="1372"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43B154AF" w14:textId="5C4A6213" w:rsidR="00930745" w:rsidRPr="00B30802" w:rsidRDefault="00930745" w:rsidP="00930745">
            <w:pPr>
              <w:pStyle w:val="BodyText"/>
              <w:spacing w:after="0" w:line="240" w:lineRule="auto"/>
              <w:jc w:val="center"/>
              <w:rPr>
                <w:sz w:val="18"/>
                <w:szCs w:val="18"/>
              </w:rPr>
            </w:pPr>
            <w:r>
              <w:rPr>
                <w:sz w:val="18"/>
                <w:szCs w:val="18"/>
              </w:rPr>
              <w:t>$45,000</w:t>
            </w:r>
          </w:p>
        </w:tc>
        <w:tc>
          <w:tcPr>
            <w:tcW w:w="1373"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050A8343" w14:textId="40B0394D" w:rsidR="00930745" w:rsidRPr="00B30802" w:rsidRDefault="00930745" w:rsidP="00930745">
            <w:pPr>
              <w:pStyle w:val="BodyText"/>
              <w:spacing w:after="0" w:line="240" w:lineRule="auto"/>
              <w:jc w:val="center"/>
              <w:rPr>
                <w:sz w:val="18"/>
                <w:szCs w:val="18"/>
              </w:rPr>
            </w:pPr>
            <w:r>
              <w:rPr>
                <w:sz w:val="18"/>
                <w:szCs w:val="18"/>
              </w:rPr>
              <w:t>$57,000</w:t>
            </w:r>
          </w:p>
        </w:tc>
        <w:tc>
          <w:tcPr>
            <w:tcW w:w="148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7F5A51F7" w14:textId="7702FD64" w:rsidR="00930745" w:rsidRPr="00B30802" w:rsidRDefault="00930745" w:rsidP="00930745">
            <w:pPr>
              <w:pStyle w:val="BodyText"/>
              <w:spacing w:after="0" w:line="240" w:lineRule="auto"/>
              <w:jc w:val="center"/>
              <w:rPr>
                <w:sz w:val="18"/>
                <w:szCs w:val="18"/>
              </w:rPr>
            </w:pPr>
            <w:r>
              <w:rPr>
                <w:sz w:val="18"/>
                <w:szCs w:val="18"/>
              </w:rPr>
              <w:t>$74,000</w:t>
            </w:r>
          </w:p>
        </w:tc>
        <w:tc>
          <w:tcPr>
            <w:tcW w:w="144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47076C83" w14:textId="136EF547" w:rsidR="00930745" w:rsidRPr="00B30802" w:rsidRDefault="00930745" w:rsidP="00930745">
            <w:pPr>
              <w:pStyle w:val="BodyText"/>
              <w:spacing w:after="0" w:line="240" w:lineRule="auto"/>
              <w:jc w:val="center"/>
              <w:rPr>
                <w:sz w:val="18"/>
                <w:szCs w:val="18"/>
              </w:rPr>
            </w:pPr>
            <w:r>
              <w:rPr>
                <w:sz w:val="18"/>
                <w:szCs w:val="18"/>
              </w:rPr>
              <w:t>$90,000</w:t>
            </w:r>
          </w:p>
        </w:tc>
      </w:tr>
      <w:tr w:rsidR="00930745" w14:paraId="5FCD85CC" w14:textId="77777777" w:rsidTr="00DC4D0E">
        <w:tc>
          <w:tcPr>
            <w:tcW w:w="225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1C2343FB" w14:textId="77777777" w:rsidR="00930745" w:rsidRPr="00B30802" w:rsidRDefault="00930745" w:rsidP="00930745">
            <w:pPr>
              <w:pStyle w:val="BodyText"/>
              <w:keepNext/>
              <w:spacing w:after="0" w:line="240" w:lineRule="auto"/>
              <w:rPr>
                <w:sz w:val="18"/>
                <w:szCs w:val="18"/>
              </w:rPr>
            </w:pPr>
            <w:r>
              <w:rPr>
                <w:sz w:val="18"/>
                <w:szCs w:val="18"/>
              </w:rPr>
              <w:t>RLNG + Low NOx Engine</w:t>
            </w:r>
          </w:p>
        </w:tc>
        <w:tc>
          <w:tcPr>
            <w:tcW w:w="1372"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0FF3AC4F" w14:textId="77777777" w:rsidR="00930745" w:rsidRPr="00B30802" w:rsidRDefault="00930745" w:rsidP="00930745">
            <w:pPr>
              <w:pStyle w:val="BodyText"/>
              <w:keepNext/>
              <w:spacing w:after="0" w:line="240" w:lineRule="auto"/>
              <w:jc w:val="center"/>
              <w:rPr>
                <w:sz w:val="18"/>
                <w:szCs w:val="18"/>
              </w:rPr>
            </w:pPr>
            <w:r>
              <w:rPr>
                <w:sz w:val="18"/>
                <w:szCs w:val="18"/>
              </w:rPr>
              <w:t>N/A</w:t>
            </w:r>
          </w:p>
        </w:tc>
        <w:tc>
          <w:tcPr>
            <w:tcW w:w="1373"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12261F0E" w14:textId="77777777" w:rsidR="00930745" w:rsidRPr="00B30802" w:rsidRDefault="00930745" w:rsidP="00930745">
            <w:pPr>
              <w:pStyle w:val="BodyText"/>
              <w:keepNext/>
              <w:spacing w:after="0" w:line="240" w:lineRule="auto"/>
              <w:jc w:val="center"/>
              <w:rPr>
                <w:sz w:val="18"/>
                <w:szCs w:val="18"/>
              </w:rPr>
            </w:pPr>
            <w:r>
              <w:rPr>
                <w:sz w:val="18"/>
                <w:szCs w:val="18"/>
              </w:rPr>
              <w:t>N/A</w:t>
            </w:r>
          </w:p>
        </w:tc>
        <w:tc>
          <w:tcPr>
            <w:tcW w:w="148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5B821315" w14:textId="77777777" w:rsidR="00930745" w:rsidRPr="00B30802" w:rsidRDefault="00930745" w:rsidP="00930745">
            <w:pPr>
              <w:pStyle w:val="BodyText"/>
              <w:keepNext/>
              <w:spacing w:after="0" w:line="240" w:lineRule="auto"/>
              <w:jc w:val="center"/>
              <w:rPr>
                <w:sz w:val="18"/>
                <w:szCs w:val="18"/>
              </w:rPr>
            </w:pPr>
            <w:r>
              <w:rPr>
                <w:sz w:val="18"/>
                <w:szCs w:val="18"/>
              </w:rPr>
              <w:t>N/A</w:t>
            </w:r>
          </w:p>
        </w:tc>
        <w:tc>
          <w:tcPr>
            <w:tcW w:w="144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2822F2E8" w14:textId="60616D69" w:rsidR="00930745" w:rsidRPr="00B30802" w:rsidRDefault="00930745" w:rsidP="00930745">
            <w:pPr>
              <w:pStyle w:val="BodyText"/>
              <w:keepNext/>
              <w:spacing w:after="0" w:line="240" w:lineRule="auto"/>
              <w:jc w:val="center"/>
              <w:rPr>
                <w:sz w:val="18"/>
                <w:szCs w:val="18"/>
              </w:rPr>
            </w:pPr>
            <w:r>
              <w:rPr>
                <w:sz w:val="18"/>
                <w:szCs w:val="18"/>
              </w:rPr>
              <w:t>$95,000</w:t>
            </w:r>
          </w:p>
        </w:tc>
      </w:tr>
      <w:tr w:rsidR="00930745" w14:paraId="0A163E7D" w14:textId="77777777" w:rsidTr="00DC4D0E">
        <w:tc>
          <w:tcPr>
            <w:tcW w:w="225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6A92C2F1" w14:textId="77777777" w:rsidR="00930745" w:rsidRPr="00B30802" w:rsidRDefault="00930745" w:rsidP="00930745">
            <w:pPr>
              <w:pStyle w:val="BodyText"/>
              <w:keepNext/>
              <w:spacing w:after="0" w:line="240" w:lineRule="auto"/>
              <w:rPr>
                <w:sz w:val="18"/>
                <w:szCs w:val="18"/>
              </w:rPr>
            </w:pPr>
            <w:r>
              <w:rPr>
                <w:sz w:val="18"/>
                <w:szCs w:val="18"/>
              </w:rPr>
              <w:t>Propane</w:t>
            </w:r>
          </w:p>
        </w:tc>
        <w:tc>
          <w:tcPr>
            <w:tcW w:w="1372"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1B4D7D9B" w14:textId="77777777" w:rsidR="00930745" w:rsidRPr="00B30802" w:rsidRDefault="00930745" w:rsidP="00930745">
            <w:pPr>
              <w:pStyle w:val="BodyText"/>
              <w:keepNext/>
              <w:spacing w:after="0" w:line="240" w:lineRule="auto"/>
              <w:jc w:val="center"/>
              <w:rPr>
                <w:sz w:val="18"/>
                <w:szCs w:val="18"/>
              </w:rPr>
            </w:pPr>
            <w:r>
              <w:rPr>
                <w:sz w:val="18"/>
                <w:szCs w:val="18"/>
              </w:rPr>
              <w:t>$12,000</w:t>
            </w:r>
          </w:p>
        </w:tc>
        <w:tc>
          <w:tcPr>
            <w:tcW w:w="1373"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06D865EC" w14:textId="77777777" w:rsidR="00930745" w:rsidRPr="00B30802" w:rsidRDefault="00930745" w:rsidP="00930745">
            <w:pPr>
              <w:pStyle w:val="BodyText"/>
              <w:keepNext/>
              <w:spacing w:after="0" w:line="240" w:lineRule="auto"/>
              <w:jc w:val="center"/>
              <w:rPr>
                <w:sz w:val="18"/>
                <w:szCs w:val="18"/>
              </w:rPr>
            </w:pPr>
            <w:r w:rsidRPr="00132373">
              <w:rPr>
                <w:sz w:val="18"/>
                <w:szCs w:val="18"/>
              </w:rPr>
              <w:t>N/A</w:t>
            </w:r>
          </w:p>
        </w:tc>
        <w:tc>
          <w:tcPr>
            <w:tcW w:w="148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36CAD492" w14:textId="77777777" w:rsidR="00930745" w:rsidRPr="00B30802" w:rsidRDefault="00930745" w:rsidP="00930745">
            <w:pPr>
              <w:pStyle w:val="BodyText"/>
              <w:keepNext/>
              <w:spacing w:after="0" w:line="240" w:lineRule="auto"/>
              <w:jc w:val="center"/>
              <w:rPr>
                <w:sz w:val="18"/>
                <w:szCs w:val="18"/>
              </w:rPr>
            </w:pPr>
            <w:r>
              <w:rPr>
                <w:sz w:val="18"/>
                <w:szCs w:val="18"/>
              </w:rPr>
              <w:t>N/A</w:t>
            </w:r>
          </w:p>
        </w:tc>
        <w:tc>
          <w:tcPr>
            <w:tcW w:w="144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1E49A39B" w14:textId="77777777" w:rsidR="00930745" w:rsidRPr="00B30802" w:rsidRDefault="00930745" w:rsidP="00930745">
            <w:pPr>
              <w:pStyle w:val="BodyText"/>
              <w:keepNext/>
              <w:spacing w:after="0" w:line="240" w:lineRule="auto"/>
              <w:jc w:val="center"/>
              <w:rPr>
                <w:sz w:val="18"/>
                <w:szCs w:val="18"/>
              </w:rPr>
            </w:pPr>
            <w:r w:rsidRPr="00132373">
              <w:rPr>
                <w:sz w:val="18"/>
                <w:szCs w:val="18"/>
              </w:rPr>
              <w:t>N/A</w:t>
            </w:r>
          </w:p>
        </w:tc>
      </w:tr>
      <w:tr w:rsidR="00930745" w14:paraId="572024AB" w14:textId="77777777" w:rsidTr="00DC4D0E">
        <w:tc>
          <w:tcPr>
            <w:tcW w:w="225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1267F856" w14:textId="77777777" w:rsidR="00930745" w:rsidRPr="00B30802" w:rsidRDefault="00930745" w:rsidP="00930745">
            <w:pPr>
              <w:pStyle w:val="BodyText"/>
              <w:keepNext/>
              <w:spacing w:after="0" w:line="240" w:lineRule="auto"/>
              <w:rPr>
                <w:sz w:val="18"/>
                <w:szCs w:val="18"/>
              </w:rPr>
            </w:pPr>
            <w:r>
              <w:rPr>
                <w:sz w:val="18"/>
                <w:szCs w:val="18"/>
              </w:rPr>
              <w:t>Hybrid</w:t>
            </w:r>
          </w:p>
        </w:tc>
        <w:tc>
          <w:tcPr>
            <w:tcW w:w="1372"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39AEB430" w14:textId="77777777" w:rsidR="00930745" w:rsidRPr="00B30802" w:rsidRDefault="00930745" w:rsidP="00930745">
            <w:pPr>
              <w:pStyle w:val="BodyText"/>
              <w:keepNext/>
              <w:spacing w:after="0" w:line="240" w:lineRule="auto"/>
              <w:jc w:val="center"/>
              <w:rPr>
                <w:sz w:val="18"/>
                <w:szCs w:val="18"/>
              </w:rPr>
            </w:pPr>
            <w:r>
              <w:rPr>
                <w:sz w:val="18"/>
                <w:szCs w:val="18"/>
              </w:rPr>
              <w:t>$15,000</w:t>
            </w:r>
          </w:p>
        </w:tc>
        <w:tc>
          <w:tcPr>
            <w:tcW w:w="1373"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7E437112" w14:textId="77777777" w:rsidR="00930745" w:rsidRPr="00B30802" w:rsidRDefault="00930745" w:rsidP="00930745">
            <w:pPr>
              <w:pStyle w:val="BodyText"/>
              <w:keepNext/>
              <w:spacing w:after="0" w:line="240" w:lineRule="auto"/>
              <w:jc w:val="center"/>
              <w:rPr>
                <w:sz w:val="18"/>
                <w:szCs w:val="18"/>
              </w:rPr>
            </w:pPr>
            <w:r w:rsidRPr="00132373">
              <w:rPr>
                <w:sz w:val="18"/>
                <w:szCs w:val="18"/>
              </w:rPr>
              <w:t>N/A</w:t>
            </w:r>
          </w:p>
        </w:tc>
        <w:tc>
          <w:tcPr>
            <w:tcW w:w="148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7C55C55C" w14:textId="77777777" w:rsidR="00930745" w:rsidRPr="00B30802" w:rsidRDefault="00930745" w:rsidP="00930745">
            <w:pPr>
              <w:pStyle w:val="BodyText"/>
              <w:keepNext/>
              <w:spacing w:after="0" w:line="240" w:lineRule="auto"/>
              <w:jc w:val="center"/>
              <w:rPr>
                <w:sz w:val="18"/>
                <w:szCs w:val="18"/>
              </w:rPr>
            </w:pPr>
            <w:r>
              <w:rPr>
                <w:sz w:val="18"/>
                <w:szCs w:val="18"/>
              </w:rPr>
              <w:t>$55,000</w:t>
            </w:r>
          </w:p>
        </w:tc>
        <w:tc>
          <w:tcPr>
            <w:tcW w:w="144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01814426" w14:textId="77777777" w:rsidR="00930745" w:rsidRPr="00B30802" w:rsidRDefault="00930745" w:rsidP="00930745">
            <w:pPr>
              <w:pStyle w:val="BodyText"/>
              <w:keepNext/>
              <w:spacing w:after="0" w:line="240" w:lineRule="auto"/>
              <w:jc w:val="center"/>
              <w:rPr>
                <w:sz w:val="18"/>
                <w:szCs w:val="18"/>
              </w:rPr>
            </w:pPr>
            <w:r w:rsidRPr="00132373">
              <w:rPr>
                <w:sz w:val="18"/>
                <w:szCs w:val="18"/>
              </w:rPr>
              <w:t>N/A</w:t>
            </w:r>
          </w:p>
        </w:tc>
      </w:tr>
      <w:tr w:rsidR="00930745" w14:paraId="4F5ACF36" w14:textId="77777777" w:rsidTr="00DC4D0E">
        <w:tc>
          <w:tcPr>
            <w:tcW w:w="225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072B9D2D" w14:textId="77777777" w:rsidR="00930745" w:rsidRDefault="00930745" w:rsidP="00930745">
            <w:pPr>
              <w:pStyle w:val="BodyText"/>
              <w:spacing w:after="0" w:line="240" w:lineRule="auto"/>
              <w:rPr>
                <w:sz w:val="18"/>
                <w:szCs w:val="18"/>
              </w:rPr>
            </w:pPr>
            <w:r>
              <w:rPr>
                <w:sz w:val="18"/>
                <w:szCs w:val="18"/>
              </w:rPr>
              <w:t>Electric</w:t>
            </w:r>
          </w:p>
        </w:tc>
        <w:tc>
          <w:tcPr>
            <w:tcW w:w="1372"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2F397940" w14:textId="77777777" w:rsidR="00930745" w:rsidRPr="00B30802" w:rsidRDefault="00930745" w:rsidP="00930745">
            <w:pPr>
              <w:pStyle w:val="BodyText"/>
              <w:spacing w:after="0" w:line="240" w:lineRule="auto"/>
              <w:jc w:val="center"/>
              <w:rPr>
                <w:sz w:val="18"/>
                <w:szCs w:val="18"/>
              </w:rPr>
            </w:pPr>
            <w:r>
              <w:rPr>
                <w:sz w:val="18"/>
                <w:szCs w:val="18"/>
              </w:rPr>
              <w:t>$40,000</w:t>
            </w:r>
          </w:p>
        </w:tc>
        <w:tc>
          <w:tcPr>
            <w:tcW w:w="1373"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4AED650A" w14:textId="77777777" w:rsidR="00930745" w:rsidRPr="00B30802" w:rsidRDefault="00930745" w:rsidP="00930745">
            <w:pPr>
              <w:pStyle w:val="BodyText"/>
              <w:spacing w:after="0" w:line="240" w:lineRule="auto"/>
              <w:jc w:val="center"/>
              <w:rPr>
                <w:sz w:val="18"/>
                <w:szCs w:val="18"/>
              </w:rPr>
            </w:pPr>
            <w:r w:rsidRPr="00132373">
              <w:rPr>
                <w:sz w:val="18"/>
                <w:szCs w:val="18"/>
              </w:rPr>
              <w:t>N/A</w:t>
            </w:r>
          </w:p>
        </w:tc>
        <w:tc>
          <w:tcPr>
            <w:tcW w:w="148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104A13D7" w14:textId="77777777" w:rsidR="00930745" w:rsidRPr="00B30802" w:rsidRDefault="00930745" w:rsidP="00930745">
            <w:pPr>
              <w:pStyle w:val="BodyText"/>
              <w:spacing w:after="0" w:line="240" w:lineRule="auto"/>
              <w:jc w:val="center"/>
              <w:rPr>
                <w:sz w:val="18"/>
                <w:szCs w:val="18"/>
              </w:rPr>
            </w:pPr>
            <w:r>
              <w:rPr>
                <w:sz w:val="18"/>
                <w:szCs w:val="18"/>
              </w:rPr>
              <w:t>$120,000</w:t>
            </w:r>
          </w:p>
        </w:tc>
        <w:tc>
          <w:tcPr>
            <w:tcW w:w="144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tcPr>
          <w:p w14:paraId="04E7E578" w14:textId="77777777" w:rsidR="00930745" w:rsidRPr="00B30802" w:rsidRDefault="00930745" w:rsidP="00930745">
            <w:pPr>
              <w:pStyle w:val="BodyText"/>
              <w:spacing w:after="0" w:line="240" w:lineRule="auto"/>
              <w:jc w:val="center"/>
              <w:rPr>
                <w:sz w:val="18"/>
                <w:szCs w:val="18"/>
              </w:rPr>
            </w:pPr>
            <w:r w:rsidRPr="00132373">
              <w:rPr>
                <w:sz w:val="18"/>
                <w:szCs w:val="18"/>
              </w:rPr>
              <w:t>N/A</w:t>
            </w:r>
          </w:p>
        </w:tc>
      </w:tr>
      <w:tr w:rsidR="00930745" w14:paraId="5726B39B" w14:textId="77777777" w:rsidTr="00DC4D0E">
        <w:tc>
          <w:tcPr>
            <w:tcW w:w="7915" w:type="dxa"/>
            <w:gridSpan w:val="5"/>
            <w:tcBorders>
              <w:top w:val="single" w:sz="4" w:space="0" w:color="0067AB" w:themeColor="accent1"/>
              <w:left w:val="nil"/>
              <w:bottom w:val="nil"/>
              <w:right w:val="nil"/>
            </w:tcBorders>
            <w:vAlign w:val="center"/>
          </w:tcPr>
          <w:p w14:paraId="69CC214F" w14:textId="77777777" w:rsidR="00930745" w:rsidRPr="00132373" w:rsidRDefault="00930745" w:rsidP="00930745">
            <w:pPr>
              <w:pStyle w:val="BodyText"/>
              <w:spacing w:after="0" w:line="240" w:lineRule="auto"/>
              <w:rPr>
                <w:sz w:val="18"/>
                <w:szCs w:val="18"/>
              </w:rPr>
            </w:pPr>
            <w:r w:rsidRPr="00CE3F7F">
              <w:t>Note: There is no capital cost for drop-in fuels such as B20 or R100.</w:t>
            </w:r>
          </w:p>
        </w:tc>
      </w:tr>
    </w:tbl>
    <w:p w14:paraId="02C52E55" w14:textId="3EFBDBBD" w:rsidR="005A1D4D" w:rsidRDefault="00F05765" w:rsidP="005A1D4D">
      <w:pPr>
        <w:pStyle w:val="BodyText"/>
        <w:spacing w:before="240"/>
      </w:pPr>
      <w:r>
        <w:t>Fo</w:t>
      </w:r>
      <w:r w:rsidR="00474BC8">
        <w:t>r a</w:t>
      </w:r>
      <w:r w:rsidR="005A1D4D">
        <w:t xml:space="preserve">dd-on strategies </w:t>
      </w:r>
      <w:r w:rsidR="00082BE8">
        <w:t>(</w:t>
      </w:r>
      <w:r w:rsidR="005A1D4D">
        <w:t>exhaust retrofits, aerodynamic and idle</w:t>
      </w:r>
      <w:r w:rsidR="00082BE8">
        <w:t>-</w:t>
      </w:r>
      <w:r w:rsidR="005A1D4D">
        <w:t>reduction devices</w:t>
      </w:r>
      <w:r w:rsidR="00082BE8">
        <w:t xml:space="preserve"> and tires)</w:t>
      </w:r>
      <w:r w:rsidR="005A1D4D">
        <w:t xml:space="preserve">, the </w:t>
      </w:r>
      <w:r w:rsidR="00082BE8">
        <w:t xml:space="preserve">incremental </w:t>
      </w:r>
      <w:r w:rsidR="005A1D4D">
        <w:t>capital cost is the cost of the device.</w:t>
      </w:r>
      <w:r w:rsidR="00330080">
        <w:t xml:space="preserve"> </w:t>
      </w:r>
      <w:r w:rsidR="005A1D4D">
        <w:t>The costs do not include installation costs</w:t>
      </w:r>
      <w:r>
        <w:t xml:space="preserve">. </w:t>
      </w:r>
      <w:r w:rsidR="00D10395">
        <w:t xml:space="preserve">Many capital costs vary widely; the </w:t>
      </w:r>
      <w:r w:rsidR="00082BE8">
        <w:t>T</w:t>
      </w:r>
      <w:r w:rsidR="00D10395">
        <w:t>ool uses the midpoint between the low and high range of costs.</w:t>
      </w:r>
      <w:r w:rsidR="005A1D4D">
        <w:t xml:space="preserve"> </w:t>
      </w:r>
      <w:r w:rsidR="00082BE8">
        <w:t xml:space="preserve">Incremental costs for the various add-on strategies used in the Tool are shown in </w:t>
      </w:r>
      <w:r w:rsidR="00833B69">
        <w:fldChar w:fldCharType="begin"/>
      </w:r>
      <w:r w:rsidR="00082BE8">
        <w:instrText xml:space="preserve"> REF _Ref459900085 \h </w:instrText>
      </w:r>
      <w:r w:rsidR="00833B69">
        <w:fldChar w:fldCharType="separate"/>
      </w:r>
      <w:r w:rsidR="00C42F38">
        <w:t xml:space="preserve">Table </w:t>
      </w:r>
      <w:r w:rsidR="00C42F38">
        <w:rPr>
          <w:noProof/>
        </w:rPr>
        <w:t>23</w:t>
      </w:r>
      <w:r w:rsidR="00833B69">
        <w:fldChar w:fldCharType="end"/>
      </w:r>
      <w:r w:rsidR="005A1D4D">
        <w:t>.</w:t>
      </w:r>
    </w:p>
    <w:p w14:paraId="284FB28F" w14:textId="1481DD69" w:rsidR="001512C6" w:rsidRDefault="001512C6">
      <w:pPr>
        <w:spacing w:after="200" w:line="276" w:lineRule="auto"/>
        <w:rPr>
          <w:rFonts w:cs="Arial"/>
        </w:rPr>
      </w:pPr>
      <w:r>
        <w:br w:type="page"/>
      </w:r>
    </w:p>
    <w:p w14:paraId="618F315E" w14:textId="77777777" w:rsidR="00082BE8" w:rsidRDefault="00082BE8" w:rsidP="00082BE8">
      <w:pPr>
        <w:pStyle w:val="TableCaption"/>
      </w:pPr>
      <w:bookmarkStart w:id="88" w:name="_Ref459900085"/>
      <w:bookmarkStart w:id="89" w:name="_Toc482973603"/>
      <w:r>
        <w:lastRenderedPageBreak/>
        <w:t xml:space="preserve">Table </w:t>
      </w:r>
      <w:r w:rsidR="00833B69">
        <w:fldChar w:fldCharType="begin"/>
      </w:r>
      <w:r>
        <w:instrText xml:space="preserve"> SEQ Table \* ARABIC </w:instrText>
      </w:r>
      <w:r w:rsidR="00833B69">
        <w:fldChar w:fldCharType="separate"/>
      </w:r>
      <w:r w:rsidR="00305706">
        <w:t>23</w:t>
      </w:r>
      <w:r w:rsidR="00833B69">
        <w:fldChar w:fldCharType="end"/>
      </w:r>
      <w:bookmarkEnd w:id="88"/>
      <w:r>
        <w:t>. Incremental Capital Costs for Other Scenarios</w:t>
      </w:r>
      <w:bookmarkEnd w:id="89"/>
    </w:p>
    <w:tbl>
      <w:tblPr>
        <w:tblStyle w:val="ListTable3-Accent11"/>
        <w:tblW w:w="0" w:type="auto"/>
        <w:jc w:val="center"/>
        <w:tblLayout w:type="fixed"/>
        <w:tblLook w:val="04A0" w:firstRow="1" w:lastRow="0" w:firstColumn="1" w:lastColumn="0" w:noHBand="0" w:noVBand="1"/>
      </w:tblPr>
      <w:tblGrid>
        <w:gridCol w:w="1720"/>
        <w:gridCol w:w="2160"/>
        <w:gridCol w:w="1350"/>
        <w:gridCol w:w="1350"/>
        <w:gridCol w:w="1350"/>
        <w:gridCol w:w="1350"/>
      </w:tblGrid>
      <w:tr w:rsidR="005A1D4D" w:rsidRPr="00AF154D" w14:paraId="34A6EFD9" w14:textId="77777777" w:rsidTr="008369D5">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100" w:firstRow="0" w:lastRow="0" w:firstColumn="1" w:lastColumn="0" w:oddVBand="0" w:evenVBand="0" w:oddHBand="0" w:evenHBand="0" w:firstRowFirstColumn="1" w:firstRowLastColumn="0" w:lastRowFirstColumn="0" w:lastRowLastColumn="0"/>
            <w:tcW w:w="1720" w:type="dxa"/>
            <w:tcBorders>
              <w:top w:val="single" w:sz="4" w:space="0" w:color="0067AB" w:themeColor="accent1"/>
              <w:bottom w:val="single" w:sz="4" w:space="0" w:color="0067AB" w:themeColor="accent1"/>
              <w:right w:val="single" w:sz="4" w:space="0" w:color="FFFFFF" w:themeColor="background1"/>
            </w:tcBorders>
            <w:vAlign w:val="bottom"/>
          </w:tcPr>
          <w:p w14:paraId="4D65CFB9" w14:textId="77777777" w:rsidR="005A1D4D" w:rsidRPr="00F919E1" w:rsidRDefault="005A1D4D" w:rsidP="005A1D4D">
            <w:pPr>
              <w:jc w:val="center"/>
              <w:rPr>
                <w:rFonts w:asciiTheme="minorHAnsi" w:hAnsiTheme="minorHAnsi"/>
                <w:sz w:val="18"/>
                <w:szCs w:val="18"/>
              </w:rPr>
            </w:pPr>
            <w:r w:rsidRPr="00F919E1">
              <w:rPr>
                <w:rFonts w:asciiTheme="minorHAnsi" w:hAnsiTheme="minorHAnsi"/>
                <w:sz w:val="18"/>
                <w:szCs w:val="18"/>
              </w:rPr>
              <w:t>Strategy Type</w:t>
            </w:r>
          </w:p>
        </w:tc>
        <w:tc>
          <w:tcPr>
            <w:tcW w:w="2160" w:type="dxa"/>
            <w:tcBorders>
              <w:top w:val="single" w:sz="4" w:space="0" w:color="0067AB" w:themeColor="accent1"/>
              <w:left w:val="single" w:sz="4" w:space="0" w:color="FFFFFF" w:themeColor="background1"/>
              <w:bottom w:val="single" w:sz="4" w:space="0" w:color="0067AB" w:themeColor="accent1"/>
              <w:right w:val="single" w:sz="4" w:space="0" w:color="FFFFFF" w:themeColor="background1"/>
            </w:tcBorders>
            <w:vAlign w:val="bottom"/>
          </w:tcPr>
          <w:p w14:paraId="55DEBE41" w14:textId="77777777" w:rsidR="005A1D4D" w:rsidRPr="00F919E1" w:rsidRDefault="005A1D4D" w:rsidP="005A1D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Modification</w:t>
            </w:r>
          </w:p>
        </w:tc>
        <w:tc>
          <w:tcPr>
            <w:tcW w:w="1350" w:type="dxa"/>
            <w:tcBorders>
              <w:top w:val="single" w:sz="4" w:space="0" w:color="0067AB" w:themeColor="accent1"/>
              <w:left w:val="single" w:sz="4" w:space="0" w:color="FFFFFF" w:themeColor="background1"/>
              <w:bottom w:val="single" w:sz="4" w:space="0" w:color="0067AB" w:themeColor="accent1"/>
              <w:right w:val="single" w:sz="4" w:space="0" w:color="FFFFFF" w:themeColor="background1"/>
            </w:tcBorders>
          </w:tcPr>
          <w:p w14:paraId="5D35997B" w14:textId="6058602B" w:rsidR="005A1D4D" w:rsidRPr="00F919E1" w:rsidRDefault="005A1D4D" w:rsidP="00F5231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sz w:val="18"/>
                <w:szCs w:val="18"/>
              </w:rPr>
              <w:t>Single</w:t>
            </w:r>
            <w:r w:rsidR="007B1EA8">
              <w:rPr>
                <w:sz w:val="18"/>
                <w:szCs w:val="18"/>
              </w:rPr>
              <w:t xml:space="preserve"> unit</w:t>
            </w:r>
            <w:r>
              <w:rPr>
                <w:sz w:val="18"/>
                <w:szCs w:val="18"/>
              </w:rPr>
              <w:t xml:space="preserve"> Short Haul</w:t>
            </w:r>
          </w:p>
        </w:tc>
        <w:tc>
          <w:tcPr>
            <w:tcW w:w="1350" w:type="dxa"/>
            <w:tcBorders>
              <w:top w:val="single" w:sz="4" w:space="0" w:color="0067AB" w:themeColor="accent1"/>
              <w:left w:val="single" w:sz="4" w:space="0" w:color="FFFFFF" w:themeColor="background1"/>
              <w:bottom w:val="single" w:sz="4" w:space="0" w:color="0067AB" w:themeColor="accent1"/>
              <w:right w:val="single" w:sz="4" w:space="0" w:color="FFFFFF" w:themeColor="background1"/>
            </w:tcBorders>
          </w:tcPr>
          <w:p w14:paraId="6C4DE3AA" w14:textId="558E3C9F" w:rsidR="005A1D4D" w:rsidRDefault="005A1D4D" w:rsidP="00F5231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sz w:val="18"/>
                <w:szCs w:val="18"/>
              </w:rPr>
              <w:t>Single</w:t>
            </w:r>
            <w:r w:rsidR="007B1EA8">
              <w:rPr>
                <w:sz w:val="18"/>
                <w:szCs w:val="18"/>
              </w:rPr>
              <w:t xml:space="preserve"> unit</w:t>
            </w:r>
            <w:r>
              <w:rPr>
                <w:sz w:val="18"/>
                <w:szCs w:val="18"/>
              </w:rPr>
              <w:t xml:space="preserve"> Long Haul</w:t>
            </w:r>
          </w:p>
        </w:tc>
        <w:tc>
          <w:tcPr>
            <w:tcW w:w="1350" w:type="dxa"/>
            <w:tcBorders>
              <w:top w:val="single" w:sz="4" w:space="0" w:color="0067AB" w:themeColor="accent1"/>
              <w:left w:val="single" w:sz="4" w:space="0" w:color="FFFFFF" w:themeColor="background1"/>
              <w:bottom w:val="single" w:sz="4" w:space="0" w:color="0067AB" w:themeColor="accent1"/>
              <w:right w:val="single" w:sz="4" w:space="0" w:color="FFFFFF" w:themeColor="background1"/>
            </w:tcBorders>
          </w:tcPr>
          <w:p w14:paraId="0323E4C0" w14:textId="4CB87900" w:rsidR="005A1D4D" w:rsidRDefault="005A1D4D" w:rsidP="005A1D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sz w:val="18"/>
                <w:szCs w:val="18"/>
              </w:rPr>
              <w:t>Combination</w:t>
            </w:r>
            <w:r w:rsidR="007B1EA8">
              <w:rPr>
                <w:sz w:val="18"/>
                <w:szCs w:val="18"/>
              </w:rPr>
              <w:t xml:space="preserve"> unit</w:t>
            </w:r>
            <w:r>
              <w:rPr>
                <w:sz w:val="18"/>
                <w:szCs w:val="18"/>
              </w:rPr>
              <w:t xml:space="preserve"> Short Haul</w:t>
            </w:r>
          </w:p>
        </w:tc>
        <w:tc>
          <w:tcPr>
            <w:tcW w:w="1350" w:type="dxa"/>
            <w:tcBorders>
              <w:top w:val="single" w:sz="4" w:space="0" w:color="0067AB" w:themeColor="accent1"/>
              <w:left w:val="single" w:sz="4" w:space="0" w:color="FFFFFF" w:themeColor="background1"/>
              <w:bottom w:val="single" w:sz="4" w:space="0" w:color="0067AB" w:themeColor="accent1"/>
              <w:right w:val="single" w:sz="4" w:space="0" w:color="FFFFFF" w:themeColor="background1"/>
            </w:tcBorders>
          </w:tcPr>
          <w:p w14:paraId="130B541F" w14:textId="0E2569AA" w:rsidR="005A1D4D" w:rsidRDefault="005A1D4D" w:rsidP="005A1D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sz w:val="18"/>
                <w:szCs w:val="18"/>
              </w:rPr>
              <w:t>Combination</w:t>
            </w:r>
            <w:r w:rsidR="007B1EA8">
              <w:rPr>
                <w:sz w:val="18"/>
                <w:szCs w:val="18"/>
              </w:rPr>
              <w:t xml:space="preserve"> unit</w:t>
            </w:r>
            <w:r>
              <w:rPr>
                <w:sz w:val="18"/>
                <w:szCs w:val="18"/>
              </w:rPr>
              <w:t xml:space="preserve"> Long Haul</w:t>
            </w:r>
          </w:p>
        </w:tc>
      </w:tr>
      <w:tr w:rsidR="0041009D" w:rsidRPr="00AF154D" w14:paraId="204558D7" w14:textId="77777777" w:rsidTr="00267D2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20" w:type="dxa"/>
            <w:vMerge w:val="restart"/>
            <w:tcBorders>
              <w:right w:val="single" w:sz="4" w:space="0" w:color="0067AB" w:themeColor="accent1"/>
            </w:tcBorders>
            <w:vAlign w:val="center"/>
          </w:tcPr>
          <w:p w14:paraId="034C265C" w14:textId="77777777" w:rsidR="0041009D" w:rsidRPr="00F919E1" w:rsidRDefault="0041009D" w:rsidP="0041009D">
            <w:pPr>
              <w:rPr>
                <w:rFonts w:asciiTheme="minorHAnsi" w:hAnsiTheme="minorHAnsi"/>
                <w:b w:val="0"/>
                <w:sz w:val="18"/>
                <w:szCs w:val="18"/>
              </w:rPr>
            </w:pPr>
            <w:r w:rsidRPr="00F919E1">
              <w:rPr>
                <w:rFonts w:asciiTheme="minorHAnsi" w:hAnsiTheme="minorHAnsi"/>
                <w:b w:val="0"/>
                <w:sz w:val="18"/>
                <w:szCs w:val="18"/>
              </w:rPr>
              <w:t>Exhaust Retrofit</w:t>
            </w:r>
          </w:p>
        </w:tc>
        <w:tc>
          <w:tcPr>
            <w:tcW w:w="2160" w:type="dxa"/>
            <w:tcBorders>
              <w:left w:val="single" w:sz="4" w:space="0" w:color="0067AB" w:themeColor="accent1"/>
              <w:right w:val="single" w:sz="4" w:space="0" w:color="0067AB" w:themeColor="accent1"/>
            </w:tcBorders>
            <w:vAlign w:val="center"/>
          </w:tcPr>
          <w:p w14:paraId="1B6858B0" w14:textId="77777777" w:rsidR="0041009D" w:rsidRPr="00F919E1" w:rsidRDefault="0041009D" w:rsidP="004100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DOC</w:t>
            </w:r>
          </w:p>
        </w:tc>
        <w:tc>
          <w:tcPr>
            <w:tcW w:w="1350" w:type="dxa"/>
            <w:tcBorders>
              <w:left w:val="single" w:sz="4" w:space="0" w:color="0067AB" w:themeColor="accent1"/>
              <w:right w:val="single" w:sz="4" w:space="0" w:color="0067AB" w:themeColor="accent1"/>
            </w:tcBorders>
            <w:vAlign w:val="center"/>
          </w:tcPr>
          <w:p w14:paraId="0D1F1370" w14:textId="77777777" w:rsidR="0041009D" w:rsidRPr="00F919E1" w:rsidRDefault="0041009D" w:rsidP="00267D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$800</w:t>
            </w:r>
          </w:p>
        </w:tc>
        <w:tc>
          <w:tcPr>
            <w:tcW w:w="1350" w:type="dxa"/>
            <w:tcBorders>
              <w:left w:val="single" w:sz="4" w:space="0" w:color="0067AB" w:themeColor="accent1"/>
              <w:right w:val="single" w:sz="4" w:space="0" w:color="0067AB" w:themeColor="accent1"/>
            </w:tcBorders>
            <w:vAlign w:val="center"/>
          </w:tcPr>
          <w:p w14:paraId="7C395C57" w14:textId="77777777" w:rsidR="0041009D" w:rsidRPr="00F919E1" w:rsidRDefault="0041009D" w:rsidP="00267D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$1,000</w:t>
            </w:r>
          </w:p>
        </w:tc>
        <w:tc>
          <w:tcPr>
            <w:tcW w:w="1350" w:type="dxa"/>
            <w:tcBorders>
              <w:left w:val="single" w:sz="4" w:space="0" w:color="0067AB" w:themeColor="accent1"/>
              <w:right w:val="single" w:sz="4" w:space="0" w:color="0067AB" w:themeColor="accent1"/>
            </w:tcBorders>
            <w:vAlign w:val="center"/>
          </w:tcPr>
          <w:p w14:paraId="3F987FB3" w14:textId="77777777" w:rsidR="0041009D" w:rsidRPr="00F919E1" w:rsidRDefault="0041009D" w:rsidP="00267D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$1,500</w:t>
            </w:r>
          </w:p>
        </w:tc>
        <w:tc>
          <w:tcPr>
            <w:tcW w:w="1350" w:type="dxa"/>
            <w:tcBorders>
              <w:left w:val="single" w:sz="4" w:space="0" w:color="0067AB" w:themeColor="accent1"/>
              <w:right w:val="single" w:sz="4" w:space="0" w:color="0067AB" w:themeColor="accent1"/>
            </w:tcBorders>
            <w:vAlign w:val="center"/>
          </w:tcPr>
          <w:p w14:paraId="5867C6E0" w14:textId="77777777" w:rsidR="0041009D" w:rsidRPr="00267D28" w:rsidRDefault="00267D28" w:rsidP="00267D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color w:val="000000"/>
                <w:sz w:val="18"/>
                <w:szCs w:val="18"/>
              </w:rPr>
              <w:t>$</w:t>
            </w:r>
            <w:r w:rsidR="0041009D" w:rsidRPr="00267D28">
              <w:rPr>
                <w:color w:val="000000"/>
                <w:sz w:val="18"/>
                <w:szCs w:val="18"/>
              </w:rPr>
              <w:t>1,500</w:t>
            </w:r>
          </w:p>
        </w:tc>
      </w:tr>
      <w:tr w:rsidR="0041009D" w:rsidRPr="00AF154D" w14:paraId="595A174D" w14:textId="77777777" w:rsidTr="00267D28">
        <w:trPr>
          <w:trHeight w:val="288"/>
          <w:jc w:val="center"/>
        </w:trPr>
        <w:tc>
          <w:tcPr>
            <w:cnfStyle w:val="001000000000" w:firstRow="0" w:lastRow="0" w:firstColumn="1" w:lastColumn="0" w:oddVBand="0" w:evenVBand="0" w:oddHBand="0" w:evenHBand="0" w:firstRowFirstColumn="0" w:firstRowLastColumn="0" w:lastRowFirstColumn="0" w:lastRowLastColumn="0"/>
            <w:tcW w:w="1720" w:type="dxa"/>
            <w:vMerge/>
            <w:tcBorders>
              <w:top w:val="single" w:sz="4" w:space="0" w:color="0067AB" w:themeColor="accent1"/>
              <w:bottom w:val="single" w:sz="4" w:space="0" w:color="0067AB" w:themeColor="accent1"/>
              <w:right w:val="single" w:sz="4" w:space="0" w:color="0067AB" w:themeColor="accent1"/>
            </w:tcBorders>
            <w:vAlign w:val="center"/>
          </w:tcPr>
          <w:p w14:paraId="1F6E054D" w14:textId="77777777" w:rsidR="0041009D" w:rsidRPr="00F919E1" w:rsidRDefault="0041009D" w:rsidP="0041009D">
            <w:pPr>
              <w:rPr>
                <w:rFonts w:asciiTheme="minorHAnsi" w:hAnsiTheme="minorHAnsi"/>
                <w:b w:val="0"/>
                <w:sz w:val="18"/>
                <w:szCs w:val="18"/>
              </w:rPr>
            </w:pPr>
          </w:p>
        </w:tc>
        <w:tc>
          <w:tcPr>
            <w:tcW w:w="216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5ACE229A" w14:textId="77777777" w:rsidR="0041009D" w:rsidRPr="00F919E1" w:rsidRDefault="0041009D" w:rsidP="004100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DPF</w:t>
            </w:r>
          </w:p>
        </w:tc>
        <w:tc>
          <w:tcPr>
            <w:tcW w:w="135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311260A9" w14:textId="77777777" w:rsidR="0041009D" w:rsidRPr="00F919E1" w:rsidRDefault="0041009D" w:rsidP="00267D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$8,000</w:t>
            </w:r>
          </w:p>
        </w:tc>
        <w:tc>
          <w:tcPr>
            <w:tcW w:w="135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291310C2" w14:textId="22A12914" w:rsidR="0041009D" w:rsidRPr="00F919E1" w:rsidRDefault="0041009D" w:rsidP="006D707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w:t>
            </w:r>
            <w:r w:rsidR="006D7078">
              <w:rPr>
                <w:rFonts w:asciiTheme="minorHAnsi" w:hAnsiTheme="minorHAnsi"/>
                <w:sz w:val="18"/>
                <w:szCs w:val="18"/>
              </w:rPr>
              <w:t>2</w:t>
            </w:r>
            <w:r>
              <w:rPr>
                <w:rFonts w:asciiTheme="minorHAnsi" w:hAnsiTheme="minorHAnsi"/>
                <w:sz w:val="18"/>
                <w:szCs w:val="18"/>
              </w:rPr>
              <w:t>,000</w:t>
            </w:r>
          </w:p>
        </w:tc>
        <w:tc>
          <w:tcPr>
            <w:tcW w:w="135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5B76A264" w14:textId="2D6D87A2" w:rsidR="0041009D" w:rsidRPr="00F919E1" w:rsidRDefault="0041009D" w:rsidP="006D707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$15</w:t>
            </w:r>
            <w:r w:rsidR="006D7078">
              <w:rPr>
                <w:rFonts w:asciiTheme="minorHAnsi" w:hAnsiTheme="minorHAnsi"/>
                <w:sz w:val="18"/>
                <w:szCs w:val="18"/>
              </w:rPr>
              <w:t>,0</w:t>
            </w:r>
            <w:r>
              <w:rPr>
                <w:rFonts w:asciiTheme="minorHAnsi" w:hAnsiTheme="minorHAnsi"/>
                <w:sz w:val="18"/>
                <w:szCs w:val="18"/>
              </w:rPr>
              <w:t>00</w:t>
            </w:r>
          </w:p>
        </w:tc>
        <w:tc>
          <w:tcPr>
            <w:tcW w:w="135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7140ADD7" w14:textId="4272DCE3" w:rsidR="0041009D" w:rsidRPr="00267D28" w:rsidRDefault="00267D28" w:rsidP="006D707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color w:val="000000"/>
                <w:sz w:val="18"/>
                <w:szCs w:val="18"/>
              </w:rPr>
              <w:t>$</w:t>
            </w:r>
            <w:r w:rsidR="0041009D" w:rsidRPr="00267D28">
              <w:rPr>
                <w:color w:val="000000"/>
                <w:sz w:val="18"/>
                <w:szCs w:val="18"/>
              </w:rPr>
              <w:t>15</w:t>
            </w:r>
            <w:r w:rsidR="006D7078">
              <w:rPr>
                <w:color w:val="000000"/>
                <w:sz w:val="18"/>
                <w:szCs w:val="18"/>
              </w:rPr>
              <w:t>,0</w:t>
            </w:r>
            <w:r w:rsidR="0041009D" w:rsidRPr="00267D28">
              <w:rPr>
                <w:color w:val="000000"/>
                <w:sz w:val="18"/>
                <w:szCs w:val="18"/>
              </w:rPr>
              <w:t>00</w:t>
            </w:r>
          </w:p>
        </w:tc>
      </w:tr>
      <w:tr w:rsidR="0041009D" w:rsidRPr="003F6864" w14:paraId="41F32DFD" w14:textId="77777777" w:rsidTr="00267D2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20" w:type="dxa"/>
            <w:vMerge w:val="restart"/>
            <w:tcBorders>
              <w:right w:val="single" w:sz="4" w:space="0" w:color="0067AB" w:themeColor="accent1"/>
            </w:tcBorders>
            <w:vAlign w:val="center"/>
          </w:tcPr>
          <w:p w14:paraId="2CA551AC" w14:textId="77777777" w:rsidR="0041009D" w:rsidRPr="00F919E1" w:rsidRDefault="0041009D" w:rsidP="0041009D">
            <w:pPr>
              <w:rPr>
                <w:rFonts w:asciiTheme="minorHAnsi" w:hAnsiTheme="minorHAnsi"/>
                <w:b w:val="0"/>
                <w:sz w:val="18"/>
                <w:szCs w:val="18"/>
              </w:rPr>
            </w:pPr>
            <w:r w:rsidRPr="00F919E1">
              <w:rPr>
                <w:rFonts w:asciiTheme="minorHAnsi" w:hAnsiTheme="minorHAnsi"/>
                <w:b w:val="0"/>
                <w:sz w:val="18"/>
                <w:szCs w:val="18"/>
              </w:rPr>
              <w:t>Aerodynamic Devices</w:t>
            </w:r>
          </w:p>
        </w:tc>
        <w:tc>
          <w:tcPr>
            <w:tcW w:w="2160" w:type="dxa"/>
            <w:tcBorders>
              <w:left w:val="single" w:sz="4" w:space="0" w:color="0067AB" w:themeColor="accent1"/>
              <w:right w:val="single" w:sz="4" w:space="0" w:color="0067AB" w:themeColor="accent1"/>
            </w:tcBorders>
            <w:vAlign w:val="center"/>
          </w:tcPr>
          <w:p w14:paraId="5D3AFC63" w14:textId="77777777" w:rsidR="0041009D" w:rsidRPr="00F919E1" w:rsidRDefault="0041009D" w:rsidP="004100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Boat Tail</w:t>
            </w:r>
          </w:p>
        </w:tc>
        <w:tc>
          <w:tcPr>
            <w:tcW w:w="1350" w:type="dxa"/>
            <w:tcBorders>
              <w:left w:val="single" w:sz="4" w:space="0" w:color="0067AB" w:themeColor="accent1"/>
              <w:right w:val="single" w:sz="4" w:space="0" w:color="0067AB" w:themeColor="accent1"/>
            </w:tcBorders>
            <w:vAlign w:val="center"/>
          </w:tcPr>
          <w:p w14:paraId="3AF1580D" w14:textId="77777777" w:rsidR="0041009D" w:rsidRPr="00F919E1" w:rsidRDefault="0041009D" w:rsidP="00267D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N/A</w:t>
            </w:r>
          </w:p>
        </w:tc>
        <w:tc>
          <w:tcPr>
            <w:tcW w:w="1350" w:type="dxa"/>
            <w:tcBorders>
              <w:left w:val="single" w:sz="4" w:space="0" w:color="0067AB" w:themeColor="accent1"/>
              <w:right w:val="single" w:sz="4" w:space="0" w:color="0067AB" w:themeColor="accent1"/>
            </w:tcBorders>
            <w:vAlign w:val="center"/>
          </w:tcPr>
          <w:p w14:paraId="57CBCEC0" w14:textId="77777777" w:rsidR="0041009D" w:rsidRPr="00F919E1" w:rsidRDefault="0041009D" w:rsidP="00267D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$3,000</w:t>
            </w:r>
          </w:p>
        </w:tc>
        <w:tc>
          <w:tcPr>
            <w:tcW w:w="1350" w:type="dxa"/>
            <w:tcBorders>
              <w:left w:val="single" w:sz="4" w:space="0" w:color="0067AB" w:themeColor="accent1"/>
              <w:right w:val="single" w:sz="4" w:space="0" w:color="0067AB" w:themeColor="accent1"/>
            </w:tcBorders>
            <w:vAlign w:val="center"/>
          </w:tcPr>
          <w:p w14:paraId="40C78865" w14:textId="77777777" w:rsidR="0041009D" w:rsidRPr="00F919E1" w:rsidRDefault="0041009D" w:rsidP="00267D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N/A</w:t>
            </w:r>
          </w:p>
        </w:tc>
        <w:tc>
          <w:tcPr>
            <w:tcW w:w="1350" w:type="dxa"/>
            <w:tcBorders>
              <w:left w:val="single" w:sz="4" w:space="0" w:color="0067AB" w:themeColor="accent1"/>
              <w:right w:val="single" w:sz="4" w:space="0" w:color="0067AB" w:themeColor="accent1"/>
            </w:tcBorders>
            <w:vAlign w:val="center"/>
          </w:tcPr>
          <w:p w14:paraId="41C87311" w14:textId="77777777" w:rsidR="0041009D" w:rsidRPr="00267D28" w:rsidRDefault="00267D28" w:rsidP="00267D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color w:val="000000"/>
                <w:sz w:val="18"/>
                <w:szCs w:val="18"/>
              </w:rPr>
              <w:t>$</w:t>
            </w:r>
            <w:r w:rsidR="0041009D" w:rsidRPr="00267D28">
              <w:rPr>
                <w:color w:val="000000"/>
                <w:sz w:val="18"/>
                <w:szCs w:val="18"/>
              </w:rPr>
              <w:t>3,500</w:t>
            </w:r>
          </w:p>
        </w:tc>
      </w:tr>
      <w:tr w:rsidR="0041009D" w:rsidRPr="003F6864" w14:paraId="4392E2BC" w14:textId="77777777" w:rsidTr="00267D28">
        <w:trPr>
          <w:trHeight w:val="288"/>
          <w:jc w:val="center"/>
        </w:trPr>
        <w:tc>
          <w:tcPr>
            <w:cnfStyle w:val="001000000000" w:firstRow="0" w:lastRow="0" w:firstColumn="1" w:lastColumn="0" w:oddVBand="0" w:evenVBand="0" w:oddHBand="0" w:evenHBand="0" w:firstRowFirstColumn="0" w:firstRowLastColumn="0" w:lastRowFirstColumn="0" w:lastRowLastColumn="0"/>
            <w:tcW w:w="1720" w:type="dxa"/>
            <w:vMerge/>
            <w:tcBorders>
              <w:right w:val="single" w:sz="4" w:space="0" w:color="0067AB" w:themeColor="accent1"/>
            </w:tcBorders>
            <w:vAlign w:val="center"/>
          </w:tcPr>
          <w:p w14:paraId="29382272" w14:textId="77777777" w:rsidR="0041009D" w:rsidRPr="00F919E1" w:rsidRDefault="0041009D" w:rsidP="0041009D">
            <w:pPr>
              <w:rPr>
                <w:rFonts w:asciiTheme="minorHAnsi" w:hAnsiTheme="minorHAnsi"/>
                <w:b w:val="0"/>
                <w:sz w:val="18"/>
                <w:szCs w:val="18"/>
              </w:rPr>
            </w:pPr>
          </w:p>
        </w:tc>
        <w:tc>
          <w:tcPr>
            <w:tcW w:w="2160" w:type="dxa"/>
            <w:tcBorders>
              <w:left w:val="single" w:sz="4" w:space="0" w:color="0067AB" w:themeColor="accent1"/>
              <w:right w:val="single" w:sz="4" w:space="0" w:color="0067AB" w:themeColor="accent1"/>
            </w:tcBorders>
            <w:vAlign w:val="center"/>
          </w:tcPr>
          <w:p w14:paraId="698E3997" w14:textId="77777777" w:rsidR="0041009D" w:rsidRPr="00F919E1" w:rsidRDefault="0041009D" w:rsidP="004100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Trailer Gap Fairing</w:t>
            </w:r>
          </w:p>
        </w:tc>
        <w:tc>
          <w:tcPr>
            <w:tcW w:w="1350" w:type="dxa"/>
            <w:tcBorders>
              <w:left w:val="single" w:sz="4" w:space="0" w:color="0067AB" w:themeColor="accent1"/>
              <w:right w:val="single" w:sz="4" w:space="0" w:color="0067AB" w:themeColor="accent1"/>
            </w:tcBorders>
            <w:vAlign w:val="center"/>
          </w:tcPr>
          <w:p w14:paraId="10444F51" w14:textId="77777777" w:rsidR="0041009D" w:rsidRPr="00F919E1" w:rsidRDefault="0041009D" w:rsidP="00267D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92BB4">
              <w:rPr>
                <w:rFonts w:asciiTheme="minorHAnsi" w:hAnsiTheme="minorHAnsi"/>
                <w:sz w:val="18"/>
                <w:szCs w:val="18"/>
              </w:rPr>
              <w:t>N/A</w:t>
            </w:r>
          </w:p>
        </w:tc>
        <w:tc>
          <w:tcPr>
            <w:tcW w:w="1350" w:type="dxa"/>
            <w:tcBorders>
              <w:left w:val="single" w:sz="4" w:space="0" w:color="0067AB" w:themeColor="accent1"/>
              <w:right w:val="single" w:sz="4" w:space="0" w:color="0067AB" w:themeColor="accent1"/>
            </w:tcBorders>
            <w:vAlign w:val="center"/>
          </w:tcPr>
          <w:p w14:paraId="27A39AC3" w14:textId="77777777" w:rsidR="0041009D" w:rsidRPr="00F919E1" w:rsidRDefault="0041009D" w:rsidP="00267D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N/A</w:t>
            </w:r>
          </w:p>
        </w:tc>
        <w:tc>
          <w:tcPr>
            <w:tcW w:w="1350" w:type="dxa"/>
            <w:tcBorders>
              <w:left w:val="single" w:sz="4" w:space="0" w:color="0067AB" w:themeColor="accent1"/>
              <w:right w:val="single" w:sz="4" w:space="0" w:color="0067AB" w:themeColor="accent1"/>
            </w:tcBorders>
            <w:vAlign w:val="center"/>
          </w:tcPr>
          <w:p w14:paraId="4A74F77E" w14:textId="77777777" w:rsidR="0041009D" w:rsidRPr="00F919E1" w:rsidRDefault="0041009D" w:rsidP="00267D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92BB4">
              <w:rPr>
                <w:rFonts w:asciiTheme="minorHAnsi" w:hAnsiTheme="minorHAnsi"/>
                <w:sz w:val="18"/>
                <w:szCs w:val="18"/>
              </w:rPr>
              <w:t>N/A</w:t>
            </w:r>
          </w:p>
        </w:tc>
        <w:tc>
          <w:tcPr>
            <w:tcW w:w="1350" w:type="dxa"/>
            <w:tcBorders>
              <w:left w:val="single" w:sz="4" w:space="0" w:color="0067AB" w:themeColor="accent1"/>
              <w:right w:val="single" w:sz="4" w:space="0" w:color="0067AB" w:themeColor="accent1"/>
            </w:tcBorders>
            <w:vAlign w:val="center"/>
          </w:tcPr>
          <w:p w14:paraId="04476FA6" w14:textId="77777777" w:rsidR="0041009D" w:rsidRPr="00267D28" w:rsidRDefault="00267D28" w:rsidP="00267D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color w:val="000000"/>
                <w:sz w:val="18"/>
                <w:szCs w:val="18"/>
              </w:rPr>
              <w:t>$</w:t>
            </w:r>
            <w:r w:rsidR="0041009D" w:rsidRPr="00267D28">
              <w:rPr>
                <w:color w:val="000000"/>
                <w:sz w:val="18"/>
                <w:szCs w:val="18"/>
              </w:rPr>
              <w:t>850</w:t>
            </w:r>
          </w:p>
        </w:tc>
      </w:tr>
      <w:tr w:rsidR="0041009D" w:rsidRPr="003F6864" w14:paraId="578A1134" w14:textId="77777777" w:rsidTr="00267D2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20" w:type="dxa"/>
            <w:vMerge/>
            <w:tcBorders>
              <w:right w:val="single" w:sz="4" w:space="0" w:color="0067AB" w:themeColor="accent1"/>
            </w:tcBorders>
            <w:vAlign w:val="center"/>
          </w:tcPr>
          <w:p w14:paraId="75111F4F" w14:textId="77777777" w:rsidR="0041009D" w:rsidRPr="00F919E1" w:rsidRDefault="0041009D" w:rsidP="0041009D">
            <w:pPr>
              <w:rPr>
                <w:rFonts w:asciiTheme="minorHAnsi" w:hAnsiTheme="minorHAnsi"/>
                <w:b w:val="0"/>
                <w:sz w:val="18"/>
                <w:szCs w:val="18"/>
              </w:rPr>
            </w:pPr>
          </w:p>
        </w:tc>
        <w:tc>
          <w:tcPr>
            <w:tcW w:w="2160" w:type="dxa"/>
            <w:tcBorders>
              <w:left w:val="single" w:sz="4" w:space="0" w:color="0067AB" w:themeColor="accent1"/>
              <w:right w:val="single" w:sz="4" w:space="0" w:color="0067AB" w:themeColor="accent1"/>
            </w:tcBorders>
            <w:vAlign w:val="center"/>
          </w:tcPr>
          <w:p w14:paraId="2CEB11D0" w14:textId="77777777" w:rsidR="0041009D" w:rsidRPr="00F919E1" w:rsidRDefault="0041009D" w:rsidP="0041009D">
            <w:pPr>
              <w:cnfStyle w:val="000000100000" w:firstRow="0" w:lastRow="0" w:firstColumn="0" w:lastColumn="0" w:oddVBand="0" w:evenVBand="0" w:oddHBand="1" w:evenHBand="0" w:firstRowFirstColumn="0" w:firstRowLastColumn="0" w:lastRowFirstColumn="0" w:lastRowLastColumn="0"/>
              <w:rPr>
                <w:rFonts w:asciiTheme="minorHAnsi" w:hAnsiTheme="minorHAnsi"/>
                <w:bCs/>
                <w:sz w:val="18"/>
                <w:szCs w:val="18"/>
              </w:rPr>
            </w:pPr>
            <w:r w:rsidRPr="00F919E1">
              <w:rPr>
                <w:rFonts w:asciiTheme="minorHAnsi" w:hAnsiTheme="minorHAnsi"/>
                <w:bCs/>
                <w:sz w:val="18"/>
                <w:szCs w:val="18"/>
              </w:rPr>
              <w:t>Roof Fairing</w:t>
            </w:r>
          </w:p>
        </w:tc>
        <w:tc>
          <w:tcPr>
            <w:tcW w:w="1350" w:type="dxa"/>
            <w:tcBorders>
              <w:left w:val="single" w:sz="4" w:space="0" w:color="0067AB" w:themeColor="accent1"/>
              <w:right w:val="single" w:sz="4" w:space="0" w:color="0067AB" w:themeColor="accent1"/>
            </w:tcBorders>
            <w:vAlign w:val="center"/>
          </w:tcPr>
          <w:p w14:paraId="511712A2" w14:textId="77777777" w:rsidR="0041009D" w:rsidRPr="00F919E1" w:rsidRDefault="0041009D" w:rsidP="00267D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sz w:val="18"/>
                <w:szCs w:val="18"/>
              </w:rPr>
            </w:pPr>
            <w:r w:rsidRPr="00692BB4">
              <w:rPr>
                <w:rFonts w:asciiTheme="minorHAnsi" w:hAnsiTheme="minorHAnsi"/>
                <w:sz w:val="18"/>
                <w:szCs w:val="18"/>
              </w:rPr>
              <w:t>N/A</w:t>
            </w:r>
          </w:p>
        </w:tc>
        <w:tc>
          <w:tcPr>
            <w:tcW w:w="1350" w:type="dxa"/>
            <w:tcBorders>
              <w:left w:val="single" w:sz="4" w:space="0" w:color="0067AB" w:themeColor="accent1"/>
              <w:right w:val="single" w:sz="4" w:space="0" w:color="0067AB" w:themeColor="accent1"/>
            </w:tcBorders>
            <w:vAlign w:val="center"/>
          </w:tcPr>
          <w:p w14:paraId="7D32A1EC" w14:textId="77777777" w:rsidR="0041009D" w:rsidRPr="00F919E1" w:rsidRDefault="0041009D" w:rsidP="00267D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sz w:val="18"/>
                <w:szCs w:val="18"/>
              </w:rPr>
            </w:pPr>
            <w:r>
              <w:rPr>
                <w:rFonts w:asciiTheme="minorHAnsi" w:hAnsiTheme="minorHAnsi"/>
                <w:bCs/>
                <w:sz w:val="18"/>
                <w:szCs w:val="18"/>
              </w:rPr>
              <w:t>$1,000</w:t>
            </w:r>
          </w:p>
        </w:tc>
        <w:tc>
          <w:tcPr>
            <w:tcW w:w="1350" w:type="dxa"/>
            <w:tcBorders>
              <w:left w:val="single" w:sz="4" w:space="0" w:color="0067AB" w:themeColor="accent1"/>
              <w:right w:val="single" w:sz="4" w:space="0" w:color="0067AB" w:themeColor="accent1"/>
            </w:tcBorders>
            <w:vAlign w:val="center"/>
          </w:tcPr>
          <w:p w14:paraId="1A7AC91B" w14:textId="77777777" w:rsidR="0041009D" w:rsidRPr="00F919E1" w:rsidRDefault="0041009D" w:rsidP="00267D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sz w:val="18"/>
                <w:szCs w:val="18"/>
              </w:rPr>
            </w:pPr>
            <w:r w:rsidRPr="00692BB4">
              <w:rPr>
                <w:rFonts w:asciiTheme="minorHAnsi" w:hAnsiTheme="minorHAnsi"/>
                <w:sz w:val="18"/>
                <w:szCs w:val="18"/>
              </w:rPr>
              <w:t>N/A</w:t>
            </w:r>
          </w:p>
        </w:tc>
        <w:tc>
          <w:tcPr>
            <w:tcW w:w="1350" w:type="dxa"/>
            <w:tcBorders>
              <w:left w:val="single" w:sz="4" w:space="0" w:color="0067AB" w:themeColor="accent1"/>
              <w:right w:val="single" w:sz="4" w:space="0" w:color="0067AB" w:themeColor="accent1"/>
            </w:tcBorders>
            <w:vAlign w:val="center"/>
          </w:tcPr>
          <w:p w14:paraId="7381D9B6" w14:textId="77777777" w:rsidR="0041009D" w:rsidRPr="00267D28" w:rsidRDefault="00267D28" w:rsidP="00267D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sz w:val="18"/>
                <w:szCs w:val="18"/>
              </w:rPr>
            </w:pPr>
            <w:r>
              <w:rPr>
                <w:color w:val="000000"/>
                <w:sz w:val="18"/>
                <w:szCs w:val="18"/>
              </w:rPr>
              <w:t>$</w:t>
            </w:r>
            <w:r w:rsidR="0041009D" w:rsidRPr="00267D28">
              <w:rPr>
                <w:color w:val="000000"/>
                <w:sz w:val="18"/>
                <w:szCs w:val="18"/>
              </w:rPr>
              <w:t>1,500</w:t>
            </w:r>
          </w:p>
        </w:tc>
      </w:tr>
      <w:tr w:rsidR="0041009D" w:rsidRPr="00AF154D" w14:paraId="5C716862" w14:textId="77777777" w:rsidTr="00267D28">
        <w:trPr>
          <w:trHeight w:val="288"/>
          <w:jc w:val="center"/>
        </w:trPr>
        <w:tc>
          <w:tcPr>
            <w:cnfStyle w:val="001000000000" w:firstRow="0" w:lastRow="0" w:firstColumn="1" w:lastColumn="0" w:oddVBand="0" w:evenVBand="0" w:oddHBand="0" w:evenHBand="0" w:firstRowFirstColumn="0" w:firstRowLastColumn="0" w:lastRowFirstColumn="0" w:lastRowLastColumn="0"/>
            <w:tcW w:w="1720" w:type="dxa"/>
            <w:vMerge/>
            <w:tcBorders>
              <w:right w:val="single" w:sz="4" w:space="0" w:color="0067AB" w:themeColor="accent1"/>
            </w:tcBorders>
            <w:vAlign w:val="center"/>
          </w:tcPr>
          <w:p w14:paraId="66C2DBEB" w14:textId="77777777" w:rsidR="0041009D" w:rsidRPr="00F919E1" w:rsidRDefault="0041009D" w:rsidP="0041009D">
            <w:pPr>
              <w:rPr>
                <w:rFonts w:asciiTheme="minorHAnsi" w:hAnsiTheme="minorHAnsi"/>
                <w:b w:val="0"/>
                <w:sz w:val="18"/>
                <w:szCs w:val="18"/>
              </w:rPr>
            </w:pPr>
          </w:p>
        </w:tc>
        <w:tc>
          <w:tcPr>
            <w:tcW w:w="2160" w:type="dxa"/>
            <w:tcBorders>
              <w:left w:val="single" w:sz="4" w:space="0" w:color="0067AB" w:themeColor="accent1"/>
              <w:right w:val="single" w:sz="4" w:space="0" w:color="0067AB" w:themeColor="accent1"/>
            </w:tcBorders>
            <w:vAlign w:val="center"/>
          </w:tcPr>
          <w:p w14:paraId="5C7BB304" w14:textId="77777777" w:rsidR="0041009D" w:rsidRPr="00F919E1" w:rsidRDefault="0041009D" w:rsidP="004100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Tractor Side Fairing</w:t>
            </w:r>
          </w:p>
        </w:tc>
        <w:tc>
          <w:tcPr>
            <w:tcW w:w="1350" w:type="dxa"/>
            <w:tcBorders>
              <w:left w:val="single" w:sz="4" w:space="0" w:color="0067AB" w:themeColor="accent1"/>
              <w:right w:val="single" w:sz="4" w:space="0" w:color="0067AB" w:themeColor="accent1"/>
            </w:tcBorders>
            <w:vAlign w:val="center"/>
          </w:tcPr>
          <w:p w14:paraId="108F88D5" w14:textId="77777777" w:rsidR="0041009D" w:rsidRPr="00F919E1" w:rsidRDefault="0041009D" w:rsidP="00267D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92BB4">
              <w:rPr>
                <w:rFonts w:asciiTheme="minorHAnsi" w:hAnsiTheme="minorHAnsi"/>
                <w:sz w:val="18"/>
                <w:szCs w:val="18"/>
              </w:rPr>
              <w:t>N/A</w:t>
            </w:r>
          </w:p>
        </w:tc>
        <w:tc>
          <w:tcPr>
            <w:tcW w:w="1350" w:type="dxa"/>
            <w:tcBorders>
              <w:left w:val="single" w:sz="4" w:space="0" w:color="0067AB" w:themeColor="accent1"/>
              <w:right w:val="single" w:sz="4" w:space="0" w:color="0067AB" w:themeColor="accent1"/>
            </w:tcBorders>
            <w:vAlign w:val="center"/>
          </w:tcPr>
          <w:p w14:paraId="6D8107D4" w14:textId="77777777" w:rsidR="0041009D" w:rsidRPr="00F919E1" w:rsidRDefault="0041009D" w:rsidP="00267D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92BB4">
              <w:rPr>
                <w:rFonts w:asciiTheme="minorHAnsi" w:hAnsiTheme="minorHAnsi"/>
                <w:sz w:val="18"/>
                <w:szCs w:val="18"/>
              </w:rPr>
              <w:t>N/A</w:t>
            </w:r>
          </w:p>
        </w:tc>
        <w:tc>
          <w:tcPr>
            <w:tcW w:w="1350" w:type="dxa"/>
            <w:tcBorders>
              <w:left w:val="single" w:sz="4" w:space="0" w:color="0067AB" w:themeColor="accent1"/>
              <w:right w:val="single" w:sz="4" w:space="0" w:color="0067AB" w:themeColor="accent1"/>
            </w:tcBorders>
            <w:vAlign w:val="center"/>
          </w:tcPr>
          <w:p w14:paraId="0A162F8E" w14:textId="77777777" w:rsidR="0041009D" w:rsidRPr="00F919E1" w:rsidRDefault="0041009D" w:rsidP="00267D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92BB4">
              <w:rPr>
                <w:rFonts w:asciiTheme="minorHAnsi" w:hAnsiTheme="minorHAnsi"/>
                <w:sz w:val="18"/>
                <w:szCs w:val="18"/>
              </w:rPr>
              <w:t>N/A</w:t>
            </w:r>
          </w:p>
        </w:tc>
        <w:tc>
          <w:tcPr>
            <w:tcW w:w="1350" w:type="dxa"/>
            <w:tcBorders>
              <w:left w:val="single" w:sz="4" w:space="0" w:color="0067AB" w:themeColor="accent1"/>
              <w:right w:val="single" w:sz="4" w:space="0" w:color="0067AB" w:themeColor="accent1"/>
            </w:tcBorders>
            <w:vAlign w:val="center"/>
          </w:tcPr>
          <w:p w14:paraId="102AFE7B" w14:textId="77777777" w:rsidR="0041009D" w:rsidRPr="00267D28" w:rsidRDefault="00267D28" w:rsidP="00267D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color w:val="000000"/>
                <w:sz w:val="18"/>
                <w:szCs w:val="18"/>
              </w:rPr>
              <w:t>$</w:t>
            </w:r>
            <w:r w:rsidR="0041009D" w:rsidRPr="00267D28">
              <w:rPr>
                <w:color w:val="000000"/>
                <w:sz w:val="18"/>
                <w:szCs w:val="18"/>
              </w:rPr>
              <w:t>1,500</w:t>
            </w:r>
          </w:p>
        </w:tc>
      </w:tr>
      <w:tr w:rsidR="0041009D" w:rsidRPr="00AF154D" w14:paraId="785DB6BD" w14:textId="77777777" w:rsidTr="00267D2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20" w:type="dxa"/>
            <w:vMerge/>
            <w:tcBorders>
              <w:right w:val="single" w:sz="4" w:space="0" w:color="0067AB" w:themeColor="accent1"/>
            </w:tcBorders>
            <w:vAlign w:val="center"/>
          </w:tcPr>
          <w:p w14:paraId="05BE5E2F" w14:textId="77777777" w:rsidR="0041009D" w:rsidRPr="00F919E1" w:rsidRDefault="0041009D" w:rsidP="0041009D">
            <w:pPr>
              <w:rPr>
                <w:rFonts w:asciiTheme="minorHAnsi" w:hAnsiTheme="minorHAnsi"/>
                <w:b w:val="0"/>
                <w:sz w:val="18"/>
                <w:szCs w:val="18"/>
              </w:rPr>
            </w:pPr>
          </w:p>
        </w:tc>
        <w:tc>
          <w:tcPr>
            <w:tcW w:w="2160" w:type="dxa"/>
            <w:tcBorders>
              <w:left w:val="single" w:sz="4" w:space="0" w:color="0067AB" w:themeColor="accent1"/>
              <w:right w:val="single" w:sz="4" w:space="0" w:color="0067AB" w:themeColor="accent1"/>
            </w:tcBorders>
            <w:vAlign w:val="center"/>
          </w:tcPr>
          <w:p w14:paraId="732FD7BC" w14:textId="77777777" w:rsidR="0041009D" w:rsidRPr="00F919E1" w:rsidRDefault="0041009D" w:rsidP="004100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Trailer Side Skirts</w:t>
            </w:r>
          </w:p>
        </w:tc>
        <w:tc>
          <w:tcPr>
            <w:tcW w:w="1350" w:type="dxa"/>
            <w:tcBorders>
              <w:left w:val="single" w:sz="4" w:space="0" w:color="0067AB" w:themeColor="accent1"/>
              <w:right w:val="single" w:sz="4" w:space="0" w:color="0067AB" w:themeColor="accent1"/>
            </w:tcBorders>
            <w:vAlign w:val="center"/>
          </w:tcPr>
          <w:p w14:paraId="0D743D03" w14:textId="77777777" w:rsidR="0041009D" w:rsidRPr="00F919E1" w:rsidRDefault="0041009D" w:rsidP="00267D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92BB4">
              <w:rPr>
                <w:rFonts w:asciiTheme="minorHAnsi" w:hAnsiTheme="minorHAnsi"/>
                <w:sz w:val="18"/>
                <w:szCs w:val="18"/>
              </w:rPr>
              <w:t>N/A</w:t>
            </w:r>
          </w:p>
        </w:tc>
        <w:tc>
          <w:tcPr>
            <w:tcW w:w="1350" w:type="dxa"/>
            <w:tcBorders>
              <w:left w:val="single" w:sz="4" w:space="0" w:color="0067AB" w:themeColor="accent1"/>
              <w:right w:val="single" w:sz="4" w:space="0" w:color="0067AB" w:themeColor="accent1"/>
            </w:tcBorders>
            <w:vAlign w:val="center"/>
          </w:tcPr>
          <w:p w14:paraId="3F555D5A" w14:textId="77777777" w:rsidR="0041009D" w:rsidRPr="00F919E1" w:rsidRDefault="0041009D" w:rsidP="00267D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92BB4">
              <w:rPr>
                <w:rFonts w:asciiTheme="minorHAnsi" w:hAnsiTheme="minorHAnsi"/>
                <w:sz w:val="18"/>
                <w:szCs w:val="18"/>
              </w:rPr>
              <w:t>N/A</w:t>
            </w:r>
          </w:p>
        </w:tc>
        <w:tc>
          <w:tcPr>
            <w:tcW w:w="1350" w:type="dxa"/>
            <w:tcBorders>
              <w:left w:val="single" w:sz="4" w:space="0" w:color="0067AB" w:themeColor="accent1"/>
              <w:right w:val="single" w:sz="4" w:space="0" w:color="0067AB" w:themeColor="accent1"/>
            </w:tcBorders>
            <w:vAlign w:val="center"/>
          </w:tcPr>
          <w:p w14:paraId="48EB278D" w14:textId="77777777" w:rsidR="0041009D" w:rsidRPr="00F919E1" w:rsidRDefault="0041009D" w:rsidP="00267D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92BB4">
              <w:rPr>
                <w:rFonts w:asciiTheme="minorHAnsi" w:hAnsiTheme="minorHAnsi"/>
                <w:sz w:val="18"/>
                <w:szCs w:val="18"/>
              </w:rPr>
              <w:t>N/A</w:t>
            </w:r>
          </w:p>
        </w:tc>
        <w:tc>
          <w:tcPr>
            <w:tcW w:w="1350" w:type="dxa"/>
            <w:tcBorders>
              <w:left w:val="single" w:sz="4" w:space="0" w:color="0067AB" w:themeColor="accent1"/>
              <w:right w:val="single" w:sz="4" w:space="0" w:color="0067AB" w:themeColor="accent1"/>
            </w:tcBorders>
            <w:vAlign w:val="center"/>
          </w:tcPr>
          <w:p w14:paraId="00592E9C" w14:textId="0B82F176" w:rsidR="0041009D" w:rsidRPr="00267D28" w:rsidRDefault="00267D28" w:rsidP="006D707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color w:val="000000"/>
                <w:sz w:val="18"/>
                <w:szCs w:val="18"/>
              </w:rPr>
              <w:t>$</w:t>
            </w:r>
            <w:r w:rsidR="006D7078">
              <w:rPr>
                <w:color w:val="000000"/>
                <w:sz w:val="18"/>
                <w:szCs w:val="18"/>
              </w:rPr>
              <w:t>1,5</w:t>
            </w:r>
            <w:r w:rsidR="0041009D" w:rsidRPr="00267D28">
              <w:rPr>
                <w:color w:val="000000"/>
                <w:sz w:val="18"/>
                <w:szCs w:val="18"/>
              </w:rPr>
              <w:t>00</w:t>
            </w:r>
          </w:p>
        </w:tc>
      </w:tr>
      <w:tr w:rsidR="0041009D" w:rsidRPr="00AF154D" w14:paraId="783FFA74" w14:textId="77777777" w:rsidTr="00267D28">
        <w:trPr>
          <w:trHeight w:val="288"/>
          <w:jc w:val="center"/>
        </w:trPr>
        <w:tc>
          <w:tcPr>
            <w:cnfStyle w:val="001000000000" w:firstRow="0" w:lastRow="0" w:firstColumn="1" w:lastColumn="0" w:oddVBand="0" w:evenVBand="0" w:oddHBand="0" w:evenHBand="0" w:firstRowFirstColumn="0" w:firstRowLastColumn="0" w:lastRowFirstColumn="0" w:lastRowLastColumn="0"/>
            <w:tcW w:w="1720" w:type="dxa"/>
            <w:vMerge/>
            <w:tcBorders>
              <w:right w:val="single" w:sz="4" w:space="0" w:color="0067AB" w:themeColor="accent1"/>
            </w:tcBorders>
            <w:vAlign w:val="center"/>
          </w:tcPr>
          <w:p w14:paraId="3E3866F9" w14:textId="77777777" w:rsidR="0041009D" w:rsidRPr="00F919E1" w:rsidRDefault="0041009D" w:rsidP="0041009D">
            <w:pPr>
              <w:rPr>
                <w:rFonts w:asciiTheme="minorHAnsi" w:hAnsiTheme="minorHAnsi"/>
                <w:b w:val="0"/>
                <w:sz w:val="18"/>
                <w:szCs w:val="18"/>
              </w:rPr>
            </w:pPr>
          </w:p>
        </w:tc>
        <w:tc>
          <w:tcPr>
            <w:tcW w:w="2160" w:type="dxa"/>
            <w:tcBorders>
              <w:left w:val="single" w:sz="4" w:space="0" w:color="0067AB" w:themeColor="accent1"/>
              <w:right w:val="single" w:sz="4" w:space="0" w:color="0067AB" w:themeColor="accent1"/>
            </w:tcBorders>
            <w:vAlign w:val="center"/>
          </w:tcPr>
          <w:p w14:paraId="14D33F7E" w14:textId="77777777" w:rsidR="0041009D" w:rsidRPr="00F919E1" w:rsidRDefault="0041009D" w:rsidP="004100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Fuel Tank Skirt</w:t>
            </w:r>
          </w:p>
        </w:tc>
        <w:tc>
          <w:tcPr>
            <w:tcW w:w="1350" w:type="dxa"/>
            <w:tcBorders>
              <w:left w:val="single" w:sz="4" w:space="0" w:color="0067AB" w:themeColor="accent1"/>
              <w:right w:val="single" w:sz="4" w:space="0" w:color="0067AB" w:themeColor="accent1"/>
            </w:tcBorders>
            <w:vAlign w:val="center"/>
          </w:tcPr>
          <w:p w14:paraId="073780DF" w14:textId="77777777" w:rsidR="0041009D" w:rsidRPr="00F919E1" w:rsidRDefault="0041009D" w:rsidP="00267D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92BB4">
              <w:rPr>
                <w:rFonts w:asciiTheme="minorHAnsi" w:hAnsiTheme="minorHAnsi"/>
                <w:sz w:val="18"/>
                <w:szCs w:val="18"/>
              </w:rPr>
              <w:t>N/A</w:t>
            </w:r>
          </w:p>
        </w:tc>
        <w:tc>
          <w:tcPr>
            <w:tcW w:w="1350" w:type="dxa"/>
            <w:tcBorders>
              <w:left w:val="single" w:sz="4" w:space="0" w:color="0067AB" w:themeColor="accent1"/>
              <w:right w:val="single" w:sz="4" w:space="0" w:color="0067AB" w:themeColor="accent1"/>
            </w:tcBorders>
            <w:vAlign w:val="center"/>
          </w:tcPr>
          <w:p w14:paraId="7757920C" w14:textId="77777777" w:rsidR="0041009D" w:rsidRPr="00F919E1" w:rsidRDefault="0041009D" w:rsidP="00267D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92BB4">
              <w:rPr>
                <w:rFonts w:asciiTheme="minorHAnsi" w:hAnsiTheme="minorHAnsi"/>
                <w:sz w:val="18"/>
                <w:szCs w:val="18"/>
              </w:rPr>
              <w:t>N/A</w:t>
            </w:r>
          </w:p>
        </w:tc>
        <w:tc>
          <w:tcPr>
            <w:tcW w:w="1350" w:type="dxa"/>
            <w:tcBorders>
              <w:left w:val="single" w:sz="4" w:space="0" w:color="0067AB" w:themeColor="accent1"/>
              <w:right w:val="single" w:sz="4" w:space="0" w:color="0067AB" w:themeColor="accent1"/>
            </w:tcBorders>
            <w:vAlign w:val="center"/>
          </w:tcPr>
          <w:p w14:paraId="758AC88C" w14:textId="77777777" w:rsidR="0041009D" w:rsidRPr="00F919E1" w:rsidRDefault="0041009D" w:rsidP="00267D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92BB4">
              <w:rPr>
                <w:rFonts w:asciiTheme="minorHAnsi" w:hAnsiTheme="minorHAnsi"/>
                <w:sz w:val="18"/>
                <w:szCs w:val="18"/>
              </w:rPr>
              <w:t>N/A</w:t>
            </w:r>
          </w:p>
        </w:tc>
        <w:tc>
          <w:tcPr>
            <w:tcW w:w="1350" w:type="dxa"/>
            <w:tcBorders>
              <w:left w:val="single" w:sz="4" w:space="0" w:color="0067AB" w:themeColor="accent1"/>
              <w:right w:val="single" w:sz="4" w:space="0" w:color="0067AB" w:themeColor="accent1"/>
            </w:tcBorders>
            <w:vAlign w:val="center"/>
          </w:tcPr>
          <w:p w14:paraId="683C9C2B" w14:textId="77777777" w:rsidR="0041009D" w:rsidRPr="00267D28" w:rsidRDefault="00267D28" w:rsidP="00267D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color w:val="000000"/>
                <w:sz w:val="18"/>
                <w:szCs w:val="18"/>
              </w:rPr>
              <w:t>$</w:t>
            </w:r>
            <w:r w:rsidR="0041009D" w:rsidRPr="00267D28">
              <w:rPr>
                <w:color w:val="000000"/>
                <w:sz w:val="18"/>
                <w:szCs w:val="18"/>
              </w:rPr>
              <w:t>1,900</w:t>
            </w:r>
          </w:p>
        </w:tc>
      </w:tr>
      <w:tr w:rsidR="0041009D" w:rsidRPr="00AF154D" w14:paraId="60CC6ED2" w14:textId="77777777" w:rsidTr="00267D2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20" w:type="dxa"/>
            <w:vMerge w:val="restart"/>
            <w:tcBorders>
              <w:right w:val="single" w:sz="4" w:space="0" w:color="0067AB" w:themeColor="accent1"/>
            </w:tcBorders>
            <w:vAlign w:val="center"/>
          </w:tcPr>
          <w:p w14:paraId="4978365E" w14:textId="77777777" w:rsidR="0041009D" w:rsidRPr="00F919E1" w:rsidRDefault="0041009D" w:rsidP="00D52B46">
            <w:pPr>
              <w:keepNext/>
              <w:rPr>
                <w:rFonts w:asciiTheme="minorHAnsi" w:hAnsiTheme="minorHAnsi"/>
                <w:b w:val="0"/>
                <w:sz w:val="18"/>
                <w:szCs w:val="18"/>
              </w:rPr>
            </w:pPr>
            <w:r>
              <w:rPr>
                <w:rFonts w:asciiTheme="minorHAnsi" w:hAnsiTheme="minorHAnsi"/>
                <w:b w:val="0"/>
                <w:sz w:val="18"/>
                <w:szCs w:val="18"/>
              </w:rPr>
              <w:t>Tires</w:t>
            </w:r>
          </w:p>
        </w:tc>
        <w:tc>
          <w:tcPr>
            <w:tcW w:w="2160" w:type="dxa"/>
            <w:tcBorders>
              <w:left w:val="single" w:sz="4" w:space="0" w:color="0067AB" w:themeColor="accent1"/>
              <w:right w:val="single" w:sz="4" w:space="0" w:color="0067AB" w:themeColor="accent1"/>
            </w:tcBorders>
            <w:vAlign w:val="center"/>
          </w:tcPr>
          <w:p w14:paraId="23CA824D" w14:textId="77777777" w:rsidR="0041009D" w:rsidRPr="00F919E1" w:rsidRDefault="0041009D" w:rsidP="00D52B46">
            <w:pPr>
              <w:keepNex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Low Rolling Resistance</w:t>
            </w:r>
          </w:p>
        </w:tc>
        <w:tc>
          <w:tcPr>
            <w:tcW w:w="1350" w:type="dxa"/>
            <w:tcBorders>
              <w:left w:val="single" w:sz="4" w:space="0" w:color="0067AB" w:themeColor="accent1"/>
              <w:right w:val="single" w:sz="4" w:space="0" w:color="0067AB" w:themeColor="accent1"/>
            </w:tcBorders>
            <w:vAlign w:val="center"/>
          </w:tcPr>
          <w:p w14:paraId="2AF588C2" w14:textId="77777777" w:rsidR="0041009D" w:rsidRPr="00F919E1" w:rsidRDefault="0041009D" w:rsidP="00D52B46">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$1,000</w:t>
            </w:r>
          </w:p>
        </w:tc>
        <w:tc>
          <w:tcPr>
            <w:tcW w:w="1350" w:type="dxa"/>
            <w:tcBorders>
              <w:left w:val="single" w:sz="4" w:space="0" w:color="0067AB" w:themeColor="accent1"/>
              <w:right w:val="single" w:sz="4" w:space="0" w:color="0067AB" w:themeColor="accent1"/>
            </w:tcBorders>
            <w:vAlign w:val="center"/>
          </w:tcPr>
          <w:p w14:paraId="288C4A94" w14:textId="77777777" w:rsidR="0041009D" w:rsidRPr="00F919E1" w:rsidRDefault="0041009D" w:rsidP="00D52B46">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$1,000</w:t>
            </w:r>
          </w:p>
        </w:tc>
        <w:tc>
          <w:tcPr>
            <w:tcW w:w="1350" w:type="dxa"/>
            <w:tcBorders>
              <w:left w:val="single" w:sz="4" w:space="0" w:color="0067AB" w:themeColor="accent1"/>
              <w:right w:val="single" w:sz="4" w:space="0" w:color="0067AB" w:themeColor="accent1"/>
            </w:tcBorders>
            <w:vAlign w:val="center"/>
          </w:tcPr>
          <w:p w14:paraId="2915C9E9" w14:textId="77777777" w:rsidR="0041009D" w:rsidRPr="00F919E1" w:rsidRDefault="0041009D" w:rsidP="00D52B46">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$1,800</w:t>
            </w:r>
          </w:p>
        </w:tc>
        <w:tc>
          <w:tcPr>
            <w:tcW w:w="1350" w:type="dxa"/>
            <w:tcBorders>
              <w:left w:val="single" w:sz="4" w:space="0" w:color="0067AB" w:themeColor="accent1"/>
              <w:right w:val="single" w:sz="4" w:space="0" w:color="0067AB" w:themeColor="accent1"/>
            </w:tcBorders>
            <w:vAlign w:val="center"/>
          </w:tcPr>
          <w:p w14:paraId="43EFC7AF" w14:textId="77777777" w:rsidR="0041009D" w:rsidRPr="00267D28" w:rsidRDefault="00267D28" w:rsidP="00D52B46">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color w:val="000000"/>
                <w:sz w:val="18"/>
                <w:szCs w:val="18"/>
              </w:rPr>
              <w:t>$</w:t>
            </w:r>
            <w:r w:rsidR="0041009D" w:rsidRPr="00267D28">
              <w:rPr>
                <w:color w:val="000000"/>
                <w:sz w:val="18"/>
                <w:szCs w:val="18"/>
              </w:rPr>
              <w:t>1,800</w:t>
            </w:r>
          </w:p>
        </w:tc>
      </w:tr>
      <w:tr w:rsidR="0041009D" w:rsidRPr="00AF154D" w14:paraId="1DCF43EA" w14:textId="77777777" w:rsidTr="00267D28">
        <w:trPr>
          <w:trHeight w:val="288"/>
          <w:jc w:val="center"/>
        </w:trPr>
        <w:tc>
          <w:tcPr>
            <w:cnfStyle w:val="001000000000" w:firstRow="0" w:lastRow="0" w:firstColumn="1" w:lastColumn="0" w:oddVBand="0" w:evenVBand="0" w:oddHBand="0" w:evenHBand="0" w:firstRowFirstColumn="0" w:firstRowLastColumn="0" w:lastRowFirstColumn="0" w:lastRowLastColumn="0"/>
            <w:tcW w:w="1720" w:type="dxa"/>
            <w:vMerge/>
            <w:tcBorders>
              <w:right w:val="single" w:sz="4" w:space="0" w:color="0067AB" w:themeColor="accent1"/>
            </w:tcBorders>
            <w:vAlign w:val="center"/>
          </w:tcPr>
          <w:p w14:paraId="1DC45DDC" w14:textId="77777777" w:rsidR="0041009D" w:rsidRPr="00F919E1" w:rsidRDefault="0041009D" w:rsidP="0041009D">
            <w:pPr>
              <w:rPr>
                <w:rFonts w:asciiTheme="minorHAnsi" w:hAnsiTheme="minorHAnsi"/>
                <w:b w:val="0"/>
                <w:sz w:val="18"/>
                <w:szCs w:val="18"/>
              </w:rPr>
            </w:pPr>
          </w:p>
        </w:tc>
        <w:tc>
          <w:tcPr>
            <w:tcW w:w="2160" w:type="dxa"/>
            <w:tcBorders>
              <w:left w:val="single" w:sz="4" w:space="0" w:color="0067AB" w:themeColor="accent1"/>
              <w:right w:val="single" w:sz="4" w:space="0" w:color="0067AB" w:themeColor="accent1"/>
            </w:tcBorders>
            <w:vAlign w:val="center"/>
          </w:tcPr>
          <w:p w14:paraId="11518629" w14:textId="77777777" w:rsidR="0041009D" w:rsidRPr="00F919E1" w:rsidRDefault="0041009D" w:rsidP="004100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Single Wide</w:t>
            </w:r>
          </w:p>
        </w:tc>
        <w:tc>
          <w:tcPr>
            <w:tcW w:w="1350" w:type="dxa"/>
            <w:tcBorders>
              <w:left w:val="single" w:sz="4" w:space="0" w:color="0067AB" w:themeColor="accent1"/>
              <w:right w:val="single" w:sz="4" w:space="0" w:color="0067AB" w:themeColor="accent1"/>
            </w:tcBorders>
            <w:vAlign w:val="center"/>
          </w:tcPr>
          <w:p w14:paraId="7F948013" w14:textId="77777777" w:rsidR="0041009D" w:rsidRPr="00F919E1" w:rsidRDefault="0041009D" w:rsidP="00267D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$800</w:t>
            </w:r>
          </w:p>
        </w:tc>
        <w:tc>
          <w:tcPr>
            <w:tcW w:w="1350" w:type="dxa"/>
            <w:tcBorders>
              <w:left w:val="single" w:sz="4" w:space="0" w:color="0067AB" w:themeColor="accent1"/>
              <w:right w:val="single" w:sz="4" w:space="0" w:color="0067AB" w:themeColor="accent1"/>
            </w:tcBorders>
            <w:vAlign w:val="center"/>
          </w:tcPr>
          <w:p w14:paraId="7F02470B" w14:textId="77777777" w:rsidR="0041009D" w:rsidRPr="00F919E1" w:rsidRDefault="0041009D" w:rsidP="00267D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$800</w:t>
            </w:r>
          </w:p>
        </w:tc>
        <w:tc>
          <w:tcPr>
            <w:tcW w:w="1350" w:type="dxa"/>
            <w:tcBorders>
              <w:left w:val="single" w:sz="4" w:space="0" w:color="0067AB" w:themeColor="accent1"/>
              <w:right w:val="single" w:sz="4" w:space="0" w:color="0067AB" w:themeColor="accent1"/>
            </w:tcBorders>
            <w:vAlign w:val="center"/>
          </w:tcPr>
          <w:p w14:paraId="156C71CD" w14:textId="77777777" w:rsidR="0041009D" w:rsidRPr="00F919E1" w:rsidRDefault="0041009D" w:rsidP="00267D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$1,600</w:t>
            </w:r>
          </w:p>
        </w:tc>
        <w:tc>
          <w:tcPr>
            <w:tcW w:w="1350" w:type="dxa"/>
            <w:tcBorders>
              <w:left w:val="single" w:sz="4" w:space="0" w:color="0067AB" w:themeColor="accent1"/>
              <w:right w:val="single" w:sz="4" w:space="0" w:color="0067AB" w:themeColor="accent1"/>
            </w:tcBorders>
            <w:vAlign w:val="center"/>
          </w:tcPr>
          <w:p w14:paraId="7C56823C" w14:textId="77777777" w:rsidR="0041009D" w:rsidRPr="00267D28" w:rsidRDefault="00267D28" w:rsidP="00267D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color w:val="000000"/>
                <w:sz w:val="18"/>
                <w:szCs w:val="18"/>
              </w:rPr>
              <w:t>$</w:t>
            </w:r>
            <w:r w:rsidR="0041009D" w:rsidRPr="00267D28">
              <w:rPr>
                <w:color w:val="000000"/>
                <w:sz w:val="18"/>
                <w:szCs w:val="18"/>
              </w:rPr>
              <w:t>1,600</w:t>
            </w:r>
          </w:p>
        </w:tc>
      </w:tr>
      <w:tr w:rsidR="0041009D" w:rsidRPr="00AF154D" w14:paraId="5669FCB1" w14:textId="77777777" w:rsidTr="00267D2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20" w:type="dxa"/>
            <w:vMerge/>
            <w:tcBorders>
              <w:right w:val="single" w:sz="4" w:space="0" w:color="0067AB" w:themeColor="accent1"/>
            </w:tcBorders>
            <w:vAlign w:val="center"/>
          </w:tcPr>
          <w:p w14:paraId="336D3543" w14:textId="77777777" w:rsidR="0041009D" w:rsidRPr="00F919E1" w:rsidRDefault="0041009D" w:rsidP="0041009D">
            <w:pPr>
              <w:rPr>
                <w:rFonts w:asciiTheme="minorHAnsi" w:hAnsiTheme="minorHAnsi"/>
                <w:b w:val="0"/>
                <w:sz w:val="18"/>
                <w:szCs w:val="18"/>
              </w:rPr>
            </w:pPr>
          </w:p>
        </w:tc>
        <w:tc>
          <w:tcPr>
            <w:tcW w:w="2160" w:type="dxa"/>
            <w:tcBorders>
              <w:left w:val="single" w:sz="4" w:space="0" w:color="0067AB" w:themeColor="accent1"/>
              <w:right w:val="single" w:sz="4" w:space="0" w:color="0067AB" w:themeColor="accent1"/>
            </w:tcBorders>
            <w:vAlign w:val="center"/>
          </w:tcPr>
          <w:p w14:paraId="7FA1093A" w14:textId="77777777" w:rsidR="0041009D" w:rsidRPr="00F919E1" w:rsidRDefault="0041009D" w:rsidP="004100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Tire Pressure Monitor</w:t>
            </w:r>
          </w:p>
        </w:tc>
        <w:tc>
          <w:tcPr>
            <w:tcW w:w="1350" w:type="dxa"/>
            <w:tcBorders>
              <w:left w:val="single" w:sz="4" w:space="0" w:color="0067AB" w:themeColor="accent1"/>
              <w:right w:val="single" w:sz="4" w:space="0" w:color="0067AB" w:themeColor="accent1"/>
            </w:tcBorders>
            <w:vAlign w:val="center"/>
          </w:tcPr>
          <w:p w14:paraId="5FEBF79F" w14:textId="77777777" w:rsidR="0041009D" w:rsidRPr="00F919E1" w:rsidRDefault="0041009D" w:rsidP="00267D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92BB4">
              <w:rPr>
                <w:rFonts w:asciiTheme="minorHAnsi" w:hAnsiTheme="minorHAnsi"/>
                <w:sz w:val="18"/>
                <w:szCs w:val="18"/>
              </w:rPr>
              <w:t>N/A</w:t>
            </w:r>
          </w:p>
        </w:tc>
        <w:tc>
          <w:tcPr>
            <w:tcW w:w="1350" w:type="dxa"/>
            <w:tcBorders>
              <w:left w:val="single" w:sz="4" w:space="0" w:color="0067AB" w:themeColor="accent1"/>
              <w:right w:val="single" w:sz="4" w:space="0" w:color="0067AB" w:themeColor="accent1"/>
            </w:tcBorders>
            <w:vAlign w:val="center"/>
          </w:tcPr>
          <w:p w14:paraId="7A876AD8" w14:textId="77777777" w:rsidR="0041009D" w:rsidRPr="00F919E1" w:rsidRDefault="0041009D" w:rsidP="00267D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92BB4">
              <w:rPr>
                <w:rFonts w:asciiTheme="minorHAnsi" w:hAnsiTheme="minorHAnsi"/>
                <w:sz w:val="18"/>
                <w:szCs w:val="18"/>
              </w:rPr>
              <w:t>N/A</w:t>
            </w:r>
          </w:p>
        </w:tc>
        <w:tc>
          <w:tcPr>
            <w:tcW w:w="1350" w:type="dxa"/>
            <w:tcBorders>
              <w:left w:val="single" w:sz="4" w:space="0" w:color="0067AB" w:themeColor="accent1"/>
              <w:right w:val="single" w:sz="4" w:space="0" w:color="0067AB" w:themeColor="accent1"/>
            </w:tcBorders>
            <w:vAlign w:val="center"/>
          </w:tcPr>
          <w:p w14:paraId="381AE9BD" w14:textId="77777777" w:rsidR="0041009D" w:rsidRPr="00F919E1" w:rsidRDefault="0041009D" w:rsidP="00267D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92BB4">
              <w:rPr>
                <w:rFonts w:asciiTheme="minorHAnsi" w:hAnsiTheme="minorHAnsi"/>
                <w:sz w:val="18"/>
                <w:szCs w:val="18"/>
              </w:rPr>
              <w:t>N/A</w:t>
            </w:r>
          </w:p>
        </w:tc>
        <w:tc>
          <w:tcPr>
            <w:tcW w:w="1350" w:type="dxa"/>
            <w:tcBorders>
              <w:left w:val="single" w:sz="4" w:space="0" w:color="0067AB" w:themeColor="accent1"/>
              <w:right w:val="single" w:sz="4" w:space="0" w:color="0067AB" w:themeColor="accent1"/>
            </w:tcBorders>
            <w:vAlign w:val="center"/>
          </w:tcPr>
          <w:p w14:paraId="7B85C881" w14:textId="77777777" w:rsidR="0041009D" w:rsidRPr="00267D28" w:rsidRDefault="00267D28" w:rsidP="00267D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color w:val="000000"/>
                <w:sz w:val="18"/>
                <w:szCs w:val="18"/>
              </w:rPr>
              <w:t>$</w:t>
            </w:r>
            <w:r w:rsidR="0041009D" w:rsidRPr="00267D28">
              <w:rPr>
                <w:color w:val="000000"/>
                <w:sz w:val="18"/>
                <w:szCs w:val="18"/>
              </w:rPr>
              <w:t>750</w:t>
            </w:r>
          </w:p>
        </w:tc>
      </w:tr>
      <w:tr w:rsidR="0041009D" w:rsidRPr="00AF154D" w14:paraId="6B1C4AC7" w14:textId="77777777" w:rsidTr="00267D28">
        <w:trPr>
          <w:trHeight w:val="288"/>
          <w:jc w:val="center"/>
        </w:trPr>
        <w:tc>
          <w:tcPr>
            <w:cnfStyle w:val="001000000000" w:firstRow="0" w:lastRow="0" w:firstColumn="1" w:lastColumn="0" w:oddVBand="0" w:evenVBand="0" w:oddHBand="0" w:evenHBand="0" w:firstRowFirstColumn="0" w:firstRowLastColumn="0" w:lastRowFirstColumn="0" w:lastRowLastColumn="0"/>
            <w:tcW w:w="1720" w:type="dxa"/>
            <w:vMerge/>
            <w:tcBorders>
              <w:right w:val="single" w:sz="4" w:space="0" w:color="0067AB" w:themeColor="accent1"/>
            </w:tcBorders>
            <w:vAlign w:val="center"/>
          </w:tcPr>
          <w:p w14:paraId="3B0FE7A5" w14:textId="77777777" w:rsidR="0041009D" w:rsidRPr="00F919E1" w:rsidRDefault="0041009D" w:rsidP="0041009D">
            <w:pPr>
              <w:rPr>
                <w:rFonts w:asciiTheme="minorHAnsi" w:hAnsiTheme="minorHAnsi"/>
                <w:b w:val="0"/>
                <w:sz w:val="18"/>
                <w:szCs w:val="18"/>
              </w:rPr>
            </w:pPr>
          </w:p>
        </w:tc>
        <w:tc>
          <w:tcPr>
            <w:tcW w:w="2160" w:type="dxa"/>
            <w:tcBorders>
              <w:left w:val="single" w:sz="4" w:space="0" w:color="0067AB" w:themeColor="accent1"/>
              <w:right w:val="single" w:sz="4" w:space="0" w:color="0067AB" w:themeColor="accent1"/>
            </w:tcBorders>
            <w:vAlign w:val="center"/>
          </w:tcPr>
          <w:p w14:paraId="6C367A82" w14:textId="77777777" w:rsidR="0041009D" w:rsidRPr="00F919E1" w:rsidRDefault="0041009D" w:rsidP="004100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Auto Tire Inflation</w:t>
            </w:r>
          </w:p>
        </w:tc>
        <w:tc>
          <w:tcPr>
            <w:tcW w:w="1350" w:type="dxa"/>
            <w:tcBorders>
              <w:left w:val="single" w:sz="4" w:space="0" w:color="0067AB" w:themeColor="accent1"/>
              <w:right w:val="single" w:sz="4" w:space="0" w:color="0067AB" w:themeColor="accent1"/>
            </w:tcBorders>
            <w:vAlign w:val="center"/>
          </w:tcPr>
          <w:p w14:paraId="0106B7B4" w14:textId="77777777" w:rsidR="0041009D" w:rsidRPr="00F919E1" w:rsidRDefault="0041009D" w:rsidP="00267D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92BB4">
              <w:rPr>
                <w:rFonts w:asciiTheme="minorHAnsi" w:hAnsiTheme="minorHAnsi"/>
                <w:sz w:val="18"/>
                <w:szCs w:val="18"/>
              </w:rPr>
              <w:t>N/A</w:t>
            </w:r>
          </w:p>
        </w:tc>
        <w:tc>
          <w:tcPr>
            <w:tcW w:w="1350" w:type="dxa"/>
            <w:tcBorders>
              <w:left w:val="single" w:sz="4" w:space="0" w:color="0067AB" w:themeColor="accent1"/>
              <w:right w:val="single" w:sz="4" w:space="0" w:color="0067AB" w:themeColor="accent1"/>
            </w:tcBorders>
            <w:vAlign w:val="center"/>
          </w:tcPr>
          <w:p w14:paraId="79C22C36" w14:textId="77777777" w:rsidR="0041009D" w:rsidRPr="00F919E1" w:rsidRDefault="0041009D" w:rsidP="00267D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92BB4">
              <w:rPr>
                <w:rFonts w:asciiTheme="minorHAnsi" w:hAnsiTheme="minorHAnsi"/>
                <w:sz w:val="18"/>
                <w:szCs w:val="18"/>
              </w:rPr>
              <w:t>N/A</w:t>
            </w:r>
          </w:p>
        </w:tc>
        <w:tc>
          <w:tcPr>
            <w:tcW w:w="1350" w:type="dxa"/>
            <w:tcBorders>
              <w:left w:val="single" w:sz="4" w:space="0" w:color="0067AB" w:themeColor="accent1"/>
              <w:right w:val="single" w:sz="4" w:space="0" w:color="0067AB" w:themeColor="accent1"/>
            </w:tcBorders>
            <w:vAlign w:val="center"/>
          </w:tcPr>
          <w:p w14:paraId="2926F9D3" w14:textId="77777777" w:rsidR="0041009D" w:rsidRPr="00F919E1" w:rsidRDefault="0041009D" w:rsidP="00267D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92BB4">
              <w:rPr>
                <w:rFonts w:asciiTheme="minorHAnsi" w:hAnsiTheme="minorHAnsi"/>
                <w:sz w:val="18"/>
                <w:szCs w:val="18"/>
              </w:rPr>
              <w:t>N/A</w:t>
            </w:r>
          </w:p>
        </w:tc>
        <w:tc>
          <w:tcPr>
            <w:tcW w:w="1350" w:type="dxa"/>
            <w:tcBorders>
              <w:left w:val="single" w:sz="4" w:space="0" w:color="0067AB" w:themeColor="accent1"/>
              <w:right w:val="single" w:sz="4" w:space="0" w:color="0067AB" w:themeColor="accent1"/>
            </w:tcBorders>
            <w:vAlign w:val="center"/>
          </w:tcPr>
          <w:p w14:paraId="574AC960" w14:textId="77777777" w:rsidR="0041009D" w:rsidRPr="00267D28" w:rsidRDefault="00267D28" w:rsidP="00267D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color w:val="000000"/>
                <w:sz w:val="18"/>
                <w:szCs w:val="18"/>
              </w:rPr>
              <w:t>$</w:t>
            </w:r>
            <w:r w:rsidR="0041009D" w:rsidRPr="00267D28">
              <w:rPr>
                <w:color w:val="000000"/>
                <w:sz w:val="18"/>
                <w:szCs w:val="18"/>
              </w:rPr>
              <w:t>1,000</w:t>
            </w:r>
          </w:p>
        </w:tc>
      </w:tr>
      <w:tr w:rsidR="0041009D" w:rsidRPr="00AF154D" w14:paraId="48D80905" w14:textId="77777777" w:rsidTr="00267D2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20" w:type="dxa"/>
            <w:vMerge/>
            <w:tcBorders>
              <w:right w:val="single" w:sz="4" w:space="0" w:color="0067AB" w:themeColor="accent1"/>
            </w:tcBorders>
          </w:tcPr>
          <w:p w14:paraId="376DAB81" w14:textId="77777777" w:rsidR="0041009D" w:rsidRPr="00F919E1" w:rsidRDefault="0041009D" w:rsidP="0041009D">
            <w:pPr>
              <w:rPr>
                <w:rFonts w:asciiTheme="minorHAnsi" w:hAnsiTheme="minorHAnsi"/>
                <w:sz w:val="18"/>
                <w:szCs w:val="18"/>
              </w:rPr>
            </w:pPr>
          </w:p>
        </w:tc>
        <w:tc>
          <w:tcPr>
            <w:tcW w:w="2160" w:type="dxa"/>
            <w:tcBorders>
              <w:left w:val="single" w:sz="4" w:space="0" w:color="0067AB" w:themeColor="accent1"/>
              <w:right w:val="single" w:sz="4" w:space="0" w:color="0067AB" w:themeColor="accent1"/>
            </w:tcBorders>
            <w:vAlign w:val="center"/>
          </w:tcPr>
          <w:p w14:paraId="05594D68" w14:textId="77777777" w:rsidR="0041009D" w:rsidRPr="00F919E1" w:rsidRDefault="0041009D" w:rsidP="004100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Dual Tire Equalizers</w:t>
            </w:r>
          </w:p>
        </w:tc>
        <w:tc>
          <w:tcPr>
            <w:tcW w:w="1350" w:type="dxa"/>
            <w:tcBorders>
              <w:left w:val="single" w:sz="4" w:space="0" w:color="0067AB" w:themeColor="accent1"/>
              <w:right w:val="single" w:sz="4" w:space="0" w:color="0067AB" w:themeColor="accent1"/>
            </w:tcBorders>
            <w:vAlign w:val="center"/>
          </w:tcPr>
          <w:p w14:paraId="4DFB4494" w14:textId="77777777" w:rsidR="0041009D" w:rsidRPr="00F919E1" w:rsidRDefault="0041009D" w:rsidP="00267D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92BB4">
              <w:rPr>
                <w:rFonts w:asciiTheme="minorHAnsi" w:hAnsiTheme="minorHAnsi"/>
                <w:sz w:val="18"/>
                <w:szCs w:val="18"/>
              </w:rPr>
              <w:t>N/A</w:t>
            </w:r>
          </w:p>
        </w:tc>
        <w:tc>
          <w:tcPr>
            <w:tcW w:w="1350" w:type="dxa"/>
            <w:tcBorders>
              <w:left w:val="single" w:sz="4" w:space="0" w:color="0067AB" w:themeColor="accent1"/>
              <w:right w:val="single" w:sz="4" w:space="0" w:color="0067AB" w:themeColor="accent1"/>
            </w:tcBorders>
            <w:vAlign w:val="center"/>
          </w:tcPr>
          <w:p w14:paraId="3B82CBA4" w14:textId="77777777" w:rsidR="0041009D" w:rsidRPr="00F919E1" w:rsidRDefault="0041009D" w:rsidP="00267D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92BB4">
              <w:rPr>
                <w:rFonts w:asciiTheme="minorHAnsi" w:hAnsiTheme="minorHAnsi"/>
                <w:sz w:val="18"/>
                <w:szCs w:val="18"/>
              </w:rPr>
              <w:t>N/A</w:t>
            </w:r>
          </w:p>
        </w:tc>
        <w:tc>
          <w:tcPr>
            <w:tcW w:w="1350" w:type="dxa"/>
            <w:tcBorders>
              <w:left w:val="single" w:sz="4" w:space="0" w:color="0067AB" w:themeColor="accent1"/>
              <w:right w:val="single" w:sz="4" w:space="0" w:color="0067AB" w:themeColor="accent1"/>
            </w:tcBorders>
            <w:vAlign w:val="center"/>
          </w:tcPr>
          <w:p w14:paraId="23CB1F4F" w14:textId="77777777" w:rsidR="0041009D" w:rsidRPr="00F919E1" w:rsidRDefault="0041009D" w:rsidP="00267D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92BB4">
              <w:rPr>
                <w:rFonts w:asciiTheme="minorHAnsi" w:hAnsiTheme="minorHAnsi"/>
                <w:sz w:val="18"/>
                <w:szCs w:val="18"/>
              </w:rPr>
              <w:t>N/A</w:t>
            </w:r>
          </w:p>
        </w:tc>
        <w:tc>
          <w:tcPr>
            <w:tcW w:w="1350" w:type="dxa"/>
            <w:tcBorders>
              <w:left w:val="single" w:sz="4" w:space="0" w:color="0067AB" w:themeColor="accent1"/>
              <w:right w:val="single" w:sz="4" w:space="0" w:color="0067AB" w:themeColor="accent1"/>
            </w:tcBorders>
            <w:vAlign w:val="center"/>
          </w:tcPr>
          <w:p w14:paraId="427CCD2D" w14:textId="77777777" w:rsidR="0041009D" w:rsidRPr="00267D28" w:rsidRDefault="00267D28" w:rsidP="00267D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color w:val="000000"/>
                <w:sz w:val="18"/>
                <w:szCs w:val="18"/>
              </w:rPr>
              <w:t>$</w:t>
            </w:r>
            <w:r w:rsidR="0041009D" w:rsidRPr="00267D28">
              <w:rPr>
                <w:color w:val="000000"/>
                <w:sz w:val="18"/>
                <w:szCs w:val="18"/>
              </w:rPr>
              <w:t>400</w:t>
            </w:r>
          </w:p>
        </w:tc>
      </w:tr>
      <w:tr w:rsidR="0041009D" w:rsidRPr="00AF154D" w14:paraId="534DA598" w14:textId="77777777" w:rsidTr="00267D28">
        <w:trPr>
          <w:trHeight w:val="288"/>
          <w:jc w:val="center"/>
        </w:trPr>
        <w:tc>
          <w:tcPr>
            <w:cnfStyle w:val="001000000000" w:firstRow="0" w:lastRow="0" w:firstColumn="1" w:lastColumn="0" w:oddVBand="0" w:evenVBand="0" w:oddHBand="0" w:evenHBand="0" w:firstRowFirstColumn="0" w:firstRowLastColumn="0" w:lastRowFirstColumn="0" w:lastRowLastColumn="0"/>
            <w:tcW w:w="1720" w:type="dxa"/>
            <w:vMerge/>
            <w:tcBorders>
              <w:right w:val="single" w:sz="4" w:space="0" w:color="0067AB" w:themeColor="accent1"/>
            </w:tcBorders>
          </w:tcPr>
          <w:p w14:paraId="22DEDE35" w14:textId="77777777" w:rsidR="0041009D" w:rsidRPr="00F919E1" w:rsidRDefault="0041009D" w:rsidP="0041009D">
            <w:pPr>
              <w:rPr>
                <w:rFonts w:asciiTheme="minorHAnsi" w:hAnsiTheme="minorHAnsi"/>
                <w:sz w:val="18"/>
                <w:szCs w:val="18"/>
              </w:rPr>
            </w:pPr>
          </w:p>
        </w:tc>
        <w:tc>
          <w:tcPr>
            <w:tcW w:w="2160" w:type="dxa"/>
            <w:tcBorders>
              <w:left w:val="single" w:sz="4" w:space="0" w:color="0067AB" w:themeColor="accent1"/>
              <w:right w:val="single" w:sz="4" w:space="0" w:color="0067AB" w:themeColor="accent1"/>
            </w:tcBorders>
            <w:vAlign w:val="center"/>
          </w:tcPr>
          <w:p w14:paraId="5AFF657A" w14:textId="77777777" w:rsidR="0041009D" w:rsidRPr="00F919E1" w:rsidRDefault="0041009D" w:rsidP="004100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Central Tire Inflation</w:t>
            </w:r>
          </w:p>
        </w:tc>
        <w:tc>
          <w:tcPr>
            <w:tcW w:w="1350" w:type="dxa"/>
            <w:tcBorders>
              <w:left w:val="single" w:sz="4" w:space="0" w:color="0067AB" w:themeColor="accent1"/>
              <w:right w:val="single" w:sz="4" w:space="0" w:color="0067AB" w:themeColor="accent1"/>
            </w:tcBorders>
            <w:vAlign w:val="center"/>
          </w:tcPr>
          <w:p w14:paraId="12E4EB70" w14:textId="77777777" w:rsidR="0041009D" w:rsidRPr="00F919E1" w:rsidRDefault="0041009D" w:rsidP="00267D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92BB4">
              <w:rPr>
                <w:rFonts w:asciiTheme="minorHAnsi" w:hAnsiTheme="minorHAnsi"/>
                <w:sz w:val="18"/>
                <w:szCs w:val="18"/>
              </w:rPr>
              <w:t>N/A</w:t>
            </w:r>
          </w:p>
        </w:tc>
        <w:tc>
          <w:tcPr>
            <w:tcW w:w="1350" w:type="dxa"/>
            <w:tcBorders>
              <w:left w:val="single" w:sz="4" w:space="0" w:color="0067AB" w:themeColor="accent1"/>
              <w:right w:val="single" w:sz="4" w:space="0" w:color="0067AB" w:themeColor="accent1"/>
            </w:tcBorders>
            <w:vAlign w:val="center"/>
          </w:tcPr>
          <w:p w14:paraId="7328F3A9" w14:textId="77777777" w:rsidR="0041009D" w:rsidRPr="00F919E1" w:rsidRDefault="0041009D" w:rsidP="00267D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92BB4">
              <w:rPr>
                <w:rFonts w:asciiTheme="minorHAnsi" w:hAnsiTheme="minorHAnsi"/>
                <w:sz w:val="18"/>
                <w:szCs w:val="18"/>
              </w:rPr>
              <w:t>N/A</w:t>
            </w:r>
          </w:p>
        </w:tc>
        <w:tc>
          <w:tcPr>
            <w:tcW w:w="1350" w:type="dxa"/>
            <w:tcBorders>
              <w:left w:val="single" w:sz="4" w:space="0" w:color="0067AB" w:themeColor="accent1"/>
              <w:right w:val="single" w:sz="4" w:space="0" w:color="0067AB" w:themeColor="accent1"/>
            </w:tcBorders>
            <w:vAlign w:val="center"/>
          </w:tcPr>
          <w:p w14:paraId="0518A1A5" w14:textId="77777777" w:rsidR="0041009D" w:rsidRPr="00F919E1" w:rsidRDefault="0041009D" w:rsidP="00267D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92BB4">
              <w:rPr>
                <w:rFonts w:asciiTheme="minorHAnsi" w:hAnsiTheme="minorHAnsi"/>
                <w:sz w:val="18"/>
                <w:szCs w:val="18"/>
              </w:rPr>
              <w:t>N/A</w:t>
            </w:r>
          </w:p>
        </w:tc>
        <w:tc>
          <w:tcPr>
            <w:tcW w:w="1350" w:type="dxa"/>
            <w:tcBorders>
              <w:left w:val="single" w:sz="4" w:space="0" w:color="0067AB" w:themeColor="accent1"/>
              <w:right w:val="single" w:sz="4" w:space="0" w:color="0067AB" w:themeColor="accent1"/>
            </w:tcBorders>
            <w:vAlign w:val="center"/>
          </w:tcPr>
          <w:p w14:paraId="1CFDE52D" w14:textId="77777777" w:rsidR="0041009D" w:rsidRPr="00267D28" w:rsidRDefault="00267D28" w:rsidP="00267D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color w:val="000000"/>
                <w:sz w:val="18"/>
                <w:szCs w:val="18"/>
              </w:rPr>
              <w:t>$</w:t>
            </w:r>
            <w:r w:rsidR="0041009D" w:rsidRPr="00267D28">
              <w:rPr>
                <w:color w:val="000000"/>
                <w:sz w:val="18"/>
                <w:szCs w:val="18"/>
              </w:rPr>
              <w:t>800</w:t>
            </w:r>
          </w:p>
        </w:tc>
      </w:tr>
      <w:tr w:rsidR="0041009D" w:rsidRPr="00AF154D" w14:paraId="3251A3DF" w14:textId="77777777" w:rsidTr="00267D2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20" w:type="dxa"/>
            <w:vMerge/>
            <w:tcBorders>
              <w:right w:val="single" w:sz="4" w:space="0" w:color="0067AB" w:themeColor="accent1"/>
            </w:tcBorders>
          </w:tcPr>
          <w:p w14:paraId="64D6A58A" w14:textId="77777777" w:rsidR="0041009D" w:rsidRPr="00F919E1" w:rsidRDefault="0041009D" w:rsidP="0041009D">
            <w:pPr>
              <w:rPr>
                <w:rFonts w:asciiTheme="minorHAnsi" w:hAnsiTheme="minorHAnsi"/>
                <w:sz w:val="18"/>
                <w:szCs w:val="18"/>
              </w:rPr>
            </w:pPr>
          </w:p>
        </w:tc>
        <w:tc>
          <w:tcPr>
            <w:tcW w:w="2160" w:type="dxa"/>
            <w:tcBorders>
              <w:left w:val="single" w:sz="4" w:space="0" w:color="0067AB" w:themeColor="accent1"/>
              <w:right w:val="single" w:sz="4" w:space="0" w:color="0067AB" w:themeColor="accent1"/>
            </w:tcBorders>
            <w:vAlign w:val="center"/>
          </w:tcPr>
          <w:p w14:paraId="19997980" w14:textId="77777777" w:rsidR="0041009D" w:rsidRPr="00F919E1" w:rsidRDefault="0041009D" w:rsidP="004100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919E1">
              <w:rPr>
                <w:rFonts w:asciiTheme="minorHAnsi" w:hAnsiTheme="minorHAnsi"/>
                <w:sz w:val="18"/>
                <w:szCs w:val="18"/>
              </w:rPr>
              <w:t>Passive Tire Containment</w:t>
            </w:r>
          </w:p>
        </w:tc>
        <w:tc>
          <w:tcPr>
            <w:tcW w:w="1350" w:type="dxa"/>
            <w:tcBorders>
              <w:left w:val="single" w:sz="4" w:space="0" w:color="0067AB" w:themeColor="accent1"/>
              <w:right w:val="single" w:sz="4" w:space="0" w:color="0067AB" w:themeColor="accent1"/>
            </w:tcBorders>
            <w:vAlign w:val="center"/>
          </w:tcPr>
          <w:p w14:paraId="2FD6D93A" w14:textId="77777777" w:rsidR="0041009D" w:rsidRPr="00F919E1" w:rsidRDefault="0041009D" w:rsidP="00267D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N/A</w:t>
            </w:r>
          </w:p>
        </w:tc>
        <w:tc>
          <w:tcPr>
            <w:tcW w:w="1350" w:type="dxa"/>
            <w:tcBorders>
              <w:left w:val="single" w:sz="4" w:space="0" w:color="0067AB" w:themeColor="accent1"/>
              <w:right w:val="single" w:sz="4" w:space="0" w:color="0067AB" w:themeColor="accent1"/>
            </w:tcBorders>
            <w:vAlign w:val="center"/>
          </w:tcPr>
          <w:p w14:paraId="6058429C" w14:textId="77777777" w:rsidR="0041009D" w:rsidRPr="00F919E1" w:rsidRDefault="0041009D" w:rsidP="00267D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N/A</w:t>
            </w:r>
          </w:p>
        </w:tc>
        <w:tc>
          <w:tcPr>
            <w:tcW w:w="1350" w:type="dxa"/>
            <w:tcBorders>
              <w:left w:val="single" w:sz="4" w:space="0" w:color="0067AB" w:themeColor="accent1"/>
              <w:right w:val="single" w:sz="4" w:space="0" w:color="0067AB" w:themeColor="accent1"/>
            </w:tcBorders>
            <w:vAlign w:val="center"/>
          </w:tcPr>
          <w:p w14:paraId="350051E2" w14:textId="77777777" w:rsidR="0041009D" w:rsidRPr="00F919E1" w:rsidRDefault="0041009D" w:rsidP="00267D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N/A</w:t>
            </w:r>
          </w:p>
        </w:tc>
        <w:tc>
          <w:tcPr>
            <w:tcW w:w="1350" w:type="dxa"/>
            <w:tcBorders>
              <w:left w:val="single" w:sz="4" w:space="0" w:color="0067AB" w:themeColor="accent1"/>
              <w:right w:val="single" w:sz="4" w:space="0" w:color="0067AB" w:themeColor="accent1"/>
            </w:tcBorders>
            <w:vAlign w:val="center"/>
          </w:tcPr>
          <w:p w14:paraId="68522490" w14:textId="77777777" w:rsidR="0041009D" w:rsidRPr="00267D28" w:rsidRDefault="00267D28" w:rsidP="00267D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color w:val="000000"/>
                <w:sz w:val="18"/>
                <w:szCs w:val="18"/>
              </w:rPr>
              <w:t>$</w:t>
            </w:r>
            <w:r w:rsidR="0041009D" w:rsidRPr="00267D28">
              <w:rPr>
                <w:color w:val="000000"/>
                <w:sz w:val="18"/>
                <w:szCs w:val="18"/>
              </w:rPr>
              <w:t>600</w:t>
            </w:r>
          </w:p>
        </w:tc>
      </w:tr>
      <w:tr w:rsidR="0041009D" w:rsidRPr="00AF154D" w14:paraId="5E73CA06" w14:textId="77777777" w:rsidTr="00267D28">
        <w:trPr>
          <w:trHeight w:val="288"/>
          <w:jc w:val="center"/>
        </w:trPr>
        <w:tc>
          <w:tcPr>
            <w:cnfStyle w:val="001000000000" w:firstRow="0" w:lastRow="0" w:firstColumn="1" w:lastColumn="0" w:oddVBand="0" w:evenVBand="0" w:oddHBand="0" w:evenHBand="0" w:firstRowFirstColumn="0" w:firstRowLastColumn="0" w:lastRowFirstColumn="0" w:lastRowLastColumn="0"/>
            <w:tcW w:w="1720" w:type="dxa"/>
            <w:vMerge w:val="restart"/>
            <w:tcBorders>
              <w:right w:val="single" w:sz="4" w:space="0" w:color="0067AB" w:themeColor="accent1"/>
            </w:tcBorders>
            <w:vAlign w:val="center"/>
          </w:tcPr>
          <w:p w14:paraId="010869A6" w14:textId="77777777" w:rsidR="0041009D" w:rsidRPr="00B84396" w:rsidRDefault="0041009D" w:rsidP="0041009D">
            <w:pPr>
              <w:rPr>
                <w:rFonts w:asciiTheme="minorHAnsi" w:hAnsiTheme="minorHAnsi"/>
                <w:b w:val="0"/>
                <w:sz w:val="18"/>
                <w:szCs w:val="18"/>
              </w:rPr>
            </w:pPr>
            <w:r w:rsidRPr="00B84396">
              <w:rPr>
                <w:rFonts w:asciiTheme="minorHAnsi" w:hAnsiTheme="minorHAnsi"/>
                <w:b w:val="0"/>
                <w:sz w:val="18"/>
                <w:szCs w:val="18"/>
              </w:rPr>
              <w:t>Idle Reduction</w:t>
            </w:r>
          </w:p>
        </w:tc>
        <w:tc>
          <w:tcPr>
            <w:tcW w:w="2160" w:type="dxa"/>
            <w:tcBorders>
              <w:left w:val="single" w:sz="4" w:space="0" w:color="0067AB" w:themeColor="accent1"/>
              <w:right w:val="single" w:sz="4" w:space="0" w:color="0067AB" w:themeColor="accent1"/>
            </w:tcBorders>
            <w:vAlign w:val="center"/>
          </w:tcPr>
          <w:p w14:paraId="3AC9AB4B" w14:textId="77777777" w:rsidR="0041009D" w:rsidRPr="00F919E1" w:rsidRDefault="0041009D" w:rsidP="004100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Fuel Operated Heaters</w:t>
            </w:r>
          </w:p>
        </w:tc>
        <w:tc>
          <w:tcPr>
            <w:tcW w:w="1350" w:type="dxa"/>
            <w:tcBorders>
              <w:left w:val="single" w:sz="4" w:space="0" w:color="0067AB" w:themeColor="accent1"/>
              <w:right w:val="single" w:sz="4" w:space="0" w:color="0067AB" w:themeColor="accent1"/>
            </w:tcBorders>
            <w:vAlign w:val="center"/>
          </w:tcPr>
          <w:p w14:paraId="65BD399B" w14:textId="77777777" w:rsidR="0041009D" w:rsidRPr="00F919E1" w:rsidRDefault="0041009D" w:rsidP="00267D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31605">
              <w:rPr>
                <w:rFonts w:asciiTheme="minorHAnsi" w:hAnsiTheme="minorHAnsi"/>
                <w:sz w:val="18"/>
                <w:szCs w:val="18"/>
              </w:rPr>
              <w:t>N/A</w:t>
            </w:r>
          </w:p>
        </w:tc>
        <w:tc>
          <w:tcPr>
            <w:tcW w:w="1350" w:type="dxa"/>
            <w:tcBorders>
              <w:left w:val="single" w:sz="4" w:space="0" w:color="0067AB" w:themeColor="accent1"/>
              <w:right w:val="single" w:sz="4" w:space="0" w:color="0067AB" w:themeColor="accent1"/>
            </w:tcBorders>
            <w:vAlign w:val="center"/>
          </w:tcPr>
          <w:p w14:paraId="2757E10D" w14:textId="77777777" w:rsidR="0041009D" w:rsidRPr="00F919E1" w:rsidRDefault="0041009D" w:rsidP="00267D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31605">
              <w:rPr>
                <w:rFonts w:asciiTheme="minorHAnsi" w:hAnsiTheme="minorHAnsi"/>
                <w:sz w:val="18"/>
                <w:szCs w:val="18"/>
              </w:rPr>
              <w:t>N/A</w:t>
            </w:r>
          </w:p>
        </w:tc>
        <w:tc>
          <w:tcPr>
            <w:tcW w:w="1350" w:type="dxa"/>
            <w:tcBorders>
              <w:left w:val="single" w:sz="4" w:space="0" w:color="0067AB" w:themeColor="accent1"/>
              <w:right w:val="single" w:sz="4" w:space="0" w:color="0067AB" w:themeColor="accent1"/>
            </w:tcBorders>
            <w:vAlign w:val="center"/>
          </w:tcPr>
          <w:p w14:paraId="71617F38" w14:textId="77777777" w:rsidR="0041009D" w:rsidRPr="00F919E1" w:rsidRDefault="0041009D" w:rsidP="00267D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31605">
              <w:rPr>
                <w:rFonts w:asciiTheme="minorHAnsi" w:hAnsiTheme="minorHAnsi"/>
                <w:sz w:val="18"/>
                <w:szCs w:val="18"/>
              </w:rPr>
              <w:t>N/A</w:t>
            </w:r>
          </w:p>
        </w:tc>
        <w:tc>
          <w:tcPr>
            <w:tcW w:w="1350" w:type="dxa"/>
            <w:tcBorders>
              <w:left w:val="single" w:sz="4" w:space="0" w:color="0067AB" w:themeColor="accent1"/>
              <w:right w:val="single" w:sz="4" w:space="0" w:color="0067AB" w:themeColor="accent1"/>
            </w:tcBorders>
            <w:vAlign w:val="center"/>
          </w:tcPr>
          <w:p w14:paraId="445A7CD5" w14:textId="77777777" w:rsidR="0041009D" w:rsidRPr="00267D28" w:rsidRDefault="00267D28" w:rsidP="00267D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color w:val="000000"/>
                <w:sz w:val="18"/>
                <w:szCs w:val="18"/>
              </w:rPr>
              <w:t>$</w:t>
            </w:r>
            <w:r w:rsidR="0041009D" w:rsidRPr="00267D28">
              <w:rPr>
                <w:color w:val="000000"/>
                <w:sz w:val="18"/>
                <w:szCs w:val="18"/>
              </w:rPr>
              <w:t>1,000</w:t>
            </w:r>
          </w:p>
        </w:tc>
      </w:tr>
      <w:tr w:rsidR="0041009D" w:rsidRPr="00AF154D" w14:paraId="33663046" w14:textId="77777777" w:rsidTr="00267D2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20" w:type="dxa"/>
            <w:vMerge/>
            <w:tcBorders>
              <w:right w:val="single" w:sz="4" w:space="0" w:color="0067AB" w:themeColor="accent1"/>
            </w:tcBorders>
            <w:vAlign w:val="center"/>
          </w:tcPr>
          <w:p w14:paraId="1B1A2F6F" w14:textId="77777777" w:rsidR="0041009D" w:rsidRPr="00B84396" w:rsidRDefault="0041009D" w:rsidP="0041009D">
            <w:pPr>
              <w:rPr>
                <w:rFonts w:asciiTheme="minorHAnsi" w:hAnsiTheme="minorHAnsi"/>
                <w:b w:val="0"/>
                <w:sz w:val="18"/>
                <w:szCs w:val="18"/>
              </w:rPr>
            </w:pPr>
          </w:p>
        </w:tc>
        <w:tc>
          <w:tcPr>
            <w:tcW w:w="2160" w:type="dxa"/>
            <w:tcBorders>
              <w:left w:val="single" w:sz="4" w:space="0" w:color="0067AB" w:themeColor="accent1"/>
              <w:right w:val="single" w:sz="4" w:space="0" w:color="0067AB" w:themeColor="accent1"/>
            </w:tcBorders>
            <w:vAlign w:val="center"/>
          </w:tcPr>
          <w:p w14:paraId="569A7456" w14:textId="77777777" w:rsidR="0041009D" w:rsidRDefault="0041009D" w:rsidP="004100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Auxiliary Power Units</w:t>
            </w:r>
          </w:p>
        </w:tc>
        <w:tc>
          <w:tcPr>
            <w:tcW w:w="1350" w:type="dxa"/>
            <w:tcBorders>
              <w:left w:val="single" w:sz="4" w:space="0" w:color="0067AB" w:themeColor="accent1"/>
              <w:right w:val="single" w:sz="4" w:space="0" w:color="0067AB" w:themeColor="accent1"/>
            </w:tcBorders>
            <w:vAlign w:val="center"/>
          </w:tcPr>
          <w:p w14:paraId="7E6DFE3A" w14:textId="77777777" w:rsidR="0041009D" w:rsidRPr="00F919E1" w:rsidRDefault="0041009D" w:rsidP="00267D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31605">
              <w:rPr>
                <w:rFonts w:asciiTheme="minorHAnsi" w:hAnsiTheme="minorHAnsi"/>
                <w:sz w:val="18"/>
                <w:szCs w:val="18"/>
              </w:rPr>
              <w:t>N/A</w:t>
            </w:r>
          </w:p>
        </w:tc>
        <w:tc>
          <w:tcPr>
            <w:tcW w:w="1350" w:type="dxa"/>
            <w:tcBorders>
              <w:left w:val="single" w:sz="4" w:space="0" w:color="0067AB" w:themeColor="accent1"/>
              <w:right w:val="single" w:sz="4" w:space="0" w:color="0067AB" w:themeColor="accent1"/>
            </w:tcBorders>
            <w:vAlign w:val="center"/>
          </w:tcPr>
          <w:p w14:paraId="5CBEE1FE" w14:textId="77777777" w:rsidR="0041009D" w:rsidRPr="00F919E1" w:rsidRDefault="0041009D" w:rsidP="00267D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31605">
              <w:rPr>
                <w:rFonts w:asciiTheme="minorHAnsi" w:hAnsiTheme="minorHAnsi"/>
                <w:sz w:val="18"/>
                <w:szCs w:val="18"/>
              </w:rPr>
              <w:t>N/A</w:t>
            </w:r>
          </w:p>
        </w:tc>
        <w:tc>
          <w:tcPr>
            <w:tcW w:w="1350" w:type="dxa"/>
            <w:tcBorders>
              <w:left w:val="single" w:sz="4" w:space="0" w:color="0067AB" w:themeColor="accent1"/>
              <w:right w:val="single" w:sz="4" w:space="0" w:color="0067AB" w:themeColor="accent1"/>
            </w:tcBorders>
            <w:vAlign w:val="center"/>
          </w:tcPr>
          <w:p w14:paraId="21F0AEE8" w14:textId="77777777" w:rsidR="0041009D" w:rsidRPr="00F919E1" w:rsidRDefault="0041009D" w:rsidP="00267D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31605">
              <w:rPr>
                <w:rFonts w:asciiTheme="minorHAnsi" w:hAnsiTheme="minorHAnsi"/>
                <w:sz w:val="18"/>
                <w:szCs w:val="18"/>
              </w:rPr>
              <w:t>N/A</w:t>
            </w:r>
          </w:p>
        </w:tc>
        <w:tc>
          <w:tcPr>
            <w:tcW w:w="1350" w:type="dxa"/>
            <w:tcBorders>
              <w:left w:val="single" w:sz="4" w:space="0" w:color="0067AB" w:themeColor="accent1"/>
              <w:right w:val="single" w:sz="4" w:space="0" w:color="0067AB" w:themeColor="accent1"/>
            </w:tcBorders>
            <w:vAlign w:val="center"/>
          </w:tcPr>
          <w:p w14:paraId="2972C7C2" w14:textId="22575C01" w:rsidR="0041009D" w:rsidRPr="00267D28" w:rsidRDefault="00267D28" w:rsidP="006D707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color w:val="000000"/>
                <w:sz w:val="18"/>
                <w:szCs w:val="18"/>
              </w:rPr>
              <w:t>$</w:t>
            </w:r>
            <w:r w:rsidR="0041009D" w:rsidRPr="00267D28">
              <w:rPr>
                <w:color w:val="000000"/>
                <w:sz w:val="18"/>
                <w:szCs w:val="18"/>
              </w:rPr>
              <w:t>1</w:t>
            </w:r>
            <w:r w:rsidR="006D7078">
              <w:rPr>
                <w:color w:val="000000"/>
                <w:sz w:val="18"/>
                <w:szCs w:val="18"/>
              </w:rPr>
              <w:t>2</w:t>
            </w:r>
            <w:r w:rsidR="0041009D" w:rsidRPr="00267D28">
              <w:rPr>
                <w:color w:val="000000"/>
                <w:sz w:val="18"/>
                <w:szCs w:val="18"/>
              </w:rPr>
              <w:t>,000</w:t>
            </w:r>
          </w:p>
        </w:tc>
      </w:tr>
      <w:tr w:rsidR="0041009D" w:rsidRPr="00AF154D" w14:paraId="34C6EE85" w14:textId="77777777" w:rsidTr="00267D28">
        <w:trPr>
          <w:trHeight w:val="288"/>
          <w:jc w:val="center"/>
        </w:trPr>
        <w:tc>
          <w:tcPr>
            <w:cnfStyle w:val="001000000000" w:firstRow="0" w:lastRow="0" w:firstColumn="1" w:lastColumn="0" w:oddVBand="0" w:evenVBand="0" w:oddHBand="0" w:evenHBand="0" w:firstRowFirstColumn="0" w:firstRowLastColumn="0" w:lastRowFirstColumn="0" w:lastRowLastColumn="0"/>
            <w:tcW w:w="1720" w:type="dxa"/>
            <w:vMerge/>
            <w:tcBorders>
              <w:right w:val="single" w:sz="4" w:space="0" w:color="0067AB" w:themeColor="accent1"/>
            </w:tcBorders>
            <w:vAlign w:val="center"/>
          </w:tcPr>
          <w:p w14:paraId="7256BC40" w14:textId="77777777" w:rsidR="0041009D" w:rsidRPr="00B84396" w:rsidRDefault="0041009D" w:rsidP="0041009D">
            <w:pPr>
              <w:rPr>
                <w:rFonts w:asciiTheme="minorHAnsi" w:hAnsiTheme="minorHAnsi"/>
                <w:b w:val="0"/>
                <w:sz w:val="18"/>
                <w:szCs w:val="18"/>
              </w:rPr>
            </w:pPr>
          </w:p>
        </w:tc>
        <w:tc>
          <w:tcPr>
            <w:tcW w:w="2160" w:type="dxa"/>
            <w:tcBorders>
              <w:left w:val="single" w:sz="4" w:space="0" w:color="0067AB" w:themeColor="accent1"/>
              <w:right w:val="single" w:sz="4" w:space="0" w:color="0067AB" w:themeColor="accent1"/>
            </w:tcBorders>
            <w:vAlign w:val="center"/>
          </w:tcPr>
          <w:p w14:paraId="0480E6C1" w14:textId="77777777" w:rsidR="0041009D" w:rsidRDefault="0041009D" w:rsidP="004100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Auto Stop/Start</w:t>
            </w:r>
          </w:p>
        </w:tc>
        <w:tc>
          <w:tcPr>
            <w:tcW w:w="1350" w:type="dxa"/>
            <w:tcBorders>
              <w:left w:val="single" w:sz="4" w:space="0" w:color="0067AB" w:themeColor="accent1"/>
              <w:right w:val="single" w:sz="4" w:space="0" w:color="0067AB" w:themeColor="accent1"/>
            </w:tcBorders>
            <w:vAlign w:val="center"/>
          </w:tcPr>
          <w:p w14:paraId="60212532" w14:textId="77777777" w:rsidR="0041009D" w:rsidRPr="00F919E1" w:rsidRDefault="0041009D" w:rsidP="00267D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31605">
              <w:rPr>
                <w:rFonts w:asciiTheme="minorHAnsi" w:hAnsiTheme="minorHAnsi"/>
                <w:sz w:val="18"/>
                <w:szCs w:val="18"/>
              </w:rPr>
              <w:t>N/A</w:t>
            </w:r>
          </w:p>
        </w:tc>
        <w:tc>
          <w:tcPr>
            <w:tcW w:w="1350" w:type="dxa"/>
            <w:tcBorders>
              <w:left w:val="single" w:sz="4" w:space="0" w:color="0067AB" w:themeColor="accent1"/>
              <w:right w:val="single" w:sz="4" w:space="0" w:color="0067AB" w:themeColor="accent1"/>
            </w:tcBorders>
            <w:vAlign w:val="center"/>
          </w:tcPr>
          <w:p w14:paraId="729CDA02" w14:textId="77777777" w:rsidR="0041009D" w:rsidRPr="00F919E1" w:rsidRDefault="0041009D" w:rsidP="00267D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31605">
              <w:rPr>
                <w:rFonts w:asciiTheme="minorHAnsi" w:hAnsiTheme="minorHAnsi"/>
                <w:sz w:val="18"/>
                <w:szCs w:val="18"/>
              </w:rPr>
              <w:t>N/A</w:t>
            </w:r>
          </w:p>
        </w:tc>
        <w:tc>
          <w:tcPr>
            <w:tcW w:w="1350" w:type="dxa"/>
            <w:tcBorders>
              <w:left w:val="single" w:sz="4" w:space="0" w:color="0067AB" w:themeColor="accent1"/>
              <w:right w:val="single" w:sz="4" w:space="0" w:color="0067AB" w:themeColor="accent1"/>
            </w:tcBorders>
            <w:vAlign w:val="center"/>
          </w:tcPr>
          <w:p w14:paraId="06647FAF" w14:textId="77777777" w:rsidR="0041009D" w:rsidRPr="00F919E1" w:rsidRDefault="0041009D" w:rsidP="00267D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31605">
              <w:rPr>
                <w:rFonts w:asciiTheme="minorHAnsi" w:hAnsiTheme="minorHAnsi"/>
                <w:sz w:val="18"/>
                <w:szCs w:val="18"/>
              </w:rPr>
              <w:t>N/A</w:t>
            </w:r>
          </w:p>
        </w:tc>
        <w:tc>
          <w:tcPr>
            <w:tcW w:w="1350" w:type="dxa"/>
            <w:tcBorders>
              <w:left w:val="single" w:sz="4" w:space="0" w:color="0067AB" w:themeColor="accent1"/>
              <w:right w:val="single" w:sz="4" w:space="0" w:color="0067AB" w:themeColor="accent1"/>
            </w:tcBorders>
            <w:vAlign w:val="center"/>
          </w:tcPr>
          <w:p w14:paraId="588300EA" w14:textId="77777777" w:rsidR="0041009D" w:rsidRPr="00267D28" w:rsidRDefault="00267D28" w:rsidP="00267D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color w:val="000000"/>
                <w:sz w:val="18"/>
                <w:szCs w:val="18"/>
              </w:rPr>
              <w:t>$</w:t>
            </w:r>
            <w:r w:rsidR="0041009D" w:rsidRPr="00267D28">
              <w:rPr>
                <w:color w:val="000000"/>
                <w:sz w:val="18"/>
                <w:szCs w:val="18"/>
              </w:rPr>
              <w:t>2,000</w:t>
            </w:r>
          </w:p>
        </w:tc>
      </w:tr>
    </w:tbl>
    <w:p w14:paraId="4EB9322B" w14:textId="32DD453A" w:rsidR="00082BE8" w:rsidRDefault="005A1D4D" w:rsidP="00C12E67">
      <w:pPr>
        <w:pStyle w:val="BodyText"/>
        <w:spacing w:before="240"/>
      </w:pPr>
      <w:r>
        <w:t xml:space="preserve">Some </w:t>
      </w:r>
      <w:r w:rsidR="00267D28">
        <w:t>exhaust retrofits</w:t>
      </w:r>
      <w:r>
        <w:t xml:space="preserve"> require additional materials for proper operation.</w:t>
      </w:r>
      <w:r w:rsidRPr="00474BC8">
        <w:t xml:space="preserve"> </w:t>
      </w:r>
      <w:r w:rsidR="00267D28">
        <w:t xml:space="preserve">DPFs require yearly cleaning. </w:t>
      </w:r>
      <w:r>
        <w:t xml:space="preserve">In these cases, operations costs are included as part of the strategy calculations in the </w:t>
      </w:r>
      <w:r w:rsidR="00082BE8">
        <w:t>T</w:t>
      </w:r>
      <w:r>
        <w:t xml:space="preserve">ool. </w:t>
      </w:r>
      <w:r w:rsidR="00082BE8">
        <w:t xml:space="preserve">These are shown in </w:t>
      </w:r>
      <w:r w:rsidR="00833B69">
        <w:fldChar w:fldCharType="begin"/>
      </w:r>
      <w:r w:rsidR="00082BE8">
        <w:instrText xml:space="preserve"> REF _Ref459904659 \h </w:instrText>
      </w:r>
      <w:r w:rsidR="00833B69">
        <w:fldChar w:fldCharType="separate"/>
      </w:r>
      <w:r w:rsidR="00C42F38">
        <w:t xml:space="preserve">Table </w:t>
      </w:r>
      <w:r w:rsidR="00C42F38">
        <w:rPr>
          <w:noProof/>
        </w:rPr>
        <w:t>24</w:t>
      </w:r>
      <w:r w:rsidR="00833B69">
        <w:fldChar w:fldCharType="end"/>
      </w:r>
      <w:r w:rsidR="00082BE8">
        <w:t>.</w:t>
      </w:r>
    </w:p>
    <w:p w14:paraId="31C66AE5" w14:textId="77777777" w:rsidR="00082BE8" w:rsidRDefault="00082BE8" w:rsidP="00082BE8">
      <w:pPr>
        <w:pStyle w:val="TableCaption"/>
      </w:pPr>
      <w:bookmarkStart w:id="90" w:name="_Ref459904659"/>
      <w:bookmarkStart w:id="91" w:name="_Toc482973604"/>
      <w:r>
        <w:t xml:space="preserve">Table </w:t>
      </w:r>
      <w:r w:rsidR="00833B69">
        <w:fldChar w:fldCharType="begin"/>
      </w:r>
      <w:r>
        <w:instrText xml:space="preserve"> SEQ Table \* ARABIC </w:instrText>
      </w:r>
      <w:r w:rsidR="00833B69">
        <w:fldChar w:fldCharType="separate"/>
      </w:r>
      <w:r w:rsidR="00305706">
        <w:t>24</w:t>
      </w:r>
      <w:r w:rsidR="00833B69">
        <w:fldChar w:fldCharType="end"/>
      </w:r>
      <w:bookmarkEnd w:id="90"/>
      <w:r>
        <w:t>. Incremental Operation and Maintenance Costs for Exhaust Retrofits</w:t>
      </w:r>
      <w:bookmarkEnd w:id="91"/>
    </w:p>
    <w:tbl>
      <w:tblPr>
        <w:tblStyle w:val="ListTable3-Accent11"/>
        <w:tblW w:w="0" w:type="auto"/>
        <w:jc w:val="center"/>
        <w:tblLayout w:type="fixed"/>
        <w:tblLook w:val="04A0" w:firstRow="1" w:lastRow="0" w:firstColumn="1" w:lastColumn="0" w:noHBand="0" w:noVBand="1"/>
      </w:tblPr>
      <w:tblGrid>
        <w:gridCol w:w="2160"/>
        <w:gridCol w:w="1350"/>
        <w:gridCol w:w="1350"/>
        <w:gridCol w:w="1350"/>
        <w:gridCol w:w="1350"/>
      </w:tblGrid>
      <w:tr w:rsidR="00267D28" w14:paraId="0B848B12" w14:textId="77777777" w:rsidTr="008369D5">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100" w:firstRow="0" w:lastRow="0" w:firstColumn="1" w:lastColumn="0" w:oddVBand="0" w:evenVBand="0" w:oddHBand="0" w:evenHBand="0" w:firstRowFirstColumn="1" w:firstRowLastColumn="0" w:lastRowFirstColumn="0" w:lastRowLastColumn="0"/>
            <w:tcW w:w="2160" w:type="dxa"/>
            <w:tcBorders>
              <w:top w:val="single" w:sz="4" w:space="0" w:color="0067AB" w:themeColor="accent1"/>
              <w:left w:val="single" w:sz="4" w:space="0" w:color="FFFFFF" w:themeColor="background1"/>
              <w:bottom w:val="single" w:sz="4" w:space="0" w:color="0067AB" w:themeColor="accent1"/>
              <w:right w:val="single" w:sz="4" w:space="0" w:color="FFFFFF" w:themeColor="background1"/>
            </w:tcBorders>
            <w:vAlign w:val="bottom"/>
          </w:tcPr>
          <w:p w14:paraId="23FFB3C7" w14:textId="77777777" w:rsidR="00267D28" w:rsidRPr="00F919E1" w:rsidRDefault="00267D28" w:rsidP="008369D5">
            <w:pPr>
              <w:jc w:val="center"/>
              <w:rPr>
                <w:rFonts w:asciiTheme="minorHAnsi" w:hAnsiTheme="minorHAnsi"/>
                <w:sz w:val="18"/>
                <w:szCs w:val="18"/>
              </w:rPr>
            </w:pPr>
            <w:r>
              <w:rPr>
                <w:rFonts w:asciiTheme="minorHAnsi" w:hAnsiTheme="minorHAnsi"/>
                <w:sz w:val="18"/>
                <w:szCs w:val="18"/>
              </w:rPr>
              <w:t>Exhaust Retrofit</w:t>
            </w:r>
          </w:p>
        </w:tc>
        <w:tc>
          <w:tcPr>
            <w:tcW w:w="1350" w:type="dxa"/>
            <w:tcBorders>
              <w:top w:val="single" w:sz="4" w:space="0" w:color="0067AB" w:themeColor="accent1"/>
              <w:left w:val="single" w:sz="4" w:space="0" w:color="FFFFFF" w:themeColor="background1"/>
              <w:bottom w:val="single" w:sz="4" w:space="0" w:color="0067AB" w:themeColor="accent1"/>
              <w:right w:val="single" w:sz="4" w:space="0" w:color="FFFFFF" w:themeColor="background1"/>
            </w:tcBorders>
          </w:tcPr>
          <w:p w14:paraId="23A091F1" w14:textId="3715D079" w:rsidR="00267D28" w:rsidRPr="00F919E1" w:rsidRDefault="00267D28" w:rsidP="00F5231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sz w:val="18"/>
                <w:szCs w:val="18"/>
              </w:rPr>
              <w:t>Single</w:t>
            </w:r>
            <w:r w:rsidR="007B1EA8">
              <w:rPr>
                <w:sz w:val="18"/>
                <w:szCs w:val="18"/>
              </w:rPr>
              <w:t xml:space="preserve"> unit</w:t>
            </w:r>
            <w:r>
              <w:rPr>
                <w:sz w:val="18"/>
                <w:szCs w:val="18"/>
              </w:rPr>
              <w:t xml:space="preserve"> Short Haul</w:t>
            </w:r>
          </w:p>
        </w:tc>
        <w:tc>
          <w:tcPr>
            <w:tcW w:w="1350" w:type="dxa"/>
            <w:tcBorders>
              <w:top w:val="single" w:sz="4" w:space="0" w:color="0067AB" w:themeColor="accent1"/>
              <w:left w:val="single" w:sz="4" w:space="0" w:color="FFFFFF" w:themeColor="background1"/>
              <w:bottom w:val="single" w:sz="4" w:space="0" w:color="0067AB" w:themeColor="accent1"/>
              <w:right w:val="single" w:sz="4" w:space="0" w:color="FFFFFF" w:themeColor="background1"/>
            </w:tcBorders>
          </w:tcPr>
          <w:p w14:paraId="620B8A50" w14:textId="1900070D" w:rsidR="00267D28" w:rsidRDefault="00267D28" w:rsidP="00F5231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sz w:val="18"/>
                <w:szCs w:val="18"/>
              </w:rPr>
              <w:t>Single</w:t>
            </w:r>
            <w:r w:rsidR="007B1EA8">
              <w:rPr>
                <w:sz w:val="18"/>
                <w:szCs w:val="18"/>
              </w:rPr>
              <w:t xml:space="preserve"> unit</w:t>
            </w:r>
            <w:r>
              <w:rPr>
                <w:sz w:val="18"/>
                <w:szCs w:val="18"/>
              </w:rPr>
              <w:t xml:space="preserve"> Long Haul</w:t>
            </w:r>
          </w:p>
        </w:tc>
        <w:tc>
          <w:tcPr>
            <w:tcW w:w="1350" w:type="dxa"/>
            <w:tcBorders>
              <w:top w:val="single" w:sz="4" w:space="0" w:color="0067AB" w:themeColor="accent1"/>
              <w:left w:val="single" w:sz="4" w:space="0" w:color="FFFFFF" w:themeColor="background1"/>
              <w:bottom w:val="single" w:sz="4" w:space="0" w:color="0067AB" w:themeColor="accent1"/>
              <w:right w:val="single" w:sz="4" w:space="0" w:color="FFFFFF" w:themeColor="background1"/>
            </w:tcBorders>
          </w:tcPr>
          <w:p w14:paraId="6FC60F01" w14:textId="311B45A8" w:rsidR="00267D28" w:rsidRDefault="00267D28" w:rsidP="008369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sz w:val="18"/>
                <w:szCs w:val="18"/>
              </w:rPr>
              <w:t>Combination</w:t>
            </w:r>
            <w:r w:rsidR="007B1EA8">
              <w:rPr>
                <w:sz w:val="18"/>
                <w:szCs w:val="18"/>
              </w:rPr>
              <w:t xml:space="preserve"> unit</w:t>
            </w:r>
            <w:r>
              <w:rPr>
                <w:sz w:val="18"/>
                <w:szCs w:val="18"/>
              </w:rPr>
              <w:t xml:space="preserve"> Short Haul</w:t>
            </w:r>
          </w:p>
        </w:tc>
        <w:tc>
          <w:tcPr>
            <w:tcW w:w="1350" w:type="dxa"/>
            <w:tcBorders>
              <w:top w:val="single" w:sz="4" w:space="0" w:color="0067AB" w:themeColor="accent1"/>
              <w:left w:val="single" w:sz="4" w:space="0" w:color="FFFFFF" w:themeColor="background1"/>
              <w:bottom w:val="single" w:sz="4" w:space="0" w:color="0067AB" w:themeColor="accent1"/>
              <w:right w:val="single" w:sz="4" w:space="0" w:color="FFFFFF" w:themeColor="background1"/>
            </w:tcBorders>
          </w:tcPr>
          <w:p w14:paraId="1C3A8171" w14:textId="7E4BFFE4" w:rsidR="00267D28" w:rsidRDefault="00267D28" w:rsidP="008369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sz w:val="18"/>
                <w:szCs w:val="18"/>
              </w:rPr>
              <w:t>Combination</w:t>
            </w:r>
            <w:r w:rsidR="007B1EA8">
              <w:rPr>
                <w:sz w:val="18"/>
                <w:szCs w:val="18"/>
              </w:rPr>
              <w:t xml:space="preserve"> unit</w:t>
            </w:r>
            <w:r>
              <w:rPr>
                <w:sz w:val="18"/>
                <w:szCs w:val="18"/>
              </w:rPr>
              <w:t xml:space="preserve"> Long Haul</w:t>
            </w:r>
          </w:p>
        </w:tc>
      </w:tr>
      <w:tr w:rsidR="00267D28" w:rsidRPr="00267D28" w14:paraId="5651D429" w14:textId="77777777" w:rsidTr="008369D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0" w:type="dxa"/>
            <w:tcBorders>
              <w:left w:val="single" w:sz="4" w:space="0" w:color="0067AB" w:themeColor="accent1"/>
              <w:right w:val="single" w:sz="4" w:space="0" w:color="0067AB" w:themeColor="accent1"/>
            </w:tcBorders>
            <w:vAlign w:val="center"/>
          </w:tcPr>
          <w:p w14:paraId="76D7DBCC" w14:textId="77777777" w:rsidR="00267D28" w:rsidRPr="00F919E1" w:rsidRDefault="00267D28" w:rsidP="008369D5">
            <w:pPr>
              <w:rPr>
                <w:rFonts w:asciiTheme="minorHAnsi" w:hAnsiTheme="minorHAnsi"/>
                <w:sz w:val="18"/>
                <w:szCs w:val="18"/>
              </w:rPr>
            </w:pPr>
            <w:r w:rsidRPr="00F919E1">
              <w:rPr>
                <w:rFonts w:asciiTheme="minorHAnsi" w:hAnsiTheme="minorHAnsi"/>
                <w:sz w:val="18"/>
                <w:szCs w:val="18"/>
              </w:rPr>
              <w:t>DPF</w:t>
            </w:r>
          </w:p>
        </w:tc>
        <w:tc>
          <w:tcPr>
            <w:tcW w:w="1350" w:type="dxa"/>
            <w:tcBorders>
              <w:left w:val="single" w:sz="4" w:space="0" w:color="0067AB" w:themeColor="accent1"/>
              <w:right w:val="single" w:sz="4" w:space="0" w:color="0067AB" w:themeColor="accent1"/>
            </w:tcBorders>
            <w:vAlign w:val="center"/>
          </w:tcPr>
          <w:p w14:paraId="52180C08" w14:textId="77777777" w:rsidR="00267D28" w:rsidRPr="00F919E1" w:rsidRDefault="00267D28" w:rsidP="00267D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$300</w:t>
            </w:r>
          </w:p>
        </w:tc>
        <w:tc>
          <w:tcPr>
            <w:tcW w:w="1350" w:type="dxa"/>
            <w:tcBorders>
              <w:left w:val="single" w:sz="4" w:space="0" w:color="0067AB" w:themeColor="accent1"/>
              <w:right w:val="single" w:sz="4" w:space="0" w:color="0067AB" w:themeColor="accent1"/>
            </w:tcBorders>
            <w:vAlign w:val="center"/>
          </w:tcPr>
          <w:p w14:paraId="7F927089" w14:textId="77777777" w:rsidR="00267D28" w:rsidRPr="00F919E1" w:rsidRDefault="00267D28" w:rsidP="00267D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$300</w:t>
            </w:r>
          </w:p>
        </w:tc>
        <w:tc>
          <w:tcPr>
            <w:tcW w:w="1350" w:type="dxa"/>
            <w:tcBorders>
              <w:left w:val="single" w:sz="4" w:space="0" w:color="0067AB" w:themeColor="accent1"/>
              <w:right w:val="single" w:sz="4" w:space="0" w:color="0067AB" w:themeColor="accent1"/>
            </w:tcBorders>
            <w:vAlign w:val="center"/>
          </w:tcPr>
          <w:p w14:paraId="2FF42B9C" w14:textId="77777777" w:rsidR="00267D28" w:rsidRPr="00F919E1" w:rsidRDefault="00267D28" w:rsidP="00267D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$600</w:t>
            </w:r>
          </w:p>
        </w:tc>
        <w:tc>
          <w:tcPr>
            <w:tcW w:w="1350" w:type="dxa"/>
            <w:tcBorders>
              <w:left w:val="single" w:sz="4" w:space="0" w:color="0067AB" w:themeColor="accent1"/>
              <w:right w:val="single" w:sz="4" w:space="0" w:color="0067AB" w:themeColor="accent1"/>
            </w:tcBorders>
            <w:vAlign w:val="center"/>
          </w:tcPr>
          <w:p w14:paraId="4539D29E" w14:textId="77777777" w:rsidR="00267D28" w:rsidRPr="00267D28" w:rsidRDefault="00267D28" w:rsidP="00267D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color w:val="000000"/>
                <w:sz w:val="18"/>
                <w:szCs w:val="18"/>
              </w:rPr>
              <w:t>$60</w:t>
            </w:r>
            <w:r w:rsidRPr="00267D28">
              <w:rPr>
                <w:color w:val="000000"/>
                <w:sz w:val="18"/>
                <w:szCs w:val="18"/>
              </w:rPr>
              <w:t>0</w:t>
            </w:r>
          </w:p>
        </w:tc>
      </w:tr>
    </w:tbl>
    <w:p w14:paraId="011B826A" w14:textId="44A4C111" w:rsidR="00082BE8" w:rsidRDefault="007A1876" w:rsidP="00901C9F">
      <w:pPr>
        <w:pStyle w:val="BodyText"/>
        <w:spacing w:before="240"/>
      </w:pPr>
      <w:r>
        <w:t>For truck replacement strategies, t</w:t>
      </w:r>
      <w:r w:rsidR="00082BE8">
        <w:t>he T</w:t>
      </w:r>
      <w:r w:rsidR="00B84396">
        <w:t>ool allow</w:t>
      </w:r>
      <w:r w:rsidR="00635343">
        <w:t xml:space="preserve">s the user to select a range of model years of trucks to be replaced. To develop the net vehicle replacement costs, average truck costs were collected for trucks by model year, 1992 through 2016. Average vehicle purchase costs were collected from </w:t>
      </w:r>
      <w:r w:rsidR="000F318E">
        <w:t xml:space="preserve">a </w:t>
      </w:r>
      <w:r w:rsidR="00635343">
        <w:t>new and used truck sales website.</w:t>
      </w:r>
      <w:r w:rsidR="00082BE8">
        <w:rPr>
          <w:rStyle w:val="FootnoteReference"/>
        </w:rPr>
        <w:footnoteReference w:id="8"/>
      </w:r>
      <w:r w:rsidR="00635343">
        <w:t xml:space="preserve"> </w:t>
      </w:r>
      <w:r w:rsidR="00082BE8">
        <w:t xml:space="preserve">The truck types included in the Tool were searched for on the website by model year using the criteria in </w:t>
      </w:r>
      <w:r w:rsidR="00833B69">
        <w:fldChar w:fldCharType="begin"/>
      </w:r>
      <w:r w:rsidR="00082BE8">
        <w:instrText xml:space="preserve"> REF _Ref459905763 \h </w:instrText>
      </w:r>
      <w:r w:rsidR="00833B69">
        <w:fldChar w:fldCharType="separate"/>
      </w:r>
      <w:r w:rsidR="00C42F38">
        <w:t xml:space="preserve">Table </w:t>
      </w:r>
      <w:r w:rsidR="00C42F38">
        <w:rPr>
          <w:noProof/>
        </w:rPr>
        <w:t>25</w:t>
      </w:r>
      <w:r w:rsidR="00833B69">
        <w:fldChar w:fldCharType="end"/>
      </w:r>
      <w:r w:rsidR="00082BE8">
        <w:t>.</w:t>
      </w:r>
    </w:p>
    <w:p w14:paraId="1766D5E8" w14:textId="77777777" w:rsidR="00082BE8" w:rsidRDefault="00082BE8" w:rsidP="00082BE8">
      <w:pPr>
        <w:pStyle w:val="TableCaption"/>
      </w:pPr>
      <w:bookmarkStart w:id="92" w:name="_Ref459905763"/>
      <w:bookmarkStart w:id="93" w:name="_Toc482973605"/>
      <w:r>
        <w:lastRenderedPageBreak/>
        <w:t xml:space="preserve">Table </w:t>
      </w:r>
      <w:r w:rsidR="00833B69">
        <w:fldChar w:fldCharType="begin"/>
      </w:r>
      <w:r>
        <w:instrText xml:space="preserve"> SEQ Table \* ARABIC </w:instrText>
      </w:r>
      <w:r w:rsidR="00833B69">
        <w:fldChar w:fldCharType="separate"/>
      </w:r>
      <w:r w:rsidR="00305706">
        <w:t>25</w:t>
      </w:r>
      <w:r w:rsidR="00833B69">
        <w:fldChar w:fldCharType="end"/>
      </w:r>
      <w:bookmarkEnd w:id="92"/>
      <w:r>
        <w:t>. Search Criteria for Truck-purchase Costs</w:t>
      </w:r>
      <w:bookmarkEnd w:id="93"/>
    </w:p>
    <w:tbl>
      <w:tblPr>
        <w:tblStyle w:val="ListTable3-Accent11"/>
        <w:tblW w:w="0" w:type="auto"/>
        <w:jc w:val="center"/>
        <w:tblLayout w:type="fixed"/>
        <w:tblLook w:val="04A0" w:firstRow="1" w:lastRow="0" w:firstColumn="1" w:lastColumn="0" w:noHBand="0" w:noVBand="1"/>
      </w:tblPr>
      <w:tblGrid>
        <w:gridCol w:w="2875"/>
        <w:gridCol w:w="2790"/>
        <w:gridCol w:w="1800"/>
        <w:gridCol w:w="1885"/>
      </w:tblGrid>
      <w:tr w:rsidR="000126A5" w:rsidRPr="00F919E1" w14:paraId="60A627A6" w14:textId="77777777" w:rsidTr="000126A5">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100" w:firstRow="0" w:lastRow="0" w:firstColumn="1" w:lastColumn="0" w:oddVBand="0" w:evenVBand="0" w:oddHBand="0" w:evenHBand="0" w:firstRowFirstColumn="1" w:firstRowLastColumn="0" w:lastRowFirstColumn="0" w:lastRowLastColumn="0"/>
            <w:tcW w:w="2875" w:type="dxa"/>
            <w:tcBorders>
              <w:top w:val="single" w:sz="4" w:space="0" w:color="0067AB" w:themeColor="accent1"/>
              <w:left w:val="single" w:sz="4" w:space="0" w:color="FFFFFF" w:themeColor="background1"/>
              <w:bottom w:val="single" w:sz="4" w:space="0" w:color="0067AB" w:themeColor="accent1"/>
              <w:right w:val="single" w:sz="4" w:space="0" w:color="FFFFFF" w:themeColor="background1"/>
            </w:tcBorders>
            <w:vAlign w:val="bottom"/>
          </w:tcPr>
          <w:p w14:paraId="5F28DE00" w14:textId="77777777" w:rsidR="000126A5" w:rsidRDefault="000126A5" w:rsidP="001359AB">
            <w:pPr>
              <w:jc w:val="center"/>
              <w:rPr>
                <w:rFonts w:asciiTheme="minorHAnsi" w:hAnsiTheme="minorHAnsi"/>
                <w:sz w:val="18"/>
                <w:szCs w:val="18"/>
              </w:rPr>
            </w:pPr>
          </w:p>
        </w:tc>
        <w:tc>
          <w:tcPr>
            <w:tcW w:w="6475" w:type="dxa"/>
            <w:gridSpan w:val="3"/>
            <w:tcBorders>
              <w:top w:val="single" w:sz="4" w:space="0" w:color="0067AB" w:themeColor="accent1"/>
              <w:left w:val="single" w:sz="4" w:space="0" w:color="FFFFFF" w:themeColor="background1"/>
              <w:bottom w:val="single" w:sz="4" w:space="0" w:color="FFFFFF" w:themeColor="background1"/>
            </w:tcBorders>
            <w:vAlign w:val="center"/>
          </w:tcPr>
          <w:p w14:paraId="3DD99E99" w14:textId="77777777" w:rsidR="000126A5" w:rsidRPr="00082BE8" w:rsidRDefault="00082BE8" w:rsidP="000126A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082BE8">
              <w:rPr>
                <w:sz w:val="18"/>
                <w:szCs w:val="18"/>
              </w:rPr>
              <w:t>Website</w:t>
            </w:r>
            <w:r w:rsidRPr="00082BE8">
              <w:rPr>
                <w:rStyle w:val="TableFootnoteReferenceChar"/>
                <w:rFonts w:eastAsia="Times New Roman"/>
                <w:sz w:val="18"/>
                <w:szCs w:val="18"/>
              </w:rPr>
              <w:t>a</w:t>
            </w:r>
            <w:r w:rsidRPr="00082BE8">
              <w:rPr>
                <w:sz w:val="18"/>
                <w:szCs w:val="18"/>
              </w:rPr>
              <w:t xml:space="preserve"> Selection Criteria</w:t>
            </w:r>
          </w:p>
        </w:tc>
      </w:tr>
      <w:tr w:rsidR="000126A5" w:rsidRPr="00F919E1" w14:paraId="65353231" w14:textId="77777777" w:rsidTr="00082BE8">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100" w:firstRow="0" w:lastRow="0" w:firstColumn="1" w:lastColumn="0" w:oddVBand="0" w:evenVBand="0" w:oddHBand="0" w:evenHBand="0" w:firstRowFirstColumn="1" w:firstRowLastColumn="0" w:lastRowFirstColumn="0" w:lastRowLastColumn="0"/>
            <w:tcW w:w="2875" w:type="dxa"/>
            <w:tcBorders>
              <w:top w:val="single" w:sz="4" w:space="0" w:color="0067AB" w:themeColor="accent1"/>
              <w:left w:val="single" w:sz="4" w:space="0" w:color="FFFFFF" w:themeColor="background1"/>
              <w:bottom w:val="single" w:sz="4" w:space="0" w:color="0067AB" w:themeColor="accent1"/>
              <w:right w:val="single" w:sz="4" w:space="0" w:color="FFFFFF" w:themeColor="background1"/>
            </w:tcBorders>
            <w:vAlign w:val="center"/>
          </w:tcPr>
          <w:p w14:paraId="614C03DD" w14:textId="77777777" w:rsidR="000126A5" w:rsidRPr="00F919E1" w:rsidRDefault="000126A5" w:rsidP="000126A5">
            <w:pPr>
              <w:jc w:val="center"/>
              <w:rPr>
                <w:rFonts w:asciiTheme="minorHAnsi" w:hAnsiTheme="minorHAnsi"/>
                <w:sz w:val="18"/>
                <w:szCs w:val="18"/>
              </w:rPr>
            </w:pPr>
            <w:r>
              <w:rPr>
                <w:rFonts w:asciiTheme="minorHAnsi" w:hAnsiTheme="minorHAnsi"/>
                <w:sz w:val="18"/>
                <w:szCs w:val="18"/>
              </w:rPr>
              <w:t>Tool Truck Type</w:t>
            </w:r>
          </w:p>
        </w:tc>
        <w:tc>
          <w:tcPr>
            <w:tcW w:w="2790" w:type="dxa"/>
            <w:tcBorders>
              <w:top w:val="single" w:sz="4" w:space="0" w:color="FFFFFF" w:themeColor="background1"/>
              <w:left w:val="single" w:sz="4" w:space="0" w:color="FFFFFF" w:themeColor="background1"/>
              <w:bottom w:val="single" w:sz="4" w:space="0" w:color="0067AB" w:themeColor="accent1"/>
              <w:right w:val="single" w:sz="4" w:space="0" w:color="FFFFFF" w:themeColor="background1"/>
            </w:tcBorders>
            <w:vAlign w:val="center"/>
          </w:tcPr>
          <w:p w14:paraId="3C3D1917" w14:textId="77777777" w:rsidR="000126A5" w:rsidRPr="00F919E1" w:rsidRDefault="000126A5" w:rsidP="000126A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Truck Category</w:t>
            </w:r>
          </w:p>
        </w:tc>
        <w:tc>
          <w:tcPr>
            <w:tcW w:w="1800" w:type="dxa"/>
            <w:tcBorders>
              <w:top w:val="single" w:sz="4" w:space="0" w:color="FFFFFF" w:themeColor="background1"/>
              <w:left w:val="single" w:sz="4" w:space="0" w:color="FFFFFF" w:themeColor="background1"/>
              <w:bottom w:val="single" w:sz="4" w:space="0" w:color="0067AB" w:themeColor="accent1"/>
              <w:right w:val="single" w:sz="4" w:space="0" w:color="FFFFFF" w:themeColor="background1"/>
            </w:tcBorders>
            <w:vAlign w:val="center"/>
          </w:tcPr>
          <w:p w14:paraId="0EF85F1A" w14:textId="77777777" w:rsidR="000126A5" w:rsidRDefault="000126A5" w:rsidP="000126A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Fuel Type</w:t>
            </w:r>
          </w:p>
        </w:tc>
        <w:tc>
          <w:tcPr>
            <w:tcW w:w="1885" w:type="dxa"/>
            <w:tcBorders>
              <w:top w:val="single" w:sz="4" w:space="0" w:color="FFFFFF" w:themeColor="background1"/>
              <w:left w:val="single" w:sz="4" w:space="0" w:color="FFFFFF" w:themeColor="background1"/>
              <w:bottom w:val="single" w:sz="4" w:space="0" w:color="0067AB" w:themeColor="accent1"/>
            </w:tcBorders>
            <w:vAlign w:val="center"/>
          </w:tcPr>
          <w:p w14:paraId="69651074" w14:textId="77777777" w:rsidR="000126A5" w:rsidRPr="00F919E1" w:rsidRDefault="000126A5" w:rsidP="000126A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Drivetrain</w:t>
            </w:r>
          </w:p>
        </w:tc>
      </w:tr>
      <w:tr w:rsidR="000126A5" w:rsidRPr="00F919E1" w14:paraId="1F9D6A7B" w14:textId="77777777" w:rsidTr="00082BE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75" w:type="dxa"/>
            <w:tcBorders>
              <w:left w:val="single" w:sz="4" w:space="0" w:color="0067AB" w:themeColor="accent1"/>
              <w:right w:val="single" w:sz="4" w:space="0" w:color="0067AB" w:themeColor="accent1"/>
            </w:tcBorders>
            <w:vAlign w:val="center"/>
          </w:tcPr>
          <w:p w14:paraId="44D36BE6" w14:textId="41BE69D0" w:rsidR="000126A5" w:rsidRPr="000126A5" w:rsidRDefault="000126A5" w:rsidP="00082BE8">
            <w:pPr>
              <w:rPr>
                <w:rFonts w:asciiTheme="minorHAnsi" w:hAnsiTheme="minorHAnsi"/>
                <w:b w:val="0"/>
                <w:sz w:val="18"/>
                <w:szCs w:val="18"/>
              </w:rPr>
            </w:pPr>
            <w:r>
              <w:rPr>
                <w:rFonts w:asciiTheme="minorHAnsi" w:hAnsiTheme="minorHAnsi"/>
                <w:b w:val="0"/>
                <w:sz w:val="18"/>
                <w:szCs w:val="18"/>
              </w:rPr>
              <w:t>Single</w:t>
            </w:r>
            <w:r w:rsidR="007B1EA8">
              <w:rPr>
                <w:rFonts w:asciiTheme="minorHAnsi" w:hAnsiTheme="minorHAnsi"/>
                <w:b w:val="0"/>
                <w:sz w:val="18"/>
                <w:szCs w:val="18"/>
              </w:rPr>
              <w:t xml:space="preserve"> unit</w:t>
            </w:r>
            <w:r>
              <w:rPr>
                <w:rFonts w:asciiTheme="minorHAnsi" w:hAnsiTheme="minorHAnsi"/>
                <w:b w:val="0"/>
                <w:sz w:val="18"/>
                <w:szCs w:val="18"/>
              </w:rPr>
              <w:t xml:space="preserve"> Short Haul, gasoline</w:t>
            </w:r>
          </w:p>
        </w:tc>
        <w:tc>
          <w:tcPr>
            <w:tcW w:w="2790" w:type="dxa"/>
            <w:tcBorders>
              <w:left w:val="single" w:sz="4" w:space="0" w:color="0067AB" w:themeColor="accent1"/>
              <w:right w:val="single" w:sz="4" w:space="0" w:color="0067AB" w:themeColor="accent1"/>
            </w:tcBorders>
            <w:vAlign w:val="center"/>
          </w:tcPr>
          <w:p w14:paraId="7DDF382F" w14:textId="77777777" w:rsidR="000126A5" w:rsidRPr="00F919E1" w:rsidRDefault="000126A5" w:rsidP="000126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Stepvan</w:t>
            </w:r>
          </w:p>
        </w:tc>
        <w:tc>
          <w:tcPr>
            <w:tcW w:w="1800" w:type="dxa"/>
            <w:tcBorders>
              <w:left w:val="single" w:sz="4" w:space="0" w:color="0067AB" w:themeColor="accent1"/>
              <w:right w:val="single" w:sz="4" w:space="0" w:color="0067AB" w:themeColor="accent1"/>
            </w:tcBorders>
            <w:vAlign w:val="center"/>
          </w:tcPr>
          <w:p w14:paraId="777B56E9" w14:textId="77777777" w:rsidR="000126A5" w:rsidRPr="00F919E1" w:rsidRDefault="000126A5" w:rsidP="000126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Gasoline</w:t>
            </w:r>
          </w:p>
        </w:tc>
        <w:tc>
          <w:tcPr>
            <w:tcW w:w="1885" w:type="dxa"/>
            <w:tcBorders>
              <w:left w:val="single" w:sz="4" w:space="0" w:color="0067AB" w:themeColor="accent1"/>
              <w:right w:val="single" w:sz="4" w:space="0" w:color="0067AB" w:themeColor="accent1"/>
            </w:tcBorders>
            <w:vAlign w:val="center"/>
          </w:tcPr>
          <w:p w14:paraId="51C221F4" w14:textId="77777777" w:rsidR="000126A5" w:rsidRPr="00F919E1" w:rsidRDefault="000126A5" w:rsidP="000126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Any</w:t>
            </w:r>
          </w:p>
        </w:tc>
      </w:tr>
      <w:tr w:rsidR="000126A5" w:rsidRPr="00F919E1" w14:paraId="08EDF407" w14:textId="77777777" w:rsidTr="00082BE8">
        <w:trPr>
          <w:trHeight w:val="288"/>
          <w:jc w:val="center"/>
        </w:trPr>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750AA62E" w14:textId="0AB2908B" w:rsidR="000126A5" w:rsidRPr="000126A5" w:rsidRDefault="000126A5" w:rsidP="00082BE8">
            <w:pPr>
              <w:rPr>
                <w:rFonts w:asciiTheme="minorHAnsi" w:hAnsiTheme="minorHAnsi"/>
                <w:b w:val="0"/>
                <w:sz w:val="18"/>
                <w:szCs w:val="18"/>
              </w:rPr>
            </w:pPr>
            <w:r>
              <w:rPr>
                <w:rFonts w:asciiTheme="minorHAnsi" w:hAnsiTheme="minorHAnsi"/>
                <w:b w:val="0"/>
                <w:sz w:val="18"/>
                <w:szCs w:val="18"/>
              </w:rPr>
              <w:t>Single</w:t>
            </w:r>
            <w:r w:rsidR="007B1EA8">
              <w:rPr>
                <w:rFonts w:asciiTheme="minorHAnsi" w:hAnsiTheme="minorHAnsi"/>
                <w:b w:val="0"/>
                <w:sz w:val="18"/>
                <w:szCs w:val="18"/>
              </w:rPr>
              <w:t xml:space="preserve"> unit</w:t>
            </w:r>
            <w:r>
              <w:rPr>
                <w:rFonts w:asciiTheme="minorHAnsi" w:hAnsiTheme="minorHAnsi"/>
                <w:b w:val="0"/>
                <w:sz w:val="18"/>
                <w:szCs w:val="18"/>
              </w:rPr>
              <w:t xml:space="preserve"> Short Haul, diesel</w:t>
            </w:r>
          </w:p>
        </w:tc>
        <w:tc>
          <w:tcPr>
            <w:tcW w:w="279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34962713" w14:textId="77777777" w:rsidR="000126A5" w:rsidRPr="00F919E1" w:rsidRDefault="000126A5" w:rsidP="000126A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Stepvan</w:t>
            </w:r>
          </w:p>
        </w:tc>
        <w:tc>
          <w:tcPr>
            <w:tcW w:w="180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7F65E12F" w14:textId="77777777" w:rsidR="000126A5" w:rsidRPr="00F919E1" w:rsidRDefault="000126A5" w:rsidP="000126A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Diesel</w:t>
            </w:r>
          </w:p>
        </w:tc>
        <w:tc>
          <w:tcPr>
            <w:tcW w:w="1885"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027CCDC0" w14:textId="77777777" w:rsidR="000126A5" w:rsidRPr="00F919E1" w:rsidRDefault="000126A5" w:rsidP="000126A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Any</w:t>
            </w:r>
          </w:p>
        </w:tc>
      </w:tr>
      <w:tr w:rsidR="000126A5" w:rsidRPr="00F919E1" w14:paraId="386C13FB" w14:textId="77777777" w:rsidTr="00082BE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75" w:type="dxa"/>
            <w:tcBorders>
              <w:left w:val="single" w:sz="4" w:space="0" w:color="0067AB" w:themeColor="accent1"/>
              <w:right w:val="single" w:sz="4" w:space="0" w:color="0067AB" w:themeColor="accent1"/>
            </w:tcBorders>
            <w:vAlign w:val="center"/>
          </w:tcPr>
          <w:p w14:paraId="2BB769A4" w14:textId="1BD8F287" w:rsidR="000126A5" w:rsidRPr="000126A5" w:rsidRDefault="000126A5" w:rsidP="00082BE8">
            <w:pPr>
              <w:rPr>
                <w:rFonts w:asciiTheme="minorHAnsi" w:hAnsiTheme="minorHAnsi"/>
                <w:b w:val="0"/>
                <w:bCs w:val="0"/>
                <w:sz w:val="18"/>
                <w:szCs w:val="18"/>
              </w:rPr>
            </w:pPr>
            <w:r>
              <w:rPr>
                <w:rFonts w:asciiTheme="minorHAnsi" w:hAnsiTheme="minorHAnsi"/>
                <w:b w:val="0"/>
                <w:bCs w:val="0"/>
                <w:sz w:val="18"/>
                <w:szCs w:val="18"/>
              </w:rPr>
              <w:t>Single</w:t>
            </w:r>
            <w:r w:rsidR="007B1EA8">
              <w:rPr>
                <w:rFonts w:asciiTheme="minorHAnsi" w:hAnsiTheme="minorHAnsi"/>
                <w:b w:val="0"/>
                <w:bCs w:val="0"/>
                <w:sz w:val="18"/>
                <w:szCs w:val="18"/>
              </w:rPr>
              <w:t xml:space="preserve"> unit</w:t>
            </w:r>
            <w:r>
              <w:rPr>
                <w:rFonts w:asciiTheme="minorHAnsi" w:hAnsiTheme="minorHAnsi"/>
                <w:b w:val="0"/>
                <w:bCs w:val="0"/>
                <w:sz w:val="18"/>
                <w:szCs w:val="18"/>
              </w:rPr>
              <w:t xml:space="preserve"> Long Haul</w:t>
            </w:r>
          </w:p>
        </w:tc>
        <w:tc>
          <w:tcPr>
            <w:tcW w:w="2790" w:type="dxa"/>
            <w:tcBorders>
              <w:left w:val="single" w:sz="4" w:space="0" w:color="0067AB" w:themeColor="accent1"/>
              <w:right w:val="single" w:sz="4" w:space="0" w:color="0067AB" w:themeColor="accent1"/>
            </w:tcBorders>
            <w:vAlign w:val="center"/>
          </w:tcPr>
          <w:p w14:paraId="365C92C9" w14:textId="77777777" w:rsidR="000126A5" w:rsidRPr="00F919E1" w:rsidRDefault="000126A5" w:rsidP="000126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sz w:val="18"/>
                <w:szCs w:val="18"/>
              </w:rPr>
            </w:pPr>
            <w:r>
              <w:rPr>
                <w:rFonts w:asciiTheme="minorHAnsi" w:hAnsiTheme="minorHAnsi"/>
                <w:bCs/>
                <w:sz w:val="18"/>
                <w:szCs w:val="18"/>
              </w:rPr>
              <w:t>Box Truck – Straight Truck</w:t>
            </w:r>
          </w:p>
        </w:tc>
        <w:tc>
          <w:tcPr>
            <w:tcW w:w="1800" w:type="dxa"/>
            <w:tcBorders>
              <w:left w:val="single" w:sz="4" w:space="0" w:color="0067AB" w:themeColor="accent1"/>
              <w:right w:val="single" w:sz="4" w:space="0" w:color="0067AB" w:themeColor="accent1"/>
            </w:tcBorders>
            <w:vAlign w:val="center"/>
          </w:tcPr>
          <w:p w14:paraId="1877E7ED" w14:textId="77777777" w:rsidR="000126A5" w:rsidRPr="00F919E1" w:rsidRDefault="000126A5" w:rsidP="000126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sz w:val="18"/>
                <w:szCs w:val="18"/>
              </w:rPr>
            </w:pPr>
            <w:r>
              <w:rPr>
                <w:rFonts w:asciiTheme="minorHAnsi" w:hAnsiTheme="minorHAnsi"/>
                <w:bCs/>
                <w:sz w:val="18"/>
                <w:szCs w:val="18"/>
              </w:rPr>
              <w:t>Diesel</w:t>
            </w:r>
          </w:p>
        </w:tc>
        <w:tc>
          <w:tcPr>
            <w:tcW w:w="1885" w:type="dxa"/>
            <w:tcBorders>
              <w:left w:val="single" w:sz="4" w:space="0" w:color="0067AB" w:themeColor="accent1"/>
              <w:right w:val="single" w:sz="4" w:space="0" w:color="0067AB" w:themeColor="accent1"/>
            </w:tcBorders>
            <w:vAlign w:val="center"/>
          </w:tcPr>
          <w:p w14:paraId="4B09220C" w14:textId="77777777" w:rsidR="000126A5" w:rsidRPr="00F919E1" w:rsidRDefault="000126A5" w:rsidP="000126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sz w:val="18"/>
                <w:szCs w:val="18"/>
              </w:rPr>
            </w:pPr>
            <w:r>
              <w:rPr>
                <w:rFonts w:asciiTheme="minorHAnsi" w:hAnsiTheme="minorHAnsi"/>
                <w:bCs/>
                <w:sz w:val="18"/>
                <w:szCs w:val="18"/>
              </w:rPr>
              <w:t>Any</w:t>
            </w:r>
          </w:p>
        </w:tc>
      </w:tr>
      <w:tr w:rsidR="000126A5" w:rsidRPr="00F919E1" w14:paraId="289C9786" w14:textId="77777777" w:rsidTr="00082BE8">
        <w:trPr>
          <w:trHeight w:val="288"/>
          <w:jc w:val="center"/>
        </w:trPr>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2547540F" w14:textId="7073AC16" w:rsidR="000126A5" w:rsidRPr="000126A5" w:rsidRDefault="000126A5" w:rsidP="00082BE8">
            <w:pPr>
              <w:rPr>
                <w:rFonts w:asciiTheme="minorHAnsi" w:hAnsiTheme="minorHAnsi"/>
                <w:b w:val="0"/>
                <w:sz w:val="18"/>
                <w:szCs w:val="18"/>
              </w:rPr>
            </w:pPr>
            <w:r>
              <w:rPr>
                <w:rFonts w:asciiTheme="minorHAnsi" w:hAnsiTheme="minorHAnsi"/>
                <w:b w:val="0"/>
                <w:sz w:val="18"/>
                <w:szCs w:val="18"/>
              </w:rPr>
              <w:t>Comb</w:t>
            </w:r>
            <w:r w:rsidR="00082BE8">
              <w:rPr>
                <w:rFonts w:asciiTheme="minorHAnsi" w:hAnsiTheme="minorHAnsi"/>
                <w:b w:val="0"/>
                <w:sz w:val="18"/>
                <w:szCs w:val="18"/>
              </w:rPr>
              <w:t>inati</w:t>
            </w:r>
            <w:r>
              <w:rPr>
                <w:rFonts w:asciiTheme="minorHAnsi" w:hAnsiTheme="minorHAnsi"/>
                <w:b w:val="0"/>
                <w:sz w:val="18"/>
                <w:szCs w:val="18"/>
              </w:rPr>
              <w:t>o</w:t>
            </w:r>
            <w:r w:rsidR="00082BE8">
              <w:rPr>
                <w:rFonts w:asciiTheme="minorHAnsi" w:hAnsiTheme="minorHAnsi"/>
                <w:b w:val="0"/>
                <w:sz w:val="18"/>
                <w:szCs w:val="18"/>
              </w:rPr>
              <w:t>n</w:t>
            </w:r>
            <w:r w:rsidR="007B1EA8">
              <w:rPr>
                <w:rFonts w:asciiTheme="minorHAnsi" w:hAnsiTheme="minorHAnsi"/>
                <w:b w:val="0"/>
                <w:sz w:val="18"/>
                <w:szCs w:val="18"/>
              </w:rPr>
              <w:t xml:space="preserve"> unit</w:t>
            </w:r>
            <w:r>
              <w:rPr>
                <w:rFonts w:asciiTheme="minorHAnsi" w:hAnsiTheme="minorHAnsi"/>
                <w:b w:val="0"/>
                <w:sz w:val="18"/>
                <w:szCs w:val="18"/>
              </w:rPr>
              <w:t xml:space="preserve"> Short Haul</w:t>
            </w:r>
          </w:p>
        </w:tc>
        <w:tc>
          <w:tcPr>
            <w:tcW w:w="279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3C708F0D" w14:textId="77777777" w:rsidR="000126A5" w:rsidRPr="00F919E1" w:rsidRDefault="000126A5" w:rsidP="000126A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Conventional – Day Cab</w:t>
            </w:r>
          </w:p>
        </w:tc>
        <w:tc>
          <w:tcPr>
            <w:tcW w:w="1800"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452CCA20" w14:textId="77777777" w:rsidR="000126A5" w:rsidRPr="00F919E1" w:rsidRDefault="000126A5" w:rsidP="000126A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18"/>
                <w:szCs w:val="18"/>
              </w:rPr>
            </w:pPr>
            <w:r>
              <w:rPr>
                <w:rFonts w:asciiTheme="minorHAnsi" w:hAnsiTheme="minorHAnsi"/>
                <w:bCs/>
                <w:sz w:val="18"/>
                <w:szCs w:val="18"/>
              </w:rPr>
              <w:t>Diesel</w:t>
            </w:r>
          </w:p>
        </w:tc>
        <w:tc>
          <w:tcPr>
            <w:tcW w:w="1885" w:type="dxa"/>
            <w:tcBorders>
              <w:top w:val="single" w:sz="4" w:space="0" w:color="0067AB" w:themeColor="accent1"/>
              <w:left w:val="single" w:sz="4" w:space="0" w:color="0067AB" w:themeColor="accent1"/>
              <w:bottom w:val="single" w:sz="4" w:space="0" w:color="0067AB" w:themeColor="accent1"/>
              <w:right w:val="single" w:sz="4" w:space="0" w:color="0067AB" w:themeColor="accent1"/>
            </w:tcBorders>
            <w:vAlign w:val="center"/>
          </w:tcPr>
          <w:p w14:paraId="625316BF" w14:textId="77777777" w:rsidR="000126A5" w:rsidRPr="00F919E1" w:rsidRDefault="000126A5" w:rsidP="000126A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18"/>
                <w:szCs w:val="18"/>
              </w:rPr>
            </w:pPr>
            <w:r>
              <w:rPr>
                <w:rFonts w:asciiTheme="minorHAnsi" w:hAnsiTheme="minorHAnsi"/>
                <w:bCs/>
                <w:sz w:val="18"/>
                <w:szCs w:val="18"/>
              </w:rPr>
              <w:t>6 x 4</w:t>
            </w:r>
          </w:p>
        </w:tc>
      </w:tr>
      <w:tr w:rsidR="000126A5" w:rsidRPr="00F919E1" w14:paraId="055E7240" w14:textId="77777777" w:rsidTr="00082BE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75" w:type="dxa"/>
            <w:tcBorders>
              <w:left w:val="single" w:sz="4" w:space="0" w:color="0067AB" w:themeColor="accent1"/>
              <w:right w:val="single" w:sz="4" w:space="0" w:color="0067AB" w:themeColor="accent1"/>
            </w:tcBorders>
            <w:vAlign w:val="center"/>
          </w:tcPr>
          <w:p w14:paraId="1A6DA601" w14:textId="60B6F0AB" w:rsidR="000126A5" w:rsidRPr="000126A5" w:rsidRDefault="000126A5" w:rsidP="00082BE8">
            <w:pPr>
              <w:rPr>
                <w:rFonts w:asciiTheme="minorHAnsi" w:hAnsiTheme="minorHAnsi"/>
                <w:b w:val="0"/>
                <w:sz w:val="18"/>
                <w:szCs w:val="18"/>
              </w:rPr>
            </w:pPr>
            <w:r>
              <w:rPr>
                <w:rFonts w:asciiTheme="minorHAnsi" w:hAnsiTheme="minorHAnsi"/>
                <w:b w:val="0"/>
                <w:sz w:val="18"/>
                <w:szCs w:val="18"/>
              </w:rPr>
              <w:t>Comb</w:t>
            </w:r>
            <w:r w:rsidR="00082BE8">
              <w:rPr>
                <w:rFonts w:asciiTheme="minorHAnsi" w:hAnsiTheme="minorHAnsi"/>
                <w:b w:val="0"/>
                <w:sz w:val="18"/>
                <w:szCs w:val="18"/>
              </w:rPr>
              <w:t>ination</w:t>
            </w:r>
            <w:r w:rsidR="007B1EA8">
              <w:rPr>
                <w:rFonts w:asciiTheme="minorHAnsi" w:hAnsiTheme="minorHAnsi"/>
                <w:b w:val="0"/>
                <w:sz w:val="18"/>
                <w:szCs w:val="18"/>
              </w:rPr>
              <w:t xml:space="preserve"> unit</w:t>
            </w:r>
            <w:r>
              <w:rPr>
                <w:rFonts w:asciiTheme="minorHAnsi" w:hAnsiTheme="minorHAnsi"/>
                <w:b w:val="0"/>
                <w:sz w:val="18"/>
                <w:szCs w:val="18"/>
              </w:rPr>
              <w:t xml:space="preserve"> Long Haul</w:t>
            </w:r>
          </w:p>
        </w:tc>
        <w:tc>
          <w:tcPr>
            <w:tcW w:w="2790" w:type="dxa"/>
            <w:tcBorders>
              <w:left w:val="single" w:sz="4" w:space="0" w:color="0067AB" w:themeColor="accent1"/>
              <w:right w:val="single" w:sz="4" w:space="0" w:color="0067AB" w:themeColor="accent1"/>
            </w:tcBorders>
            <w:vAlign w:val="center"/>
          </w:tcPr>
          <w:p w14:paraId="7B864249" w14:textId="77777777" w:rsidR="000126A5" w:rsidRPr="00F919E1" w:rsidRDefault="000126A5" w:rsidP="000126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Conventional – Sleeper Truck</w:t>
            </w:r>
          </w:p>
        </w:tc>
        <w:tc>
          <w:tcPr>
            <w:tcW w:w="1800" w:type="dxa"/>
            <w:tcBorders>
              <w:left w:val="single" w:sz="4" w:space="0" w:color="0067AB" w:themeColor="accent1"/>
              <w:right w:val="single" w:sz="4" w:space="0" w:color="0067AB" w:themeColor="accent1"/>
            </w:tcBorders>
            <w:vAlign w:val="center"/>
          </w:tcPr>
          <w:p w14:paraId="68A9E720" w14:textId="77777777" w:rsidR="000126A5" w:rsidRPr="00F919E1" w:rsidRDefault="000126A5" w:rsidP="000126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Pr>
                <w:rFonts w:asciiTheme="minorHAnsi" w:hAnsiTheme="minorHAnsi"/>
                <w:color w:val="000000"/>
                <w:sz w:val="18"/>
                <w:szCs w:val="18"/>
              </w:rPr>
              <w:t>Diesel</w:t>
            </w:r>
          </w:p>
        </w:tc>
        <w:tc>
          <w:tcPr>
            <w:tcW w:w="1885" w:type="dxa"/>
            <w:tcBorders>
              <w:left w:val="single" w:sz="4" w:space="0" w:color="0067AB" w:themeColor="accent1"/>
              <w:right w:val="single" w:sz="4" w:space="0" w:color="0067AB" w:themeColor="accent1"/>
            </w:tcBorders>
            <w:vAlign w:val="center"/>
          </w:tcPr>
          <w:p w14:paraId="59149329" w14:textId="77777777" w:rsidR="000126A5" w:rsidRPr="00F919E1" w:rsidRDefault="000126A5" w:rsidP="000126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Pr>
                <w:rFonts w:asciiTheme="minorHAnsi" w:hAnsiTheme="minorHAnsi"/>
                <w:color w:val="000000"/>
                <w:sz w:val="18"/>
                <w:szCs w:val="18"/>
              </w:rPr>
              <w:t>6 x 4</w:t>
            </w:r>
          </w:p>
        </w:tc>
      </w:tr>
      <w:tr w:rsidR="00082BE8" w:rsidRPr="00F919E1" w14:paraId="41414D39" w14:textId="77777777" w:rsidTr="00082BE8">
        <w:trPr>
          <w:trHeight w:val="288"/>
          <w:jc w:val="center"/>
        </w:trPr>
        <w:tc>
          <w:tcPr>
            <w:cnfStyle w:val="001000000000" w:firstRow="0" w:lastRow="0" w:firstColumn="1" w:lastColumn="0" w:oddVBand="0" w:evenVBand="0" w:oddHBand="0" w:evenHBand="0" w:firstRowFirstColumn="0" w:firstRowLastColumn="0" w:lastRowFirstColumn="0" w:lastRowLastColumn="0"/>
            <w:tcW w:w="9350" w:type="dxa"/>
            <w:gridSpan w:val="4"/>
            <w:tcBorders>
              <w:top w:val="single" w:sz="4" w:space="0" w:color="0067AB" w:themeColor="accent1"/>
              <w:left w:val="nil"/>
              <w:bottom w:val="nil"/>
            </w:tcBorders>
            <w:vAlign w:val="center"/>
          </w:tcPr>
          <w:p w14:paraId="1351B960" w14:textId="77777777" w:rsidR="00082BE8" w:rsidRPr="00082BE8" w:rsidRDefault="00082BE8" w:rsidP="00082BE8">
            <w:pPr>
              <w:rPr>
                <w:rFonts w:asciiTheme="minorHAnsi" w:hAnsiTheme="minorHAnsi"/>
                <w:color w:val="000000"/>
                <w:sz w:val="18"/>
                <w:szCs w:val="18"/>
              </w:rPr>
            </w:pPr>
            <w:r w:rsidRPr="00082BE8">
              <w:rPr>
                <w:rStyle w:val="TableFootnoteReferenceChar"/>
                <w:b w:val="0"/>
                <w:sz w:val="18"/>
                <w:szCs w:val="18"/>
              </w:rPr>
              <w:t>a</w:t>
            </w:r>
            <w:r w:rsidRPr="00082BE8">
              <w:rPr>
                <w:b w:val="0"/>
                <w:sz w:val="18"/>
                <w:szCs w:val="18"/>
              </w:rPr>
              <w:t xml:space="preserve">Truck-sales website: </w:t>
            </w:r>
            <w:hyperlink r:id="rId75" w:history="1">
              <w:r w:rsidRPr="00082BE8">
                <w:rPr>
                  <w:rStyle w:val="Hyperlink"/>
                  <w:b w:val="0"/>
                  <w:bCs w:val="0"/>
                  <w:sz w:val="18"/>
                  <w:szCs w:val="18"/>
                </w:rPr>
                <w:t>http://www.commercialtrucktrader.com/</w:t>
              </w:r>
            </w:hyperlink>
            <w:r w:rsidRPr="00082BE8">
              <w:rPr>
                <w:rStyle w:val="Hyperlink"/>
                <w:color w:val="auto"/>
                <w:sz w:val="18"/>
                <w:szCs w:val="18"/>
                <w:u w:val="none"/>
              </w:rPr>
              <w:t>.</w:t>
            </w:r>
          </w:p>
        </w:tc>
      </w:tr>
    </w:tbl>
    <w:p w14:paraId="013C6A23" w14:textId="77777777" w:rsidR="000F318E" w:rsidRDefault="000126A5" w:rsidP="00EC3C25">
      <w:pPr>
        <w:pStyle w:val="BodyText"/>
        <w:spacing w:before="240"/>
      </w:pPr>
      <w:r>
        <w:t>All searches were adjusted to exclude any truck</w:t>
      </w:r>
      <w:r w:rsidR="007A1876">
        <w:t>s listed as</w:t>
      </w:r>
      <w:r>
        <w:t xml:space="preserve"> $0 or with no price.</w:t>
      </w:r>
      <w:r w:rsidR="00434911">
        <w:t xml:space="preserve"> Average truck prices from the website are expected to change depending on the new and used stock listed; average prices in the tool were collected the week of April 25, 2016.</w:t>
      </w:r>
    </w:p>
    <w:p w14:paraId="05C07FCF" w14:textId="3DD729D3" w:rsidR="00987C9F" w:rsidRDefault="00EC3C25" w:rsidP="00987C9F">
      <w:pPr>
        <w:pStyle w:val="BodyText"/>
      </w:pPr>
      <w:r>
        <w:t>Truck costs were then curve</w:t>
      </w:r>
      <w:r w:rsidR="00082BE8">
        <w:t>-</w:t>
      </w:r>
      <w:r>
        <w:t>fit</w:t>
      </w:r>
      <w:r w:rsidR="00082BE8">
        <w:t>ted</w:t>
      </w:r>
      <w:r>
        <w:t xml:space="preserve"> to develop cubic equations</w:t>
      </w:r>
      <w:r w:rsidR="00362156">
        <w:t xml:space="preserve"> for truck costs based upon truck age by truck type. </w:t>
      </w:r>
    </w:p>
    <w:p w14:paraId="44F3D96E" w14:textId="77777777" w:rsidR="00362156" w:rsidRPr="00362156" w:rsidRDefault="00362156" w:rsidP="00362156">
      <w:pPr>
        <w:pStyle w:val="BodyText"/>
        <w:jc w:val="center"/>
        <w:rPr>
          <w:i/>
        </w:rPr>
      </w:pPr>
      <w:r w:rsidRPr="00362156">
        <w:rPr>
          <w:i/>
        </w:rPr>
        <w:t xml:space="preserve">Cost = </w:t>
      </w:r>
      <w:r w:rsidR="00532E1F">
        <w:rPr>
          <w:i/>
        </w:rPr>
        <w:t>(</w:t>
      </w:r>
      <w:r w:rsidRPr="00362156">
        <w:rPr>
          <w:i/>
        </w:rPr>
        <w:t xml:space="preserve">A </w:t>
      </w:r>
      <w:r w:rsidR="00532E1F">
        <w:rPr>
          <w:i/>
        </w:rPr>
        <w:t>x Age</w:t>
      </w:r>
      <w:r w:rsidR="00532E1F">
        <w:rPr>
          <w:i/>
          <w:vertAlign w:val="superscript"/>
        </w:rPr>
        <w:t>3</w:t>
      </w:r>
      <w:r w:rsidR="00532E1F">
        <w:rPr>
          <w:i/>
        </w:rPr>
        <w:t xml:space="preserve">) </w:t>
      </w:r>
      <w:r w:rsidRPr="00362156">
        <w:rPr>
          <w:i/>
        </w:rPr>
        <w:t>+</w:t>
      </w:r>
      <w:r w:rsidR="00532E1F">
        <w:rPr>
          <w:i/>
        </w:rPr>
        <w:t xml:space="preserve"> (</w:t>
      </w:r>
      <w:r w:rsidRPr="00362156">
        <w:rPr>
          <w:i/>
        </w:rPr>
        <w:t xml:space="preserve">B </w:t>
      </w:r>
      <w:r w:rsidR="00532E1F">
        <w:rPr>
          <w:i/>
        </w:rPr>
        <w:t>x</w:t>
      </w:r>
      <w:r w:rsidRPr="00362156">
        <w:rPr>
          <w:i/>
        </w:rPr>
        <w:t xml:space="preserve"> </w:t>
      </w:r>
      <w:r w:rsidRPr="00532E1F">
        <w:rPr>
          <w:i/>
        </w:rPr>
        <w:t>Age</w:t>
      </w:r>
      <w:r w:rsidR="00532E1F">
        <w:rPr>
          <w:i/>
          <w:vertAlign w:val="superscript"/>
        </w:rPr>
        <w:t>2</w:t>
      </w:r>
      <w:r w:rsidR="00532E1F">
        <w:rPr>
          <w:i/>
        </w:rPr>
        <w:t xml:space="preserve">) </w:t>
      </w:r>
      <w:r w:rsidRPr="00362156">
        <w:rPr>
          <w:i/>
          <w:vertAlign w:val="superscript"/>
        </w:rPr>
        <w:t xml:space="preserve"> </w:t>
      </w:r>
      <w:r w:rsidRPr="00362156">
        <w:rPr>
          <w:i/>
        </w:rPr>
        <w:t xml:space="preserve">+ </w:t>
      </w:r>
      <w:r w:rsidR="00532E1F">
        <w:rPr>
          <w:i/>
        </w:rPr>
        <w:t>(</w:t>
      </w:r>
      <w:r w:rsidRPr="00362156">
        <w:rPr>
          <w:i/>
        </w:rPr>
        <w:t>C</w:t>
      </w:r>
      <w:r w:rsidR="00532E1F">
        <w:rPr>
          <w:i/>
        </w:rPr>
        <w:t xml:space="preserve"> x </w:t>
      </w:r>
      <w:r w:rsidRPr="00362156">
        <w:rPr>
          <w:i/>
        </w:rPr>
        <w:t>Age</w:t>
      </w:r>
      <w:r w:rsidR="00532E1F">
        <w:rPr>
          <w:i/>
        </w:rPr>
        <w:t>)</w:t>
      </w:r>
      <w:r w:rsidRPr="00362156">
        <w:rPr>
          <w:i/>
        </w:rPr>
        <w:t xml:space="preserve"> + D</w:t>
      </w:r>
    </w:p>
    <w:p w14:paraId="59E91CE5" w14:textId="026C4A64" w:rsidR="00532E1F" w:rsidRDefault="00532E1F" w:rsidP="00901C9F">
      <w:pPr>
        <w:pStyle w:val="BodyText"/>
      </w:pPr>
      <w:r>
        <w:t xml:space="preserve">Coefficients for the cubic equation are shown in </w:t>
      </w:r>
      <w:r w:rsidR="00833B69">
        <w:fldChar w:fldCharType="begin"/>
      </w:r>
      <w:r>
        <w:instrText xml:space="preserve"> REF _Ref459906217 \h </w:instrText>
      </w:r>
      <w:r w:rsidR="00833B69">
        <w:fldChar w:fldCharType="separate"/>
      </w:r>
      <w:r w:rsidR="00C42F38">
        <w:t xml:space="preserve">Table </w:t>
      </w:r>
      <w:r w:rsidR="00C42F38">
        <w:rPr>
          <w:noProof/>
        </w:rPr>
        <w:t>26</w:t>
      </w:r>
      <w:r w:rsidR="00833B69">
        <w:fldChar w:fldCharType="end"/>
      </w:r>
      <w:r>
        <w:t xml:space="preserve"> for the various truck types and graphed in </w:t>
      </w:r>
      <w:r w:rsidR="00833B69">
        <w:fldChar w:fldCharType="begin"/>
      </w:r>
      <w:r>
        <w:instrText xml:space="preserve"> REF _Ref459906260 \h </w:instrText>
      </w:r>
      <w:r w:rsidR="00833B69">
        <w:fldChar w:fldCharType="separate"/>
      </w:r>
      <w:r w:rsidR="00C42F38">
        <w:t xml:space="preserve">Figure </w:t>
      </w:r>
      <w:r w:rsidR="00C42F38">
        <w:rPr>
          <w:noProof/>
        </w:rPr>
        <w:t>5</w:t>
      </w:r>
      <w:r w:rsidR="00833B69">
        <w:fldChar w:fldCharType="end"/>
      </w:r>
      <w:r>
        <w:t>.</w:t>
      </w:r>
      <w:r w:rsidRPr="00A73C8B">
        <w:t xml:space="preserve"> </w:t>
      </w:r>
      <w:r>
        <w:t>Only the new truck costs are calculated</w:t>
      </w:r>
      <w:r w:rsidR="0060220A">
        <w:t xml:space="preserve">; </w:t>
      </w:r>
      <w:r>
        <w:t>the replaced trucks are assumed to be scrapped.</w:t>
      </w:r>
    </w:p>
    <w:p w14:paraId="5F06662A" w14:textId="77777777" w:rsidR="00532E1F" w:rsidRDefault="00532E1F" w:rsidP="00532E1F">
      <w:pPr>
        <w:pStyle w:val="TableCaption"/>
      </w:pPr>
      <w:bookmarkStart w:id="94" w:name="_Ref459906217"/>
      <w:bookmarkStart w:id="95" w:name="_Toc482973606"/>
      <w:r>
        <w:t xml:space="preserve">Table </w:t>
      </w:r>
      <w:r w:rsidR="00833B69">
        <w:fldChar w:fldCharType="begin"/>
      </w:r>
      <w:r>
        <w:instrText xml:space="preserve"> SEQ Table \* ARABIC </w:instrText>
      </w:r>
      <w:r w:rsidR="00833B69">
        <w:fldChar w:fldCharType="separate"/>
      </w:r>
      <w:r w:rsidR="00305706">
        <w:t>26</w:t>
      </w:r>
      <w:r w:rsidR="00833B69">
        <w:fldChar w:fldCharType="end"/>
      </w:r>
      <w:bookmarkEnd w:id="94"/>
      <w:r>
        <w:t>. Coefficients of Truck-cost Cubic Equation</w:t>
      </w:r>
      <w:bookmarkEnd w:id="95"/>
    </w:p>
    <w:tbl>
      <w:tblPr>
        <w:tblStyle w:val="ListTable3-Accent11"/>
        <w:tblW w:w="0" w:type="auto"/>
        <w:jc w:val="center"/>
        <w:tblLayout w:type="fixed"/>
        <w:tblLook w:val="04A0" w:firstRow="1" w:lastRow="0" w:firstColumn="1" w:lastColumn="0" w:noHBand="0" w:noVBand="1"/>
      </w:tblPr>
      <w:tblGrid>
        <w:gridCol w:w="2874"/>
        <w:gridCol w:w="1619"/>
        <w:gridCol w:w="1619"/>
        <w:gridCol w:w="1619"/>
        <w:gridCol w:w="1619"/>
      </w:tblGrid>
      <w:tr w:rsidR="00362156" w:rsidRPr="00F919E1" w14:paraId="4FAFA73A" w14:textId="77777777" w:rsidTr="00362156">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100" w:firstRow="0" w:lastRow="0" w:firstColumn="1" w:lastColumn="0" w:oddVBand="0" w:evenVBand="0" w:oddHBand="0" w:evenHBand="0" w:firstRowFirstColumn="1" w:firstRowLastColumn="0" w:lastRowFirstColumn="0" w:lastRowLastColumn="0"/>
            <w:tcW w:w="2874" w:type="dxa"/>
            <w:tcBorders>
              <w:top w:val="single" w:sz="4" w:space="0" w:color="0067AB" w:themeColor="accent1"/>
              <w:left w:val="single" w:sz="4" w:space="0" w:color="FFFFFF" w:themeColor="background1"/>
              <w:bottom w:val="single" w:sz="4" w:space="0" w:color="0067AB" w:themeColor="accent1"/>
              <w:right w:val="single" w:sz="4" w:space="0" w:color="FFFFFF" w:themeColor="background1"/>
            </w:tcBorders>
            <w:vAlign w:val="center"/>
          </w:tcPr>
          <w:p w14:paraId="138A4575" w14:textId="77777777" w:rsidR="00362156" w:rsidRPr="00F919E1" w:rsidRDefault="00362156" w:rsidP="00532E1F">
            <w:pPr>
              <w:keepNext/>
              <w:jc w:val="center"/>
              <w:rPr>
                <w:rFonts w:asciiTheme="minorHAnsi" w:hAnsiTheme="minorHAnsi"/>
                <w:sz w:val="18"/>
                <w:szCs w:val="18"/>
              </w:rPr>
            </w:pPr>
            <w:r>
              <w:rPr>
                <w:rFonts w:asciiTheme="minorHAnsi" w:hAnsiTheme="minorHAnsi"/>
                <w:sz w:val="18"/>
                <w:szCs w:val="18"/>
              </w:rPr>
              <w:t>Tool Truck Type</w:t>
            </w:r>
          </w:p>
        </w:tc>
        <w:tc>
          <w:tcPr>
            <w:tcW w:w="1619" w:type="dxa"/>
            <w:tcBorders>
              <w:top w:val="single" w:sz="4" w:space="0" w:color="0067AB" w:themeColor="accent1"/>
              <w:left w:val="single" w:sz="4" w:space="0" w:color="FFFFFF" w:themeColor="background1"/>
              <w:bottom w:val="single" w:sz="4" w:space="0" w:color="0067AB" w:themeColor="accent1"/>
              <w:right w:val="single" w:sz="4" w:space="0" w:color="FFFFFF" w:themeColor="background1"/>
            </w:tcBorders>
          </w:tcPr>
          <w:p w14:paraId="3A975812" w14:textId="77777777" w:rsidR="00362156" w:rsidRDefault="00362156" w:rsidP="00532E1F">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A</w:t>
            </w:r>
          </w:p>
        </w:tc>
        <w:tc>
          <w:tcPr>
            <w:tcW w:w="1619" w:type="dxa"/>
            <w:tcBorders>
              <w:top w:val="single" w:sz="4" w:space="0" w:color="0067AB" w:themeColor="accent1"/>
              <w:left w:val="single" w:sz="4" w:space="0" w:color="FFFFFF" w:themeColor="background1"/>
              <w:bottom w:val="single" w:sz="4" w:space="0" w:color="0067AB" w:themeColor="accent1"/>
              <w:right w:val="single" w:sz="4" w:space="0" w:color="FFFFFF" w:themeColor="background1"/>
            </w:tcBorders>
          </w:tcPr>
          <w:p w14:paraId="5B1A77B7" w14:textId="77777777" w:rsidR="00362156" w:rsidRDefault="00362156" w:rsidP="00532E1F">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B</w:t>
            </w:r>
          </w:p>
        </w:tc>
        <w:tc>
          <w:tcPr>
            <w:tcW w:w="1619" w:type="dxa"/>
            <w:tcBorders>
              <w:top w:val="single" w:sz="4" w:space="0" w:color="0067AB" w:themeColor="accent1"/>
              <w:left w:val="single" w:sz="4" w:space="0" w:color="FFFFFF" w:themeColor="background1"/>
              <w:bottom w:val="single" w:sz="4" w:space="0" w:color="0067AB" w:themeColor="accent1"/>
              <w:right w:val="single" w:sz="4" w:space="0" w:color="FFFFFF" w:themeColor="background1"/>
            </w:tcBorders>
          </w:tcPr>
          <w:p w14:paraId="216F84C5" w14:textId="77777777" w:rsidR="00362156" w:rsidRDefault="00362156" w:rsidP="00532E1F">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C</w:t>
            </w:r>
          </w:p>
        </w:tc>
        <w:tc>
          <w:tcPr>
            <w:tcW w:w="1619" w:type="dxa"/>
            <w:tcBorders>
              <w:top w:val="single" w:sz="4" w:space="0" w:color="0067AB" w:themeColor="accent1"/>
              <w:left w:val="single" w:sz="4" w:space="0" w:color="FFFFFF" w:themeColor="background1"/>
              <w:bottom w:val="single" w:sz="4" w:space="0" w:color="0067AB" w:themeColor="accent1"/>
              <w:right w:val="single" w:sz="4" w:space="0" w:color="FFFFFF" w:themeColor="background1"/>
            </w:tcBorders>
          </w:tcPr>
          <w:p w14:paraId="4E453283" w14:textId="77777777" w:rsidR="00362156" w:rsidRDefault="00362156" w:rsidP="00532E1F">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D</w:t>
            </w:r>
          </w:p>
        </w:tc>
      </w:tr>
      <w:tr w:rsidR="00362156" w:rsidRPr="000126A5" w14:paraId="4E7E7391" w14:textId="77777777" w:rsidTr="001417E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74" w:type="dxa"/>
            <w:tcBorders>
              <w:left w:val="single" w:sz="4" w:space="0" w:color="0067AB" w:themeColor="accent1"/>
              <w:right w:val="single" w:sz="4" w:space="0" w:color="0067AB" w:themeColor="accent1"/>
            </w:tcBorders>
            <w:vAlign w:val="center"/>
          </w:tcPr>
          <w:p w14:paraId="20AF3B88" w14:textId="1CCE80B0" w:rsidR="00362156" w:rsidRPr="000126A5" w:rsidRDefault="00362156" w:rsidP="00F52316">
            <w:pPr>
              <w:keepNext/>
              <w:rPr>
                <w:rFonts w:asciiTheme="minorHAnsi" w:hAnsiTheme="minorHAnsi"/>
                <w:b w:val="0"/>
                <w:sz w:val="18"/>
                <w:szCs w:val="18"/>
              </w:rPr>
            </w:pPr>
            <w:r>
              <w:rPr>
                <w:rFonts w:asciiTheme="minorHAnsi" w:hAnsiTheme="minorHAnsi"/>
                <w:b w:val="0"/>
                <w:sz w:val="18"/>
                <w:szCs w:val="18"/>
              </w:rPr>
              <w:t>Single</w:t>
            </w:r>
            <w:r w:rsidR="007B1EA8">
              <w:rPr>
                <w:rFonts w:asciiTheme="minorHAnsi" w:hAnsiTheme="minorHAnsi"/>
                <w:b w:val="0"/>
                <w:sz w:val="18"/>
                <w:szCs w:val="18"/>
              </w:rPr>
              <w:t xml:space="preserve"> unit</w:t>
            </w:r>
            <w:r>
              <w:rPr>
                <w:rFonts w:asciiTheme="minorHAnsi" w:hAnsiTheme="minorHAnsi"/>
                <w:b w:val="0"/>
                <w:sz w:val="18"/>
                <w:szCs w:val="18"/>
              </w:rPr>
              <w:t xml:space="preserve"> Short Haul</w:t>
            </w:r>
          </w:p>
        </w:tc>
        <w:tc>
          <w:tcPr>
            <w:tcW w:w="1619" w:type="dxa"/>
            <w:tcBorders>
              <w:left w:val="single" w:sz="4" w:space="0" w:color="0067AB" w:themeColor="accent1"/>
              <w:right w:val="single" w:sz="4" w:space="0" w:color="0067AB" w:themeColor="accent1"/>
            </w:tcBorders>
            <w:vAlign w:val="center"/>
          </w:tcPr>
          <w:p w14:paraId="7D8B939D" w14:textId="77777777" w:rsidR="00362156" w:rsidRPr="00362156" w:rsidRDefault="00362156" w:rsidP="00532E1F">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-0.9943</w:t>
            </w:r>
          </w:p>
        </w:tc>
        <w:tc>
          <w:tcPr>
            <w:tcW w:w="1619" w:type="dxa"/>
            <w:tcBorders>
              <w:left w:val="single" w:sz="4" w:space="0" w:color="0067AB" w:themeColor="accent1"/>
              <w:right w:val="single" w:sz="4" w:space="0" w:color="0067AB" w:themeColor="accent1"/>
            </w:tcBorders>
            <w:vAlign w:val="center"/>
          </w:tcPr>
          <w:p w14:paraId="6EAAEB9D" w14:textId="77777777" w:rsidR="00362156" w:rsidRPr="00362156" w:rsidRDefault="00362156" w:rsidP="00532E1F">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bCs/>
                <w:sz w:val="18"/>
                <w:szCs w:val="18"/>
              </w:rPr>
              <w:t>124.314</w:t>
            </w:r>
          </w:p>
        </w:tc>
        <w:tc>
          <w:tcPr>
            <w:tcW w:w="1619" w:type="dxa"/>
            <w:tcBorders>
              <w:left w:val="single" w:sz="4" w:space="0" w:color="0067AB" w:themeColor="accent1"/>
              <w:right w:val="single" w:sz="4" w:space="0" w:color="0067AB" w:themeColor="accent1"/>
            </w:tcBorders>
            <w:vAlign w:val="center"/>
          </w:tcPr>
          <w:p w14:paraId="2E1DD05C" w14:textId="77777777" w:rsidR="00362156" w:rsidRPr="00362156" w:rsidRDefault="00362156" w:rsidP="00532E1F">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-4058.58</w:t>
            </w:r>
          </w:p>
        </w:tc>
        <w:tc>
          <w:tcPr>
            <w:tcW w:w="1619" w:type="dxa"/>
            <w:tcBorders>
              <w:left w:val="single" w:sz="4" w:space="0" w:color="0067AB" w:themeColor="accent1"/>
              <w:right w:val="single" w:sz="4" w:space="0" w:color="0067AB" w:themeColor="accent1"/>
            </w:tcBorders>
            <w:vAlign w:val="center"/>
          </w:tcPr>
          <w:p w14:paraId="48CF29AB" w14:textId="77777777" w:rsidR="00362156" w:rsidRPr="00362156" w:rsidRDefault="001417E7" w:rsidP="00532E1F">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49785.5</w:t>
            </w:r>
          </w:p>
        </w:tc>
      </w:tr>
      <w:tr w:rsidR="00362156" w:rsidRPr="000126A5" w14:paraId="1870587D" w14:textId="77777777" w:rsidTr="001417E7">
        <w:trPr>
          <w:trHeight w:val="288"/>
          <w:jc w:val="center"/>
        </w:trPr>
        <w:tc>
          <w:tcPr>
            <w:cnfStyle w:val="001000000000" w:firstRow="0" w:lastRow="0" w:firstColumn="1" w:lastColumn="0" w:oddVBand="0" w:evenVBand="0" w:oddHBand="0" w:evenHBand="0" w:firstRowFirstColumn="0" w:firstRowLastColumn="0" w:lastRowFirstColumn="0" w:lastRowLastColumn="0"/>
            <w:tcW w:w="2874" w:type="dxa"/>
            <w:tcBorders>
              <w:left w:val="single" w:sz="4" w:space="0" w:color="0067AB" w:themeColor="accent1"/>
              <w:right w:val="single" w:sz="4" w:space="0" w:color="0067AB" w:themeColor="accent1"/>
            </w:tcBorders>
            <w:vAlign w:val="center"/>
          </w:tcPr>
          <w:p w14:paraId="64245179" w14:textId="5C6645C4" w:rsidR="00362156" w:rsidRPr="000126A5" w:rsidRDefault="00362156" w:rsidP="00F52316">
            <w:pPr>
              <w:keepNext/>
              <w:rPr>
                <w:rFonts w:asciiTheme="minorHAnsi" w:hAnsiTheme="minorHAnsi"/>
                <w:b w:val="0"/>
                <w:bCs w:val="0"/>
                <w:sz w:val="18"/>
                <w:szCs w:val="18"/>
              </w:rPr>
            </w:pPr>
            <w:r>
              <w:rPr>
                <w:rFonts w:asciiTheme="minorHAnsi" w:hAnsiTheme="minorHAnsi"/>
                <w:b w:val="0"/>
                <w:bCs w:val="0"/>
                <w:sz w:val="18"/>
                <w:szCs w:val="18"/>
              </w:rPr>
              <w:t>Single</w:t>
            </w:r>
            <w:r w:rsidR="007B1EA8">
              <w:rPr>
                <w:rFonts w:asciiTheme="minorHAnsi" w:hAnsiTheme="minorHAnsi"/>
                <w:b w:val="0"/>
                <w:bCs w:val="0"/>
                <w:sz w:val="18"/>
                <w:szCs w:val="18"/>
              </w:rPr>
              <w:t xml:space="preserve"> unit</w:t>
            </w:r>
            <w:r>
              <w:rPr>
                <w:rFonts w:asciiTheme="minorHAnsi" w:hAnsiTheme="minorHAnsi"/>
                <w:b w:val="0"/>
                <w:bCs w:val="0"/>
                <w:sz w:val="18"/>
                <w:szCs w:val="18"/>
              </w:rPr>
              <w:t xml:space="preserve"> Long Haul</w:t>
            </w:r>
          </w:p>
        </w:tc>
        <w:tc>
          <w:tcPr>
            <w:tcW w:w="1619" w:type="dxa"/>
            <w:tcBorders>
              <w:left w:val="single" w:sz="4" w:space="0" w:color="0067AB" w:themeColor="accent1"/>
              <w:right w:val="single" w:sz="4" w:space="0" w:color="0067AB" w:themeColor="accent1"/>
            </w:tcBorders>
            <w:vAlign w:val="center"/>
          </w:tcPr>
          <w:p w14:paraId="605679F4" w14:textId="77777777" w:rsidR="00362156" w:rsidRPr="00362156" w:rsidRDefault="00362156" w:rsidP="00532E1F">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18"/>
                <w:szCs w:val="18"/>
              </w:rPr>
            </w:pPr>
            <w:r>
              <w:rPr>
                <w:rFonts w:asciiTheme="minorHAnsi" w:hAnsiTheme="minorHAnsi"/>
                <w:sz w:val="18"/>
                <w:szCs w:val="18"/>
              </w:rPr>
              <w:t>-5.4194</w:t>
            </w:r>
          </w:p>
        </w:tc>
        <w:tc>
          <w:tcPr>
            <w:tcW w:w="1619" w:type="dxa"/>
            <w:tcBorders>
              <w:left w:val="single" w:sz="4" w:space="0" w:color="0067AB" w:themeColor="accent1"/>
              <w:right w:val="single" w:sz="4" w:space="0" w:color="0067AB" w:themeColor="accent1"/>
            </w:tcBorders>
            <w:vAlign w:val="center"/>
          </w:tcPr>
          <w:p w14:paraId="70916E2A" w14:textId="77777777" w:rsidR="00362156" w:rsidRPr="00362156" w:rsidRDefault="00362156" w:rsidP="00532E1F">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18"/>
                <w:szCs w:val="18"/>
              </w:rPr>
            </w:pPr>
            <w:r>
              <w:rPr>
                <w:rFonts w:asciiTheme="minorHAnsi" w:hAnsiTheme="minorHAnsi"/>
                <w:sz w:val="18"/>
                <w:szCs w:val="18"/>
              </w:rPr>
              <w:t>302.437</w:t>
            </w:r>
          </w:p>
        </w:tc>
        <w:tc>
          <w:tcPr>
            <w:tcW w:w="1619" w:type="dxa"/>
            <w:tcBorders>
              <w:left w:val="single" w:sz="4" w:space="0" w:color="0067AB" w:themeColor="accent1"/>
              <w:right w:val="single" w:sz="4" w:space="0" w:color="0067AB" w:themeColor="accent1"/>
            </w:tcBorders>
            <w:vAlign w:val="center"/>
          </w:tcPr>
          <w:p w14:paraId="163C2A03" w14:textId="77777777" w:rsidR="00362156" w:rsidRPr="00362156" w:rsidRDefault="00362156" w:rsidP="00532E1F">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18"/>
                <w:szCs w:val="18"/>
              </w:rPr>
            </w:pPr>
            <w:r>
              <w:rPr>
                <w:rFonts w:asciiTheme="minorHAnsi" w:hAnsiTheme="minorHAnsi"/>
                <w:bCs/>
                <w:sz w:val="18"/>
                <w:szCs w:val="18"/>
              </w:rPr>
              <w:t>-6372.61</w:t>
            </w:r>
          </w:p>
        </w:tc>
        <w:tc>
          <w:tcPr>
            <w:tcW w:w="1619" w:type="dxa"/>
            <w:tcBorders>
              <w:left w:val="single" w:sz="4" w:space="0" w:color="0067AB" w:themeColor="accent1"/>
              <w:right w:val="single" w:sz="4" w:space="0" w:color="0067AB" w:themeColor="accent1"/>
            </w:tcBorders>
            <w:vAlign w:val="center"/>
          </w:tcPr>
          <w:p w14:paraId="1D24662C" w14:textId="77777777" w:rsidR="00362156" w:rsidRPr="00362156" w:rsidRDefault="001417E7" w:rsidP="00532E1F">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18"/>
                <w:szCs w:val="18"/>
              </w:rPr>
            </w:pPr>
            <w:r>
              <w:rPr>
                <w:rFonts w:asciiTheme="minorHAnsi" w:hAnsiTheme="minorHAnsi"/>
                <w:bCs/>
                <w:sz w:val="18"/>
                <w:szCs w:val="18"/>
              </w:rPr>
              <w:t>58469.8</w:t>
            </w:r>
          </w:p>
        </w:tc>
      </w:tr>
      <w:tr w:rsidR="00362156" w:rsidRPr="000126A5" w14:paraId="08024CCE" w14:textId="77777777" w:rsidTr="001417E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74" w:type="dxa"/>
            <w:tcBorders>
              <w:left w:val="single" w:sz="4" w:space="0" w:color="0067AB" w:themeColor="accent1"/>
              <w:right w:val="single" w:sz="4" w:space="0" w:color="0067AB" w:themeColor="accent1"/>
            </w:tcBorders>
            <w:vAlign w:val="center"/>
          </w:tcPr>
          <w:p w14:paraId="28FF7739" w14:textId="18F2C1A3" w:rsidR="00362156" w:rsidRPr="000126A5" w:rsidRDefault="00362156" w:rsidP="00F52316">
            <w:pPr>
              <w:keepNext/>
              <w:rPr>
                <w:rFonts w:asciiTheme="minorHAnsi" w:hAnsiTheme="minorHAnsi"/>
                <w:b w:val="0"/>
                <w:sz w:val="18"/>
                <w:szCs w:val="18"/>
              </w:rPr>
            </w:pPr>
            <w:r>
              <w:rPr>
                <w:rFonts w:asciiTheme="minorHAnsi" w:hAnsiTheme="minorHAnsi"/>
                <w:b w:val="0"/>
                <w:sz w:val="18"/>
                <w:szCs w:val="18"/>
              </w:rPr>
              <w:t>Comb</w:t>
            </w:r>
            <w:r w:rsidR="00F52316">
              <w:rPr>
                <w:rFonts w:asciiTheme="minorHAnsi" w:hAnsiTheme="minorHAnsi"/>
                <w:b w:val="0"/>
                <w:sz w:val="18"/>
                <w:szCs w:val="18"/>
              </w:rPr>
              <w:t>ination</w:t>
            </w:r>
            <w:r w:rsidR="007B1EA8">
              <w:rPr>
                <w:rFonts w:asciiTheme="minorHAnsi" w:hAnsiTheme="minorHAnsi"/>
                <w:b w:val="0"/>
                <w:sz w:val="18"/>
                <w:szCs w:val="18"/>
              </w:rPr>
              <w:t xml:space="preserve"> unit</w:t>
            </w:r>
            <w:r>
              <w:rPr>
                <w:rFonts w:asciiTheme="minorHAnsi" w:hAnsiTheme="minorHAnsi"/>
                <w:b w:val="0"/>
                <w:sz w:val="18"/>
                <w:szCs w:val="18"/>
              </w:rPr>
              <w:t xml:space="preserve"> Short Haul</w:t>
            </w:r>
          </w:p>
        </w:tc>
        <w:tc>
          <w:tcPr>
            <w:tcW w:w="1619" w:type="dxa"/>
            <w:tcBorders>
              <w:left w:val="single" w:sz="4" w:space="0" w:color="0067AB" w:themeColor="accent1"/>
              <w:right w:val="single" w:sz="4" w:space="0" w:color="0067AB" w:themeColor="accent1"/>
            </w:tcBorders>
            <w:vAlign w:val="center"/>
          </w:tcPr>
          <w:p w14:paraId="6B8D87F1" w14:textId="77777777" w:rsidR="00362156" w:rsidRPr="00362156" w:rsidRDefault="00362156" w:rsidP="00532E1F">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-27.9243</w:t>
            </w:r>
          </w:p>
        </w:tc>
        <w:tc>
          <w:tcPr>
            <w:tcW w:w="1619" w:type="dxa"/>
            <w:tcBorders>
              <w:left w:val="single" w:sz="4" w:space="0" w:color="0067AB" w:themeColor="accent1"/>
              <w:right w:val="single" w:sz="4" w:space="0" w:color="0067AB" w:themeColor="accent1"/>
            </w:tcBorders>
            <w:vAlign w:val="center"/>
          </w:tcPr>
          <w:p w14:paraId="2FA51845" w14:textId="77777777" w:rsidR="00362156" w:rsidRPr="00362156" w:rsidRDefault="00362156" w:rsidP="00532E1F">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1287.13</w:t>
            </w:r>
          </w:p>
        </w:tc>
        <w:tc>
          <w:tcPr>
            <w:tcW w:w="1619" w:type="dxa"/>
            <w:tcBorders>
              <w:left w:val="single" w:sz="4" w:space="0" w:color="0067AB" w:themeColor="accent1"/>
              <w:right w:val="single" w:sz="4" w:space="0" w:color="0067AB" w:themeColor="accent1"/>
            </w:tcBorders>
            <w:vAlign w:val="center"/>
          </w:tcPr>
          <w:p w14:paraId="6BA0E24F" w14:textId="77777777" w:rsidR="00362156" w:rsidRPr="00362156" w:rsidRDefault="00362156" w:rsidP="00532E1F">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19378.1</w:t>
            </w:r>
          </w:p>
        </w:tc>
        <w:tc>
          <w:tcPr>
            <w:tcW w:w="1619" w:type="dxa"/>
            <w:tcBorders>
              <w:left w:val="single" w:sz="4" w:space="0" w:color="0067AB" w:themeColor="accent1"/>
              <w:right w:val="single" w:sz="4" w:space="0" w:color="0067AB" w:themeColor="accent1"/>
            </w:tcBorders>
            <w:vAlign w:val="center"/>
          </w:tcPr>
          <w:p w14:paraId="1616E956" w14:textId="77777777" w:rsidR="00362156" w:rsidRPr="00362156" w:rsidRDefault="001417E7" w:rsidP="00532E1F">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119172</w:t>
            </w:r>
          </w:p>
        </w:tc>
      </w:tr>
      <w:tr w:rsidR="00362156" w:rsidRPr="000126A5" w14:paraId="09A3806F" w14:textId="77777777" w:rsidTr="001417E7">
        <w:trPr>
          <w:trHeight w:val="288"/>
          <w:jc w:val="center"/>
        </w:trPr>
        <w:tc>
          <w:tcPr>
            <w:cnfStyle w:val="001000000000" w:firstRow="0" w:lastRow="0" w:firstColumn="1" w:lastColumn="0" w:oddVBand="0" w:evenVBand="0" w:oddHBand="0" w:evenHBand="0" w:firstRowFirstColumn="0" w:firstRowLastColumn="0" w:lastRowFirstColumn="0" w:lastRowLastColumn="0"/>
            <w:tcW w:w="2874" w:type="dxa"/>
            <w:tcBorders>
              <w:left w:val="single" w:sz="4" w:space="0" w:color="0067AB" w:themeColor="accent1"/>
              <w:right w:val="single" w:sz="4" w:space="0" w:color="0067AB" w:themeColor="accent1"/>
            </w:tcBorders>
            <w:vAlign w:val="center"/>
          </w:tcPr>
          <w:p w14:paraId="5B493607" w14:textId="47668D63" w:rsidR="00362156" w:rsidRPr="000126A5" w:rsidRDefault="00362156" w:rsidP="00F52316">
            <w:pPr>
              <w:rPr>
                <w:rFonts w:asciiTheme="minorHAnsi" w:hAnsiTheme="minorHAnsi"/>
                <w:b w:val="0"/>
                <w:sz w:val="18"/>
                <w:szCs w:val="18"/>
              </w:rPr>
            </w:pPr>
            <w:r>
              <w:rPr>
                <w:rFonts w:asciiTheme="minorHAnsi" w:hAnsiTheme="minorHAnsi"/>
                <w:b w:val="0"/>
                <w:sz w:val="18"/>
                <w:szCs w:val="18"/>
              </w:rPr>
              <w:t>Comb</w:t>
            </w:r>
            <w:r w:rsidR="00F52316">
              <w:rPr>
                <w:rFonts w:asciiTheme="minorHAnsi" w:hAnsiTheme="minorHAnsi"/>
                <w:b w:val="0"/>
                <w:sz w:val="18"/>
                <w:szCs w:val="18"/>
              </w:rPr>
              <w:t>ination</w:t>
            </w:r>
            <w:r w:rsidR="007B1EA8">
              <w:rPr>
                <w:rFonts w:asciiTheme="minorHAnsi" w:hAnsiTheme="minorHAnsi"/>
                <w:b w:val="0"/>
                <w:sz w:val="18"/>
                <w:szCs w:val="18"/>
              </w:rPr>
              <w:t xml:space="preserve"> unit</w:t>
            </w:r>
            <w:r>
              <w:rPr>
                <w:rFonts w:asciiTheme="minorHAnsi" w:hAnsiTheme="minorHAnsi"/>
                <w:b w:val="0"/>
                <w:sz w:val="18"/>
                <w:szCs w:val="18"/>
              </w:rPr>
              <w:t xml:space="preserve"> Long Haul</w:t>
            </w:r>
          </w:p>
        </w:tc>
        <w:tc>
          <w:tcPr>
            <w:tcW w:w="1619" w:type="dxa"/>
            <w:tcBorders>
              <w:left w:val="single" w:sz="4" w:space="0" w:color="0067AB" w:themeColor="accent1"/>
              <w:right w:val="single" w:sz="4" w:space="0" w:color="0067AB" w:themeColor="accent1"/>
            </w:tcBorders>
            <w:vAlign w:val="center"/>
          </w:tcPr>
          <w:p w14:paraId="22AA976A" w14:textId="77777777" w:rsidR="00362156" w:rsidRPr="00362156" w:rsidRDefault="00362156" w:rsidP="001417E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-39.0937</w:t>
            </w:r>
          </w:p>
        </w:tc>
        <w:tc>
          <w:tcPr>
            <w:tcW w:w="1619" w:type="dxa"/>
            <w:tcBorders>
              <w:left w:val="single" w:sz="4" w:space="0" w:color="0067AB" w:themeColor="accent1"/>
              <w:right w:val="single" w:sz="4" w:space="0" w:color="0067AB" w:themeColor="accent1"/>
            </w:tcBorders>
            <w:vAlign w:val="center"/>
          </w:tcPr>
          <w:p w14:paraId="057F946E" w14:textId="77777777" w:rsidR="00362156" w:rsidRPr="00362156" w:rsidRDefault="00362156" w:rsidP="001417E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1688.70</w:t>
            </w:r>
          </w:p>
        </w:tc>
        <w:tc>
          <w:tcPr>
            <w:tcW w:w="1619" w:type="dxa"/>
            <w:tcBorders>
              <w:left w:val="single" w:sz="4" w:space="0" w:color="0067AB" w:themeColor="accent1"/>
              <w:right w:val="single" w:sz="4" w:space="0" w:color="0067AB" w:themeColor="accent1"/>
            </w:tcBorders>
            <w:vAlign w:val="center"/>
          </w:tcPr>
          <w:p w14:paraId="0A6DE80D" w14:textId="77777777" w:rsidR="00362156" w:rsidRPr="00362156" w:rsidRDefault="00362156" w:rsidP="001417E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-23538.3</w:t>
            </w:r>
          </w:p>
        </w:tc>
        <w:tc>
          <w:tcPr>
            <w:tcW w:w="1619" w:type="dxa"/>
            <w:tcBorders>
              <w:left w:val="single" w:sz="4" w:space="0" w:color="0067AB" w:themeColor="accent1"/>
              <w:right w:val="single" w:sz="4" w:space="0" w:color="0067AB" w:themeColor="accent1"/>
            </w:tcBorders>
            <w:vAlign w:val="center"/>
          </w:tcPr>
          <w:p w14:paraId="356BF505" w14:textId="77777777" w:rsidR="00362156" w:rsidRPr="00362156" w:rsidRDefault="001417E7" w:rsidP="001417E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131080</w:t>
            </w:r>
          </w:p>
        </w:tc>
      </w:tr>
    </w:tbl>
    <w:p w14:paraId="6082DDF7" w14:textId="77777777" w:rsidR="00532E1F" w:rsidRDefault="00532E1F" w:rsidP="00C43F06">
      <w:pPr>
        <w:pStyle w:val="FigureCaption"/>
        <w:spacing w:before="240" w:after="120"/>
      </w:pPr>
      <w:bookmarkStart w:id="96" w:name="_Ref459906260"/>
      <w:bookmarkStart w:id="97" w:name="_Toc482973613"/>
      <w:bookmarkStart w:id="98" w:name="_Ref458684234"/>
      <w:r>
        <w:lastRenderedPageBreak/>
        <w:t xml:space="preserve">Figure </w:t>
      </w:r>
      <w:r w:rsidR="00833B69">
        <w:fldChar w:fldCharType="begin"/>
      </w:r>
      <w:r w:rsidR="006578C8">
        <w:instrText xml:space="preserve"> SEQ Figure \* ARABIC </w:instrText>
      </w:r>
      <w:r w:rsidR="00833B69">
        <w:fldChar w:fldCharType="separate"/>
      </w:r>
      <w:r w:rsidR="00C42F38">
        <w:rPr>
          <w:noProof/>
        </w:rPr>
        <w:t>5</w:t>
      </w:r>
      <w:r w:rsidR="00833B69">
        <w:rPr>
          <w:noProof/>
        </w:rPr>
        <w:fldChar w:fldCharType="end"/>
      </w:r>
      <w:bookmarkEnd w:id="96"/>
      <w:r>
        <w:t>. Derived Truck-purchase Costs Based on Age and Type</w:t>
      </w:r>
      <w:bookmarkEnd w:id="97"/>
    </w:p>
    <w:p w14:paraId="178A3D0D" w14:textId="77777777" w:rsidR="00901C9F" w:rsidRPr="00901C9F" w:rsidRDefault="00901C9F" w:rsidP="00901C9F">
      <w:pPr>
        <w:pStyle w:val="BodyText"/>
        <w:jc w:val="center"/>
      </w:pPr>
      <w:r w:rsidRPr="00901C9F">
        <w:rPr>
          <w:noProof/>
        </w:rPr>
        <w:drawing>
          <wp:inline distT="0" distB="0" distL="0" distR="0" wp14:anchorId="106D582A" wp14:editId="4DDBF11D">
            <wp:extent cx="5855501" cy="385634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1606" t="8000" r="-134" b="-381"/>
                    <a:stretch/>
                  </pic:blipFill>
                  <pic:spPr bwMode="auto">
                    <a:xfrm>
                      <a:off x="0" y="0"/>
                      <a:ext cx="5856127" cy="3856758"/>
                    </a:xfrm>
                    <a:prstGeom prst="rect">
                      <a:avLst/>
                    </a:prstGeom>
                    <a:noFill/>
                    <a:ln>
                      <a:noFill/>
                    </a:ln>
                    <a:extLst>
                      <a:ext uri="{53640926-AAD7-44D8-BBD7-CCE9431645EC}">
                        <a14:shadowObscured xmlns:a14="http://schemas.microsoft.com/office/drawing/2010/main"/>
                      </a:ext>
                    </a:extLst>
                  </pic:spPr>
                </pic:pic>
              </a:graphicData>
            </a:graphic>
          </wp:inline>
        </w:drawing>
      </w:r>
    </w:p>
    <w:p w14:paraId="2D54D9EA" w14:textId="0A8CA498" w:rsidR="00532E1F" w:rsidRDefault="00532E1F" w:rsidP="00532E1F">
      <w:pPr>
        <w:pStyle w:val="BodyText"/>
      </w:pPr>
      <w:r>
        <w:t>The default fuel prices in the Tool are national fuel prices current as of April 2016, according to the Alternative Fuel Price Report.</w:t>
      </w:r>
      <w:r>
        <w:rPr>
          <w:rStyle w:val="FootnoteReference"/>
        </w:rPr>
        <w:footnoteReference w:id="9"/>
      </w:r>
      <w:r>
        <w:t xml:space="preserve"> The user may substitute different fuel prices, such as regional prices which are also listed in the report. </w:t>
      </w:r>
      <w:r w:rsidR="00833B69">
        <w:fldChar w:fldCharType="begin"/>
      </w:r>
      <w:r>
        <w:instrText xml:space="preserve"> REF _Ref459906659 \h </w:instrText>
      </w:r>
      <w:r w:rsidR="00833B69">
        <w:fldChar w:fldCharType="separate"/>
      </w:r>
      <w:r w:rsidR="00C42F38">
        <w:t xml:space="preserve">Table </w:t>
      </w:r>
      <w:r w:rsidR="00C42F38">
        <w:rPr>
          <w:noProof/>
        </w:rPr>
        <w:t>27</w:t>
      </w:r>
      <w:r w:rsidR="00833B69">
        <w:fldChar w:fldCharType="end"/>
      </w:r>
      <w:r>
        <w:t xml:space="preserve"> shows the default fuel prices in the Tool, including costs per gasoline</w:t>
      </w:r>
      <w:r w:rsidR="0060220A">
        <w:t xml:space="preserve"> </w:t>
      </w:r>
      <w:r>
        <w:t>gallon equivalent (GGE) and per diesel</w:t>
      </w:r>
      <w:r w:rsidR="0060220A">
        <w:t xml:space="preserve"> </w:t>
      </w:r>
      <w:r>
        <w:t>gallon equivalent (DGE). The Tool calculates the fuel costs of the unmodified fleet, the modified fleet, and the difference between them.</w:t>
      </w:r>
    </w:p>
    <w:p w14:paraId="7BDE0E76" w14:textId="77777777" w:rsidR="001512C6" w:rsidRDefault="001512C6">
      <w:pPr>
        <w:spacing w:after="200" w:line="276" w:lineRule="auto"/>
        <w:rPr>
          <w:rFonts w:cs="Arial"/>
          <w:b/>
          <w:noProof/>
          <w:sz w:val="21"/>
        </w:rPr>
      </w:pPr>
      <w:bookmarkStart w:id="99" w:name="_Ref459906659"/>
      <w:r>
        <w:br w:type="page"/>
      </w:r>
    </w:p>
    <w:p w14:paraId="2B38B6B5" w14:textId="2A0E263F" w:rsidR="00532E1F" w:rsidRDefault="00532E1F" w:rsidP="00532E1F">
      <w:pPr>
        <w:pStyle w:val="TableCaption"/>
      </w:pPr>
      <w:bookmarkStart w:id="100" w:name="_Toc482973607"/>
      <w:r>
        <w:lastRenderedPageBreak/>
        <w:t xml:space="preserve">Table </w:t>
      </w:r>
      <w:r w:rsidR="00833B69">
        <w:fldChar w:fldCharType="begin"/>
      </w:r>
      <w:r>
        <w:instrText xml:space="preserve"> SEQ Table \* ARABIC </w:instrText>
      </w:r>
      <w:r w:rsidR="00833B69">
        <w:fldChar w:fldCharType="separate"/>
      </w:r>
      <w:r w:rsidR="00305706">
        <w:t>27</w:t>
      </w:r>
      <w:r w:rsidR="00833B69">
        <w:fldChar w:fldCharType="end"/>
      </w:r>
      <w:bookmarkEnd w:id="99"/>
      <w:r>
        <w:t>. Default Fuel Prices Used in the Tool</w:t>
      </w:r>
      <w:bookmarkEnd w:id="100"/>
    </w:p>
    <w:tbl>
      <w:tblPr>
        <w:tblStyle w:val="TemplateTable"/>
        <w:tblW w:w="4860" w:type="dxa"/>
        <w:tblLook w:val="04A0" w:firstRow="1" w:lastRow="0" w:firstColumn="1" w:lastColumn="0" w:noHBand="0" w:noVBand="1"/>
      </w:tblPr>
      <w:tblGrid>
        <w:gridCol w:w="1350"/>
        <w:gridCol w:w="810"/>
        <w:gridCol w:w="720"/>
        <w:gridCol w:w="990"/>
        <w:gridCol w:w="990"/>
      </w:tblGrid>
      <w:tr w:rsidR="00BC7385" w:rsidRPr="00CC451D" w14:paraId="0B90CA0F" w14:textId="77777777" w:rsidTr="00BC7385">
        <w:trPr>
          <w:cnfStyle w:val="100000000000" w:firstRow="1" w:lastRow="0" w:firstColumn="0" w:lastColumn="0" w:oddVBand="0" w:evenVBand="0" w:oddHBand="0" w:evenHBand="0" w:firstRowFirstColumn="0" w:firstRowLastColumn="0" w:lastRowFirstColumn="0" w:lastRowLastColumn="0"/>
          <w:trHeight w:val="300"/>
        </w:trPr>
        <w:tc>
          <w:tcPr>
            <w:tcW w:w="1350" w:type="dxa"/>
            <w:noWrap/>
            <w:hideMark/>
          </w:tcPr>
          <w:bookmarkEnd w:id="98"/>
          <w:p w14:paraId="39C60948" w14:textId="77777777" w:rsidR="00BC7385" w:rsidRPr="00CC451D" w:rsidRDefault="00BC7385" w:rsidP="00BC7385">
            <w:pPr>
              <w:rPr>
                <w:rFonts w:eastAsia="Times New Roman"/>
                <w:sz w:val="22"/>
              </w:rPr>
            </w:pPr>
            <w:r w:rsidRPr="00CC451D">
              <w:rPr>
                <w:rFonts w:eastAsia="Times New Roman"/>
                <w:sz w:val="22"/>
              </w:rPr>
              <w:t>Fuel</w:t>
            </w:r>
          </w:p>
        </w:tc>
        <w:tc>
          <w:tcPr>
            <w:tcW w:w="1530" w:type="dxa"/>
            <w:gridSpan w:val="2"/>
            <w:tcBorders>
              <w:bottom w:val="single" w:sz="4" w:space="0" w:color="A9A999"/>
            </w:tcBorders>
            <w:noWrap/>
            <w:hideMark/>
          </w:tcPr>
          <w:p w14:paraId="7D5EEC97" w14:textId="77777777" w:rsidR="00BC7385" w:rsidRPr="00CC451D" w:rsidRDefault="00BC7385" w:rsidP="00BC7385">
            <w:pPr>
              <w:rPr>
                <w:rFonts w:eastAsia="Times New Roman"/>
                <w:sz w:val="22"/>
              </w:rPr>
            </w:pPr>
            <w:r w:rsidRPr="00CC451D">
              <w:rPr>
                <w:rFonts w:eastAsia="Times New Roman"/>
                <w:sz w:val="22"/>
              </w:rPr>
              <w:t>Native Units</w:t>
            </w:r>
          </w:p>
        </w:tc>
        <w:tc>
          <w:tcPr>
            <w:tcW w:w="990" w:type="dxa"/>
            <w:noWrap/>
            <w:hideMark/>
          </w:tcPr>
          <w:p w14:paraId="3DA74A1A" w14:textId="77777777" w:rsidR="00BC7385" w:rsidRPr="00CC451D" w:rsidRDefault="00BC7385" w:rsidP="00BC7385">
            <w:pPr>
              <w:rPr>
                <w:rFonts w:eastAsia="Times New Roman"/>
                <w:sz w:val="22"/>
              </w:rPr>
            </w:pPr>
            <w:r w:rsidRPr="00CC451D">
              <w:rPr>
                <w:rFonts w:eastAsia="Times New Roman"/>
                <w:sz w:val="22"/>
              </w:rPr>
              <w:t>$/GGE</w:t>
            </w:r>
          </w:p>
        </w:tc>
        <w:tc>
          <w:tcPr>
            <w:tcW w:w="990" w:type="dxa"/>
            <w:noWrap/>
            <w:hideMark/>
          </w:tcPr>
          <w:p w14:paraId="55D29AFD" w14:textId="77777777" w:rsidR="00BC7385" w:rsidRPr="00CC451D" w:rsidRDefault="00BC7385" w:rsidP="00BC7385">
            <w:pPr>
              <w:rPr>
                <w:rFonts w:eastAsia="Times New Roman"/>
                <w:sz w:val="22"/>
              </w:rPr>
            </w:pPr>
            <w:r w:rsidRPr="00CC451D">
              <w:rPr>
                <w:rFonts w:eastAsia="Times New Roman"/>
                <w:sz w:val="22"/>
              </w:rPr>
              <w:t>$/DGE</w:t>
            </w:r>
          </w:p>
        </w:tc>
      </w:tr>
      <w:tr w:rsidR="00BC7385" w:rsidRPr="00CC451D" w14:paraId="185831DB" w14:textId="77777777" w:rsidTr="00BC7385">
        <w:trPr>
          <w:trHeight w:val="300"/>
        </w:trPr>
        <w:tc>
          <w:tcPr>
            <w:tcW w:w="1350" w:type="dxa"/>
            <w:noWrap/>
            <w:vAlign w:val="center"/>
            <w:hideMark/>
          </w:tcPr>
          <w:p w14:paraId="4CA45560" w14:textId="77777777" w:rsidR="00BC7385" w:rsidRPr="00CC451D" w:rsidRDefault="00BC7385" w:rsidP="00BC7385">
            <w:pPr>
              <w:rPr>
                <w:rFonts w:eastAsia="Times New Roman"/>
                <w:color w:val="000000"/>
                <w:sz w:val="22"/>
              </w:rPr>
            </w:pPr>
            <w:r w:rsidRPr="00CC451D">
              <w:rPr>
                <w:rFonts w:eastAsia="Times New Roman"/>
                <w:color w:val="000000"/>
                <w:sz w:val="22"/>
              </w:rPr>
              <w:t>Diesel</w:t>
            </w:r>
          </w:p>
        </w:tc>
        <w:tc>
          <w:tcPr>
            <w:tcW w:w="810" w:type="dxa"/>
            <w:tcBorders>
              <w:right w:val="nil"/>
            </w:tcBorders>
            <w:noWrap/>
            <w:vAlign w:val="center"/>
            <w:hideMark/>
          </w:tcPr>
          <w:p w14:paraId="576C18FE" w14:textId="77777777" w:rsidR="00BC7385" w:rsidRPr="00CC451D" w:rsidRDefault="00BC7385" w:rsidP="00BC7385">
            <w:pPr>
              <w:jc w:val="right"/>
              <w:rPr>
                <w:rFonts w:eastAsia="Times New Roman"/>
                <w:color w:val="000000"/>
                <w:sz w:val="22"/>
              </w:rPr>
            </w:pPr>
            <w:r w:rsidRPr="00CC451D">
              <w:rPr>
                <w:rFonts w:eastAsia="Times New Roman"/>
                <w:color w:val="000000"/>
                <w:sz w:val="22"/>
              </w:rPr>
              <w:t>$2.13</w:t>
            </w:r>
          </w:p>
        </w:tc>
        <w:tc>
          <w:tcPr>
            <w:tcW w:w="720" w:type="dxa"/>
            <w:tcBorders>
              <w:left w:val="nil"/>
            </w:tcBorders>
            <w:noWrap/>
            <w:vAlign w:val="center"/>
            <w:hideMark/>
          </w:tcPr>
          <w:p w14:paraId="6907AF4C" w14:textId="77777777" w:rsidR="00BC7385" w:rsidRPr="00CC451D" w:rsidRDefault="00BC7385" w:rsidP="00BC7385">
            <w:pPr>
              <w:rPr>
                <w:rFonts w:eastAsia="Times New Roman"/>
                <w:color w:val="000000"/>
                <w:sz w:val="22"/>
              </w:rPr>
            </w:pPr>
            <w:r w:rsidRPr="00CC451D">
              <w:rPr>
                <w:rFonts w:eastAsia="Times New Roman"/>
                <w:color w:val="000000"/>
                <w:sz w:val="22"/>
              </w:rPr>
              <w:t>gal</w:t>
            </w:r>
          </w:p>
        </w:tc>
        <w:tc>
          <w:tcPr>
            <w:tcW w:w="990" w:type="dxa"/>
            <w:noWrap/>
            <w:vAlign w:val="center"/>
            <w:hideMark/>
          </w:tcPr>
          <w:p w14:paraId="66DCED72" w14:textId="77777777" w:rsidR="00BC7385" w:rsidRPr="00CC451D" w:rsidRDefault="00BC7385" w:rsidP="00BC7385">
            <w:pPr>
              <w:jc w:val="center"/>
              <w:rPr>
                <w:rFonts w:eastAsia="Times New Roman"/>
                <w:color w:val="000000"/>
                <w:sz w:val="22"/>
              </w:rPr>
            </w:pPr>
            <w:r w:rsidRPr="00CC451D">
              <w:rPr>
                <w:rFonts w:eastAsia="Times New Roman"/>
                <w:color w:val="000000"/>
                <w:sz w:val="22"/>
              </w:rPr>
              <w:t>$1.90</w:t>
            </w:r>
          </w:p>
        </w:tc>
        <w:tc>
          <w:tcPr>
            <w:tcW w:w="990" w:type="dxa"/>
            <w:noWrap/>
            <w:vAlign w:val="center"/>
            <w:hideMark/>
          </w:tcPr>
          <w:p w14:paraId="448E0B66" w14:textId="77777777" w:rsidR="00BC7385" w:rsidRPr="00CC451D" w:rsidRDefault="00BC7385" w:rsidP="00BC7385">
            <w:pPr>
              <w:jc w:val="center"/>
              <w:rPr>
                <w:rFonts w:eastAsia="Times New Roman"/>
                <w:color w:val="000000"/>
                <w:sz w:val="22"/>
              </w:rPr>
            </w:pPr>
            <w:r w:rsidRPr="00CC451D">
              <w:rPr>
                <w:rFonts w:eastAsia="Times New Roman"/>
                <w:color w:val="000000"/>
                <w:sz w:val="22"/>
              </w:rPr>
              <w:t>$2.13</w:t>
            </w:r>
          </w:p>
        </w:tc>
      </w:tr>
      <w:tr w:rsidR="00BC7385" w:rsidRPr="00CC451D" w14:paraId="28354883" w14:textId="77777777" w:rsidTr="00BC7385">
        <w:trPr>
          <w:trHeight w:val="300"/>
        </w:trPr>
        <w:tc>
          <w:tcPr>
            <w:tcW w:w="1350" w:type="dxa"/>
            <w:noWrap/>
            <w:vAlign w:val="center"/>
            <w:hideMark/>
          </w:tcPr>
          <w:p w14:paraId="0A7D6452" w14:textId="77777777" w:rsidR="00BC7385" w:rsidRPr="00CC451D" w:rsidRDefault="00BC7385" w:rsidP="00BC7385">
            <w:pPr>
              <w:rPr>
                <w:rFonts w:eastAsia="Times New Roman"/>
                <w:color w:val="000000"/>
                <w:sz w:val="22"/>
              </w:rPr>
            </w:pPr>
            <w:r w:rsidRPr="00CC451D">
              <w:rPr>
                <w:rFonts w:eastAsia="Times New Roman"/>
                <w:color w:val="000000"/>
                <w:sz w:val="22"/>
              </w:rPr>
              <w:t>Gasoline</w:t>
            </w:r>
          </w:p>
        </w:tc>
        <w:tc>
          <w:tcPr>
            <w:tcW w:w="810" w:type="dxa"/>
            <w:tcBorders>
              <w:right w:val="nil"/>
            </w:tcBorders>
            <w:noWrap/>
            <w:vAlign w:val="center"/>
            <w:hideMark/>
          </w:tcPr>
          <w:p w14:paraId="077E5564" w14:textId="77777777" w:rsidR="00BC7385" w:rsidRPr="00CC451D" w:rsidRDefault="00BC7385" w:rsidP="00BC7385">
            <w:pPr>
              <w:jc w:val="right"/>
              <w:rPr>
                <w:rFonts w:eastAsia="Times New Roman"/>
                <w:color w:val="000000"/>
                <w:sz w:val="22"/>
              </w:rPr>
            </w:pPr>
            <w:r w:rsidRPr="00CC451D">
              <w:rPr>
                <w:rFonts w:eastAsia="Times New Roman"/>
                <w:color w:val="000000"/>
                <w:sz w:val="22"/>
              </w:rPr>
              <w:t>$2.06</w:t>
            </w:r>
          </w:p>
        </w:tc>
        <w:tc>
          <w:tcPr>
            <w:tcW w:w="720" w:type="dxa"/>
            <w:tcBorders>
              <w:left w:val="nil"/>
            </w:tcBorders>
            <w:noWrap/>
            <w:vAlign w:val="center"/>
            <w:hideMark/>
          </w:tcPr>
          <w:p w14:paraId="149E8844" w14:textId="77777777" w:rsidR="00BC7385" w:rsidRPr="00CC451D" w:rsidRDefault="00BC7385" w:rsidP="00BC7385">
            <w:pPr>
              <w:rPr>
                <w:rFonts w:eastAsia="Times New Roman"/>
                <w:color w:val="000000"/>
                <w:sz w:val="22"/>
              </w:rPr>
            </w:pPr>
            <w:r w:rsidRPr="00CC451D">
              <w:rPr>
                <w:rFonts w:eastAsia="Times New Roman"/>
                <w:color w:val="000000"/>
                <w:sz w:val="22"/>
              </w:rPr>
              <w:t>gal</w:t>
            </w:r>
          </w:p>
        </w:tc>
        <w:tc>
          <w:tcPr>
            <w:tcW w:w="990" w:type="dxa"/>
            <w:noWrap/>
            <w:vAlign w:val="center"/>
            <w:hideMark/>
          </w:tcPr>
          <w:p w14:paraId="20DE4F41" w14:textId="77777777" w:rsidR="00BC7385" w:rsidRPr="00CC451D" w:rsidRDefault="00BC7385" w:rsidP="00BC7385">
            <w:pPr>
              <w:jc w:val="center"/>
              <w:rPr>
                <w:rFonts w:eastAsia="Times New Roman"/>
                <w:color w:val="000000"/>
                <w:sz w:val="22"/>
              </w:rPr>
            </w:pPr>
            <w:r w:rsidRPr="00CC451D">
              <w:rPr>
                <w:rFonts w:eastAsia="Times New Roman"/>
                <w:color w:val="000000"/>
                <w:sz w:val="22"/>
              </w:rPr>
              <w:t>$2.06</w:t>
            </w:r>
          </w:p>
        </w:tc>
        <w:tc>
          <w:tcPr>
            <w:tcW w:w="990" w:type="dxa"/>
            <w:noWrap/>
            <w:vAlign w:val="center"/>
            <w:hideMark/>
          </w:tcPr>
          <w:p w14:paraId="0B932D15" w14:textId="77777777" w:rsidR="00BC7385" w:rsidRPr="00CC451D" w:rsidRDefault="00BC7385" w:rsidP="00BC7385">
            <w:pPr>
              <w:jc w:val="center"/>
              <w:rPr>
                <w:rFonts w:eastAsia="Times New Roman"/>
                <w:color w:val="000000"/>
                <w:sz w:val="22"/>
              </w:rPr>
            </w:pPr>
            <w:r w:rsidRPr="00CC451D">
              <w:rPr>
                <w:rFonts w:eastAsia="Times New Roman"/>
                <w:color w:val="000000"/>
                <w:sz w:val="22"/>
              </w:rPr>
              <w:t>$2.33</w:t>
            </w:r>
          </w:p>
        </w:tc>
      </w:tr>
      <w:tr w:rsidR="00BC7385" w:rsidRPr="00CC451D" w14:paraId="1EFE4B24" w14:textId="77777777" w:rsidTr="00BC7385">
        <w:trPr>
          <w:trHeight w:val="300"/>
        </w:trPr>
        <w:tc>
          <w:tcPr>
            <w:tcW w:w="1350" w:type="dxa"/>
            <w:noWrap/>
            <w:vAlign w:val="center"/>
            <w:hideMark/>
          </w:tcPr>
          <w:p w14:paraId="1F2B80D0" w14:textId="77777777" w:rsidR="00BC7385" w:rsidRPr="00CC451D" w:rsidRDefault="00BC7385" w:rsidP="00BC7385">
            <w:pPr>
              <w:rPr>
                <w:rFonts w:eastAsia="Times New Roman"/>
                <w:color w:val="000000"/>
                <w:sz w:val="22"/>
              </w:rPr>
            </w:pPr>
            <w:r w:rsidRPr="00CC451D">
              <w:rPr>
                <w:rFonts w:eastAsia="Times New Roman"/>
                <w:color w:val="000000"/>
                <w:sz w:val="22"/>
              </w:rPr>
              <w:t>CNG</w:t>
            </w:r>
          </w:p>
        </w:tc>
        <w:tc>
          <w:tcPr>
            <w:tcW w:w="810" w:type="dxa"/>
            <w:tcBorders>
              <w:right w:val="nil"/>
            </w:tcBorders>
            <w:noWrap/>
            <w:vAlign w:val="center"/>
            <w:hideMark/>
          </w:tcPr>
          <w:p w14:paraId="62F98061" w14:textId="77777777" w:rsidR="00BC7385" w:rsidRPr="00CC451D" w:rsidRDefault="00BC7385" w:rsidP="00BC7385">
            <w:pPr>
              <w:jc w:val="right"/>
              <w:rPr>
                <w:rFonts w:eastAsia="Times New Roman"/>
                <w:color w:val="000000"/>
                <w:sz w:val="22"/>
              </w:rPr>
            </w:pPr>
            <w:r w:rsidRPr="00CC451D">
              <w:rPr>
                <w:rFonts w:eastAsia="Times New Roman"/>
                <w:color w:val="000000"/>
                <w:sz w:val="22"/>
              </w:rPr>
              <w:t>$2.02</w:t>
            </w:r>
          </w:p>
        </w:tc>
        <w:tc>
          <w:tcPr>
            <w:tcW w:w="720" w:type="dxa"/>
            <w:tcBorders>
              <w:left w:val="nil"/>
            </w:tcBorders>
            <w:noWrap/>
            <w:vAlign w:val="center"/>
            <w:hideMark/>
          </w:tcPr>
          <w:p w14:paraId="18BEFAC2" w14:textId="77777777" w:rsidR="00BC7385" w:rsidRPr="00CC451D" w:rsidRDefault="00BC7385" w:rsidP="00BC7385">
            <w:pPr>
              <w:rPr>
                <w:rFonts w:eastAsia="Times New Roman"/>
                <w:color w:val="000000"/>
                <w:sz w:val="22"/>
              </w:rPr>
            </w:pPr>
            <w:r w:rsidRPr="00CC451D">
              <w:rPr>
                <w:rFonts w:eastAsia="Times New Roman"/>
                <w:color w:val="000000"/>
                <w:sz w:val="22"/>
              </w:rPr>
              <w:t>GGE</w:t>
            </w:r>
          </w:p>
        </w:tc>
        <w:tc>
          <w:tcPr>
            <w:tcW w:w="990" w:type="dxa"/>
            <w:noWrap/>
            <w:vAlign w:val="center"/>
            <w:hideMark/>
          </w:tcPr>
          <w:p w14:paraId="71A69F11" w14:textId="77777777" w:rsidR="00BC7385" w:rsidRPr="00CC451D" w:rsidRDefault="00BC7385" w:rsidP="00BC7385">
            <w:pPr>
              <w:jc w:val="center"/>
              <w:rPr>
                <w:rFonts w:eastAsia="Times New Roman"/>
                <w:color w:val="000000"/>
                <w:sz w:val="22"/>
              </w:rPr>
            </w:pPr>
            <w:r w:rsidRPr="00CC451D">
              <w:rPr>
                <w:rFonts w:eastAsia="Times New Roman"/>
                <w:color w:val="000000"/>
                <w:sz w:val="22"/>
              </w:rPr>
              <w:t>$2.02</w:t>
            </w:r>
          </w:p>
        </w:tc>
        <w:tc>
          <w:tcPr>
            <w:tcW w:w="990" w:type="dxa"/>
            <w:noWrap/>
            <w:vAlign w:val="center"/>
            <w:hideMark/>
          </w:tcPr>
          <w:p w14:paraId="20315107" w14:textId="77777777" w:rsidR="00BC7385" w:rsidRPr="00CC451D" w:rsidRDefault="00BC7385" w:rsidP="00BC7385">
            <w:pPr>
              <w:jc w:val="center"/>
              <w:rPr>
                <w:rFonts w:eastAsia="Times New Roman"/>
                <w:color w:val="000000"/>
                <w:sz w:val="22"/>
              </w:rPr>
            </w:pPr>
            <w:r w:rsidRPr="00CC451D">
              <w:rPr>
                <w:rFonts w:eastAsia="Times New Roman"/>
                <w:color w:val="000000"/>
                <w:sz w:val="22"/>
              </w:rPr>
              <w:t>$2.28</w:t>
            </w:r>
          </w:p>
        </w:tc>
      </w:tr>
      <w:tr w:rsidR="00BC7385" w:rsidRPr="00CC451D" w14:paraId="5D683BD3" w14:textId="77777777" w:rsidTr="00BC7385">
        <w:trPr>
          <w:trHeight w:val="300"/>
        </w:trPr>
        <w:tc>
          <w:tcPr>
            <w:tcW w:w="1350" w:type="dxa"/>
            <w:noWrap/>
            <w:vAlign w:val="center"/>
            <w:hideMark/>
          </w:tcPr>
          <w:p w14:paraId="1C957680" w14:textId="77777777" w:rsidR="00BC7385" w:rsidRPr="00CC451D" w:rsidRDefault="00BC7385" w:rsidP="00BC7385">
            <w:pPr>
              <w:rPr>
                <w:rFonts w:eastAsia="Times New Roman"/>
                <w:color w:val="000000"/>
                <w:sz w:val="22"/>
              </w:rPr>
            </w:pPr>
            <w:r w:rsidRPr="00CC451D">
              <w:rPr>
                <w:rFonts w:eastAsia="Times New Roman"/>
                <w:color w:val="000000"/>
                <w:sz w:val="22"/>
              </w:rPr>
              <w:t>LNG</w:t>
            </w:r>
          </w:p>
        </w:tc>
        <w:tc>
          <w:tcPr>
            <w:tcW w:w="810" w:type="dxa"/>
            <w:tcBorders>
              <w:right w:val="nil"/>
            </w:tcBorders>
            <w:noWrap/>
            <w:vAlign w:val="center"/>
            <w:hideMark/>
          </w:tcPr>
          <w:p w14:paraId="2CEFDED9" w14:textId="77777777" w:rsidR="00BC7385" w:rsidRPr="00CC451D" w:rsidRDefault="00BC7385" w:rsidP="00BC7385">
            <w:pPr>
              <w:jc w:val="right"/>
              <w:rPr>
                <w:rFonts w:eastAsia="Times New Roman"/>
                <w:color w:val="000000"/>
                <w:sz w:val="22"/>
              </w:rPr>
            </w:pPr>
            <w:r w:rsidRPr="00CC451D">
              <w:rPr>
                <w:rFonts w:eastAsia="Times New Roman"/>
                <w:color w:val="000000"/>
                <w:sz w:val="22"/>
              </w:rPr>
              <w:t>$2.31</w:t>
            </w:r>
          </w:p>
        </w:tc>
        <w:tc>
          <w:tcPr>
            <w:tcW w:w="720" w:type="dxa"/>
            <w:tcBorders>
              <w:left w:val="nil"/>
            </w:tcBorders>
            <w:noWrap/>
            <w:vAlign w:val="center"/>
            <w:hideMark/>
          </w:tcPr>
          <w:p w14:paraId="0944F637" w14:textId="77777777" w:rsidR="00BC7385" w:rsidRPr="00CC451D" w:rsidRDefault="00BC7385" w:rsidP="00BC7385">
            <w:pPr>
              <w:rPr>
                <w:rFonts w:eastAsia="Times New Roman"/>
                <w:color w:val="000000"/>
                <w:sz w:val="22"/>
              </w:rPr>
            </w:pPr>
            <w:r w:rsidRPr="00CC451D">
              <w:rPr>
                <w:rFonts w:eastAsia="Times New Roman"/>
                <w:color w:val="000000"/>
                <w:sz w:val="22"/>
              </w:rPr>
              <w:t>DGE</w:t>
            </w:r>
          </w:p>
        </w:tc>
        <w:tc>
          <w:tcPr>
            <w:tcW w:w="990" w:type="dxa"/>
            <w:noWrap/>
            <w:vAlign w:val="center"/>
            <w:hideMark/>
          </w:tcPr>
          <w:p w14:paraId="35A6451E" w14:textId="77777777" w:rsidR="00BC7385" w:rsidRPr="00CC451D" w:rsidRDefault="00BC7385" w:rsidP="00BC7385">
            <w:pPr>
              <w:jc w:val="center"/>
              <w:rPr>
                <w:rFonts w:eastAsia="Times New Roman"/>
                <w:color w:val="000000"/>
                <w:sz w:val="22"/>
              </w:rPr>
            </w:pPr>
            <w:r w:rsidRPr="00CC451D">
              <w:rPr>
                <w:rFonts w:eastAsia="Times New Roman"/>
                <w:color w:val="000000"/>
                <w:sz w:val="22"/>
              </w:rPr>
              <w:t>$2.06</w:t>
            </w:r>
          </w:p>
        </w:tc>
        <w:tc>
          <w:tcPr>
            <w:tcW w:w="990" w:type="dxa"/>
            <w:noWrap/>
            <w:vAlign w:val="center"/>
            <w:hideMark/>
          </w:tcPr>
          <w:p w14:paraId="46B65F06" w14:textId="77777777" w:rsidR="00BC7385" w:rsidRPr="00CC451D" w:rsidRDefault="00BC7385" w:rsidP="00BC7385">
            <w:pPr>
              <w:jc w:val="center"/>
              <w:rPr>
                <w:rFonts w:eastAsia="Times New Roman"/>
                <w:color w:val="000000"/>
                <w:sz w:val="22"/>
              </w:rPr>
            </w:pPr>
            <w:r w:rsidRPr="00CC451D">
              <w:rPr>
                <w:rFonts w:eastAsia="Times New Roman"/>
                <w:color w:val="000000"/>
                <w:sz w:val="22"/>
              </w:rPr>
              <w:t>$2.31</w:t>
            </w:r>
          </w:p>
        </w:tc>
      </w:tr>
      <w:tr w:rsidR="00BC7385" w:rsidRPr="00CC451D" w14:paraId="65B79156" w14:textId="77777777" w:rsidTr="00BC7385">
        <w:trPr>
          <w:trHeight w:val="300"/>
        </w:trPr>
        <w:tc>
          <w:tcPr>
            <w:tcW w:w="1350" w:type="dxa"/>
            <w:noWrap/>
            <w:vAlign w:val="center"/>
          </w:tcPr>
          <w:p w14:paraId="02CBF4E8" w14:textId="77777777" w:rsidR="00BC7385" w:rsidRPr="00CC451D" w:rsidRDefault="00BC7385" w:rsidP="00BC7385">
            <w:pPr>
              <w:rPr>
                <w:rFonts w:eastAsia="Times New Roman"/>
                <w:color w:val="000000"/>
              </w:rPr>
            </w:pPr>
            <w:r>
              <w:rPr>
                <w:rFonts w:eastAsia="Times New Roman"/>
                <w:color w:val="000000"/>
              </w:rPr>
              <w:t>RCNG</w:t>
            </w:r>
          </w:p>
        </w:tc>
        <w:tc>
          <w:tcPr>
            <w:tcW w:w="810" w:type="dxa"/>
            <w:tcBorders>
              <w:right w:val="nil"/>
            </w:tcBorders>
            <w:noWrap/>
            <w:vAlign w:val="center"/>
          </w:tcPr>
          <w:p w14:paraId="657F274B" w14:textId="77777777" w:rsidR="00BC7385" w:rsidRPr="00CC451D" w:rsidRDefault="00BC7385" w:rsidP="00BC7385">
            <w:pPr>
              <w:jc w:val="right"/>
              <w:rPr>
                <w:rFonts w:eastAsia="Times New Roman"/>
                <w:color w:val="000000"/>
              </w:rPr>
            </w:pPr>
            <w:r w:rsidRPr="00CC451D">
              <w:rPr>
                <w:rFonts w:eastAsia="Times New Roman"/>
                <w:color w:val="000000"/>
                <w:sz w:val="22"/>
              </w:rPr>
              <w:t>$2.02</w:t>
            </w:r>
          </w:p>
        </w:tc>
        <w:tc>
          <w:tcPr>
            <w:tcW w:w="720" w:type="dxa"/>
            <w:tcBorders>
              <w:left w:val="nil"/>
            </w:tcBorders>
            <w:noWrap/>
            <w:vAlign w:val="center"/>
          </w:tcPr>
          <w:p w14:paraId="5A135F3C" w14:textId="77777777" w:rsidR="00BC7385" w:rsidRPr="00CC451D" w:rsidRDefault="00BC7385" w:rsidP="00BC7385">
            <w:pPr>
              <w:rPr>
                <w:rFonts w:eastAsia="Times New Roman"/>
                <w:color w:val="000000"/>
              </w:rPr>
            </w:pPr>
            <w:r w:rsidRPr="00CC451D">
              <w:rPr>
                <w:rFonts w:eastAsia="Times New Roman"/>
                <w:color w:val="000000"/>
                <w:sz w:val="22"/>
              </w:rPr>
              <w:t>GGE</w:t>
            </w:r>
          </w:p>
        </w:tc>
        <w:tc>
          <w:tcPr>
            <w:tcW w:w="990" w:type="dxa"/>
            <w:noWrap/>
            <w:vAlign w:val="center"/>
          </w:tcPr>
          <w:p w14:paraId="34395C5C" w14:textId="77777777" w:rsidR="00BC7385" w:rsidRPr="00CC451D" w:rsidRDefault="00BC7385" w:rsidP="00BC7385">
            <w:pPr>
              <w:jc w:val="center"/>
              <w:rPr>
                <w:rFonts w:eastAsia="Times New Roman"/>
                <w:color w:val="000000"/>
              </w:rPr>
            </w:pPr>
            <w:r w:rsidRPr="00CC451D">
              <w:rPr>
                <w:rFonts w:eastAsia="Times New Roman"/>
                <w:color w:val="000000"/>
                <w:sz w:val="22"/>
              </w:rPr>
              <w:t>$2.02</w:t>
            </w:r>
          </w:p>
        </w:tc>
        <w:tc>
          <w:tcPr>
            <w:tcW w:w="990" w:type="dxa"/>
            <w:noWrap/>
            <w:vAlign w:val="center"/>
          </w:tcPr>
          <w:p w14:paraId="17990DEA" w14:textId="77777777" w:rsidR="00BC7385" w:rsidRPr="00CC451D" w:rsidRDefault="00BC7385" w:rsidP="00BC7385">
            <w:pPr>
              <w:jc w:val="center"/>
              <w:rPr>
                <w:rFonts w:eastAsia="Times New Roman"/>
                <w:color w:val="000000"/>
              </w:rPr>
            </w:pPr>
            <w:r w:rsidRPr="00CC451D">
              <w:rPr>
                <w:rFonts w:eastAsia="Times New Roman"/>
                <w:color w:val="000000"/>
                <w:sz w:val="22"/>
              </w:rPr>
              <w:t>$2.28</w:t>
            </w:r>
          </w:p>
        </w:tc>
      </w:tr>
      <w:tr w:rsidR="00BC7385" w:rsidRPr="00CC451D" w14:paraId="1A99F24A" w14:textId="77777777" w:rsidTr="00BC7385">
        <w:trPr>
          <w:trHeight w:val="300"/>
        </w:trPr>
        <w:tc>
          <w:tcPr>
            <w:tcW w:w="1350" w:type="dxa"/>
            <w:noWrap/>
            <w:vAlign w:val="center"/>
          </w:tcPr>
          <w:p w14:paraId="4E4F8D72" w14:textId="77777777" w:rsidR="00BC7385" w:rsidRPr="00CC451D" w:rsidRDefault="00BC7385" w:rsidP="00BC7385">
            <w:pPr>
              <w:rPr>
                <w:rFonts w:eastAsia="Times New Roman"/>
                <w:color w:val="000000"/>
              </w:rPr>
            </w:pPr>
            <w:r>
              <w:rPr>
                <w:rFonts w:eastAsia="Times New Roman"/>
                <w:color w:val="000000"/>
              </w:rPr>
              <w:t>RLNG</w:t>
            </w:r>
          </w:p>
        </w:tc>
        <w:tc>
          <w:tcPr>
            <w:tcW w:w="810" w:type="dxa"/>
            <w:tcBorders>
              <w:right w:val="nil"/>
            </w:tcBorders>
            <w:noWrap/>
            <w:vAlign w:val="center"/>
          </w:tcPr>
          <w:p w14:paraId="5CF23C42" w14:textId="77777777" w:rsidR="00BC7385" w:rsidRPr="00CC451D" w:rsidRDefault="00BC7385" w:rsidP="00BC7385">
            <w:pPr>
              <w:jc w:val="right"/>
              <w:rPr>
                <w:rFonts w:eastAsia="Times New Roman"/>
                <w:color w:val="000000"/>
              </w:rPr>
            </w:pPr>
            <w:r w:rsidRPr="00CC451D">
              <w:rPr>
                <w:rFonts w:eastAsia="Times New Roman"/>
                <w:color w:val="000000"/>
                <w:sz w:val="22"/>
              </w:rPr>
              <w:t>$2.31</w:t>
            </w:r>
          </w:p>
        </w:tc>
        <w:tc>
          <w:tcPr>
            <w:tcW w:w="720" w:type="dxa"/>
            <w:tcBorders>
              <w:left w:val="nil"/>
            </w:tcBorders>
            <w:noWrap/>
            <w:vAlign w:val="center"/>
          </w:tcPr>
          <w:p w14:paraId="53FE94C1" w14:textId="77777777" w:rsidR="00BC7385" w:rsidRPr="00CC451D" w:rsidRDefault="00BC7385" w:rsidP="00BC7385">
            <w:pPr>
              <w:rPr>
                <w:rFonts w:eastAsia="Times New Roman"/>
                <w:color w:val="000000"/>
              </w:rPr>
            </w:pPr>
            <w:r w:rsidRPr="00CC451D">
              <w:rPr>
                <w:rFonts w:eastAsia="Times New Roman"/>
                <w:color w:val="000000"/>
                <w:sz w:val="22"/>
              </w:rPr>
              <w:t>DGE</w:t>
            </w:r>
          </w:p>
        </w:tc>
        <w:tc>
          <w:tcPr>
            <w:tcW w:w="990" w:type="dxa"/>
            <w:noWrap/>
            <w:vAlign w:val="center"/>
          </w:tcPr>
          <w:p w14:paraId="689D95B7" w14:textId="77777777" w:rsidR="00BC7385" w:rsidRPr="00CC451D" w:rsidRDefault="00BC7385" w:rsidP="00BC7385">
            <w:pPr>
              <w:jc w:val="center"/>
              <w:rPr>
                <w:rFonts w:eastAsia="Times New Roman"/>
                <w:color w:val="000000"/>
              </w:rPr>
            </w:pPr>
            <w:r w:rsidRPr="00CC451D">
              <w:rPr>
                <w:rFonts w:eastAsia="Times New Roman"/>
                <w:color w:val="000000"/>
                <w:sz w:val="22"/>
              </w:rPr>
              <w:t>$2.06</w:t>
            </w:r>
          </w:p>
        </w:tc>
        <w:tc>
          <w:tcPr>
            <w:tcW w:w="990" w:type="dxa"/>
            <w:noWrap/>
            <w:vAlign w:val="center"/>
          </w:tcPr>
          <w:p w14:paraId="00857303" w14:textId="77777777" w:rsidR="00BC7385" w:rsidRPr="00CC451D" w:rsidRDefault="00BC7385" w:rsidP="00BC7385">
            <w:pPr>
              <w:jc w:val="center"/>
              <w:rPr>
                <w:rFonts w:eastAsia="Times New Roman"/>
                <w:color w:val="000000"/>
              </w:rPr>
            </w:pPr>
            <w:r w:rsidRPr="00CC451D">
              <w:rPr>
                <w:rFonts w:eastAsia="Times New Roman"/>
                <w:color w:val="000000"/>
                <w:sz w:val="22"/>
              </w:rPr>
              <w:t>$2.31</w:t>
            </w:r>
          </w:p>
        </w:tc>
      </w:tr>
      <w:tr w:rsidR="00BC7385" w:rsidRPr="00CC451D" w14:paraId="11C27848" w14:textId="77777777" w:rsidTr="00BC7385">
        <w:trPr>
          <w:trHeight w:val="300"/>
        </w:trPr>
        <w:tc>
          <w:tcPr>
            <w:tcW w:w="1350" w:type="dxa"/>
            <w:noWrap/>
            <w:vAlign w:val="center"/>
            <w:hideMark/>
          </w:tcPr>
          <w:p w14:paraId="1EF0BD34" w14:textId="77777777" w:rsidR="00BC7385" w:rsidRPr="00CC451D" w:rsidRDefault="00BC7385" w:rsidP="00BC7385">
            <w:pPr>
              <w:rPr>
                <w:rFonts w:eastAsia="Times New Roman"/>
                <w:color w:val="000000"/>
                <w:sz w:val="22"/>
              </w:rPr>
            </w:pPr>
            <w:r w:rsidRPr="00CC451D">
              <w:rPr>
                <w:rFonts w:eastAsia="Times New Roman"/>
                <w:color w:val="000000"/>
                <w:sz w:val="22"/>
              </w:rPr>
              <w:t>Propane</w:t>
            </w:r>
          </w:p>
        </w:tc>
        <w:tc>
          <w:tcPr>
            <w:tcW w:w="810" w:type="dxa"/>
            <w:tcBorders>
              <w:right w:val="nil"/>
            </w:tcBorders>
            <w:noWrap/>
            <w:vAlign w:val="center"/>
            <w:hideMark/>
          </w:tcPr>
          <w:p w14:paraId="14973B56" w14:textId="77777777" w:rsidR="00BC7385" w:rsidRPr="00CC451D" w:rsidRDefault="00BC7385" w:rsidP="00BC7385">
            <w:pPr>
              <w:jc w:val="right"/>
              <w:rPr>
                <w:rFonts w:eastAsia="Times New Roman"/>
                <w:color w:val="000000"/>
                <w:sz w:val="22"/>
              </w:rPr>
            </w:pPr>
            <w:r w:rsidRPr="00CC451D">
              <w:rPr>
                <w:rFonts w:eastAsia="Times New Roman"/>
                <w:color w:val="000000"/>
                <w:sz w:val="22"/>
              </w:rPr>
              <w:t>$2.77</w:t>
            </w:r>
          </w:p>
        </w:tc>
        <w:tc>
          <w:tcPr>
            <w:tcW w:w="720" w:type="dxa"/>
            <w:tcBorders>
              <w:left w:val="nil"/>
            </w:tcBorders>
            <w:noWrap/>
            <w:vAlign w:val="center"/>
            <w:hideMark/>
          </w:tcPr>
          <w:p w14:paraId="08CC205C" w14:textId="77777777" w:rsidR="00BC7385" w:rsidRPr="00CC451D" w:rsidRDefault="00BC7385" w:rsidP="00BC7385">
            <w:pPr>
              <w:rPr>
                <w:rFonts w:eastAsia="Times New Roman"/>
                <w:color w:val="000000"/>
                <w:sz w:val="22"/>
              </w:rPr>
            </w:pPr>
            <w:r w:rsidRPr="00CC451D">
              <w:rPr>
                <w:rFonts w:eastAsia="Times New Roman"/>
                <w:color w:val="000000"/>
                <w:sz w:val="22"/>
              </w:rPr>
              <w:t>gal</w:t>
            </w:r>
          </w:p>
        </w:tc>
        <w:tc>
          <w:tcPr>
            <w:tcW w:w="990" w:type="dxa"/>
            <w:noWrap/>
            <w:vAlign w:val="center"/>
            <w:hideMark/>
          </w:tcPr>
          <w:p w14:paraId="1A02178B" w14:textId="77777777" w:rsidR="00BC7385" w:rsidRPr="00CC451D" w:rsidRDefault="00BC7385" w:rsidP="00BC7385">
            <w:pPr>
              <w:jc w:val="center"/>
              <w:rPr>
                <w:rFonts w:eastAsia="Times New Roman"/>
                <w:color w:val="000000"/>
                <w:sz w:val="22"/>
              </w:rPr>
            </w:pPr>
            <w:r w:rsidRPr="00CC451D">
              <w:rPr>
                <w:rFonts w:eastAsia="Times New Roman"/>
                <w:color w:val="000000"/>
                <w:sz w:val="22"/>
              </w:rPr>
              <w:t>$3.79</w:t>
            </w:r>
          </w:p>
        </w:tc>
        <w:tc>
          <w:tcPr>
            <w:tcW w:w="990" w:type="dxa"/>
            <w:noWrap/>
            <w:vAlign w:val="center"/>
            <w:hideMark/>
          </w:tcPr>
          <w:p w14:paraId="5D4DEE79" w14:textId="77777777" w:rsidR="00BC7385" w:rsidRPr="00CC451D" w:rsidRDefault="00BC7385" w:rsidP="00BC7385">
            <w:pPr>
              <w:jc w:val="center"/>
              <w:rPr>
                <w:rFonts w:eastAsia="Times New Roman"/>
                <w:color w:val="000000"/>
                <w:sz w:val="22"/>
              </w:rPr>
            </w:pPr>
            <w:r w:rsidRPr="00CC451D">
              <w:rPr>
                <w:rFonts w:eastAsia="Times New Roman"/>
                <w:color w:val="000000"/>
                <w:sz w:val="22"/>
              </w:rPr>
              <w:t>$4.27</w:t>
            </w:r>
          </w:p>
        </w:tc>
      </w:tr>
      <w:tr w:rsidR="00BC7385" w:rsidRPr="00CC451D" w14:paraId="77246B2A" w14:textId="77777777" w:rsidTr="00BC7385">
        <w:trPr>
          <w:trHeight w:val="300"/>
        </w:trPr>
        <w:tc>
          <w:tcPr>
            <w:tcW w:w="1350" w:type="dxa"/>
            <w:noWrap/>
            <w:vAlign w:val="center"/>
            <w:hideMark/>
          </w:tcPr>
          <w:p w14:paraId="6C8D158E" w14:textId="77777777" w:rsidR="00BC7385" w:rsidRPr="00CC451D" w:rsidRDefault="00BC7385" w:rsidP="00BC7385">
            <w:pPr>
              <w:rPr>
                <w:rFonts w:eastAsia="Times New Roman"/>
                <w:color w:val="000000"/>
                <w:sz w:val="22"/>
              </w:rPr>
            </w:pPr>
            <w:r w:rsidRPr="00CC451D">
              <w:rPr>
                <w:rFonts w:eastAsia="Times New Roman"/>
                <w:color w:val="000000"/>
                <w:sz w:val="22"/>
              </w:rPr>
              <w:t>B20</w:t>
            </w:r>
          </w:p>
        </w:tc>
        <w:tc>
          <w:tcPr>
            <w:tcW w:w="810" w:type="dxa"/>
            <w:tcBorders>
              <w:right w:val="nil"/>
            </w:tcBorders>
            <w:noWrap/>
            <w:vAlign w:val="center"/>
            <w:hideMark/>
          </w:tcPr>
          <w:p w14:paraId="7B80D9A6" w14:textId="77777777" w:rsidR="00BC7385" w:rsidRPr="00CC451D" w:rsidRDefault="00BC7385" w:rsidP="00BC7385">
            <w:pPr>
              <w:jc w:val="right"/>
              <w:rPr>
                <w:rFonts w:eastAsia="Times New Roman"/>
                <w:color w:val="000000"/>
                <w:sz w:val="22"/>
              </w:rPr>
            </w:pPr>
            <w:r w:rsidRPr="00CC451D">
              <w:rPr>
                <w:rFonts w:eastAsia="Times New Roman"/>
                <w:color w:val="000000"/>
                <w:sz w:val="22"/>
              </w:rPr>
              <w:t>$2.23</w:t>
            </w:r>
          </w:p>
        </w:tc>
        <w:tc>
          <w:tcPr>
            <w:tcW w:w="720" w:type="dxa"/>
            <w:tcBorders>
              <w:left w:val="nil"/>
            </w:tcBorders>
            <w:noWrap/>
            <w:vAlign w:val="center"/>
            <w:hideMark/>
          </w:tcPr>
          <w:p w14:paraId="192AB942" w14:textId="77777777" w:rsidR="00BC7385" w:rsidRPr="00CC451D" w:rsidRDefault="00BC7385" w:rsidP="00BC7385">
            <w:pPr>
              <w:rPr>
                <w:rFonts w:eastAsia="Times New Roman"/>
                <w:color w:val="000000"/>
                <w:sz w:val="22"/>
              </w:rPr>
            </w:pPr>
            <w:r w:rsidRPr="00CC451D">
              <w:rPr>
                <w:rFonts w:eastAsia="Times New Roman"/>
                <w:color w:val="000000"/>
                <w:sz w:val="22"/>
              </w:rPr>
              <w:t>gal</w:t>
            </w:r>
          </w:p>
        </w:tc>
        <w:tc>
          <w:tcPr>
            <w:tcW w:w="990" w:type="dxa"/>
            <w:noWrap/>
            <w:vAlign w:val="center"/>
            <w:hideMark/>
          </w:tcPr>
          <w:p w14:paraId="1711C783" w14:textId="77777777" w:rsidR="00BC7385" w:rsidRPr="00CC451D" w:rsidRDefault="00BC7385" w:rsidP="00BC7385">
            <w:pPr>
              <w:jc w:val="center"/>
              <w:rPr>
                <w:rFonts w:eastAsia="Times New Roman"/>
                <w:color w:val="000000"/>
                <w:sz w:val="22"/>
              </w:rPr>
            </w:pPr>
            <w:r w:rsidRPr="00CC451D">
              <w:rPr>
                <w:rFonts w:eastAsia="Times New Roman"/>
                <w:color w:val="000000"/>
                <w:sz w:val="22"/>
              </w:rPr>
              <w:t>$2.01</w:t>
            </w:r>
          </w:p>
        </w:tc>
        <w:tc>
          <w:tcPr>
            <w:tcW w:w="990" w:type="dxa"/>
            <w:noWrap/>
            <w:vAlign w:val="center"/>
            <w:hideMark/>
          </w:tcPr>
          <w:p w14:paraId="201F985A" w14:textId="77777777" w:rsidR="00BC7385" w:rsidRPr="00CC451D" w:rsidRDefault="00BC7385" w:rsidP="00BC7385">
            <w:pPr>
              <w:jc w:val="center"/>
              <w:rPr>
                <w:rFonts w:eastAsia="Times New Roman"/>
                <w:color w:val="000000"/>
                <w:sz w:val="22"/>
              </w:rPr>
            </w:pPr>
            <w:r w:rsidRPr="00CC451D">
              <w:rPr>
                <w:rFonts w:eastAsia="Times New Roman"/>
                <w:color w:val="000000"/>
                <w:sz w:val="22"/>
              </w:rPr>
              <w:t>$2.27</w:t>
            </w:r>
          </w:p>
        </w:tc>
      </w:tr>
      <w:tr w:rsidR="00BC7385" w:rsidRPr="00CC451D" w14:paraId="5A60A975" w14:textId="77777777" w:rsidTr="00BC7385">
        <w:trPr>
          <w:trHeight w:val="300"/>
        </w:trPr>
        <w:tc>
          <w:tcPr>
            <w:tcW w:w="1350" w:type="dxa"/>
            <w:noWrap/>
            <w:vAlign w:val="center"/>
            <w:hideMark/>
          </w:tcPr>
          <w:p w14:paraId="4B302C7C" w14:textId="77777777" w:rsidR="00BC7385" w:rsidRPr="00CC451D" w:rsidRDefault="00BC7385" w:rsidP="00BC7385">
            <w:pPr>
              <w:rPr>
                <w:rFonts w:eastAsia="Times New Roman"/>
                <w:color w:val="000000"/>
                <w:sz w:val="22"/>
              </w:rPr>
            </w:pPr>
            <w:r w:rsidRPr="00CC451D">
              <w:rPr>
                <w:rFonts w:eastAsia="Times New Roman"/>
                <w:color w:val="000000"/>
                <w:sz w:val="22"/>
              </w:rPr>
              <w:t>R100</w:t>
            </w:r>
          </w:p>
        </w:tc>
        <w:tc>
          <w:tcPr>
            <w:tcW w:w="810" w:type="dxa"/>
            <w:tcBorders>
              <w:right w:val="nil"/>
            </w:tcBorders>
            <w:noWrap/>
            <w:vAlign w:val="center"/>
            <w:hideMark/>
          </w:tcPr>
          <w:p w14:paraId="12275F33" w14:textId="77777777" w:rsidR="00BC7385" w:rsidRPr="00CC451D" w:rsidRDefault="00BC7385" w:rsidP="00BC7385">
            <w:pPr>
              <w:jc w:val="right"/>
              <w:rPr>
                <w:rFonts w:eastAsia="Times New Roman"/>
                <w:color w:val="000000"/>
                <w:sz w:val="22"/>
              </w:rPr>
            </w:pPr>
            <w:r w:rsidRPr="00CC451D">
              <w:rPr>
                <w:rFonts w:eastAsia="Times New Roman"/>
                <w:color w:val="000000"/>
                <w:sz w:val="22"/>
              </w:rPr>
              <w:t>$2.81</w:t>
            </w:r>
          </w:p>
        </w:tc>
        <w:tc>
          <w:tcPr>
            <w:tcW w:w="720" w:type="dxa"/>
            <w:tcBorders>
              <w:left w:val="nil"/>
            </w:tcBorders>
            <w:noWrap/>
            <w:vAlign w:val="center"/>
            <w:hideMark/>
          </w:tcPr>
          <w:p w14:paraId="0B7BEC51" w14:textId="77777777" w:rsidR="00BC7385" w:rsidRPr="00CC451D" w:rsidRDefault="00BC7385" w:rsidP="00BC7385">
            <w:pPr>
              <w:rPr>
                <w:rFonts w:eastAsia="Times New Roman"/>
                <w:color w:val="000000"/>
                <w:sz w:val="22"/>
              </w:rPr>
            </w:pPr>
            <w:r w:rsidRPr="00CC451D">
              <w:rPr>
                <w:rFonts w:eastAsia="Times New Roman"/>
                <w:color w:val="000000"/>
                <w:sz w:val="22"/>
              </w:rPr>
              <w:t>gal</w:t>
            </w:r>
          </w:p>
        </w:tc>
        <w:tc>
          <w:tcPr>
            <w:tcW w:w="990" w:type="dxa"/>
            <w:noWrap/>
            <w:vAlign w:val="center"/>
            <w:hideMark/>
          </w:tcPr>
          <w:p w14:paraId="2C25892A" w14:textId="77777777" w:rsidR="00BC7385" w:rsidRPr="00CC451D" w:rsidRDefault="00BC7385" w:rsidP="00BC7385">
            <w:pPr>
              <w:jc w:val="center"/>
              <w:rPr>
                <w:rFonts w:eastAsia="Times New Roman"/>
                <w:color w:val="000000"/>
                <w:sz w:val="22"/>
              </w:rPr>
            </w:pPr>
            <w:r w:rsidRPr="00CC451D">
              <w:rPr>
                <w:rFonts w:eastAsia="Times New Roman"/>
                <w:color w:val="000000"/>
                <w:sz w:val="22"/>
              </w:rPr>
              <w:t>$2.75</w:t>
            </w:r>
          </w:p>
        </w:tc>
        <w:tc>
          <w:tcPr>
            <w:tcW w:w="990" w:type="dxa"/>
            <w:noWrap/>
            <w:vAlign w:val="center"/>
            <w:hideMark/>
          </w:tcPr>
          <w:p w14:paraId="370BCA67" w14:textId="77777777" w:rsidR="00BC7385" w:rsidRPr="00CC451D" w:rsidRDefault="00BC7385" w:rsidP="00BC7385">
            <w:pPr>
              <w:jc w:val="center"/>
              <w:rPr>
                <w:rFonts w:eastAsia="Times New Roman"/>
                <w:color w:val="000000"/>
                <w:sz w:val="22"/>
              </w:rPr>
            </w:pPr>
            <w:r w:rsidRPr="00CC451D">
              <w:rPr>
                <w:rFonts w:eastAsia="Times New Roman"/>
                <w:color w:val="000000"/>
                <w:sz w:val="22"/>
              </w:rPr>
              <w:t>$3.09</w:t>
            </w:r>
          </w:p>
        </w:tc>
      </w:tr>
      <w:tr w:rsidR="00BC7385" w:rsidRPr="00CC451D" w14:paraId="11C15DFD" w14:textId="77777777" w:rsidTr="00BC7385">
        <w:trPr>
          <w:trHeight w:val="300"/>
        </w:trPr>
        <w:tc>
          <w:tcPr>
            <w:tcW w:w="1350" w:type="dxa"/>
            <w:noWrap/>
            <w:vAlign w:val="center"/>
            <w:hideMark/>
          </w:tcPr>
          <w:p w14:paraId="4951D7C1" w14:textId="77777777" w:rsidR="00BC7385" w:rsidRPr="00CC451D" w:rsidRDefault="00BC7385" w:rsidP="00BC7385">
            <w:pPr>
              <w:rPr>
                <w:rFonts w:eastAsia="Times New Roman"/>
                <w:color w:val="000000"/>
                <w:sz w:val="22"/>
              </w:rPr>
            </w:pPr>
            <w:r w:rsidRPr="00CC451D">
              <w:rPr>
                <w:rFonts w:eastAsia="Times New Roman"/>
                <w:color w:val="000000"/>
                <w:sz w:val="22"/>
              </w:rPr>
              <w:t>Electricity</w:t>
            </w:r>
          </w:p>
        </w:tc>
        <w:tc>
          <w:tcPr>
            <w:tcW w:w="810" w:type="dxa"/>
            <w:tcBorders>
              <w:right w:val="nil"/>
            </w:tcBorders>
            <w:noWrap/>
            <w:vAlign w:val="center"/>
            <w:hideMark/>
          </w:tcPr>
          <w:p w14:paraId="63CED051" w14:textId="77777777" w:rsidR="00BC7385" w:rsidRPr="00CC451D" w:rsidRDefault="00BC7385" w:rsidP="00BC7385">
            <w:pPr>
              <w:jc w:val="right"/>
              <w:rPr>
                <w:rFonts w:eastAsia="Times New Roman"/>
                <w:color w:val="000000"/>
                <w:sz w:val="22"/>
              </w:rPr>
            </w:pPr>
            <w:r w:rsidRPr="00CC451D">
              <w:rPr>
                <w:rFonts w:eastAsia="Times New Roman"/>
                <w:color w:val="000000"/>
                <w:sz w:val="22"/>
              </w:rPr>
              <w:t>$0.13</w:t>
            </w:r>
          </w:p>
        </w:tc>
        <w:tc>
          <w:tcPr>
            <w:tcW w:w="720" w:type="dxa"/>
            <w:tcBorders>
              <w:left w:val="nil"/>
            </w:tcBorders>
            <w:noWrap/>
            <w:vAlign w:val="center"/>
            <w:hideMark/>
          </w:tcPr>
          <w:p w14:paraId="101A9F07" w14:textId="77777777" w:rsidR="00BC7385" w:rsidRPr="00CC451D" w:rsidRDefault="00BC7385" w:rsidP="00BC7385">
            <w:pPr>
              <w:rPr>
                <w:rFonts w:eastAsia="Times New Roman"/>
                <w:color w:val="000000"/>
                <w:sz w:val="22"/>
              </w:rPr>
            </w:pPr>
            <w:r w:rsidRPr="00CC451D">
              <w:rPr>
                <w:rFonts w:eastAsia="Times New Roman"/>
                <w:color w:val="000000"/>
                <w:sz w:val="22"/>
              </w:rPr>
              <w:t>kWh</w:t>
            </w:r>
          </w:p>
        </w:tc>
        <w:tc>
          <w:tcPr>
            <w:tcW w:w="990" w:type="dxa"/>
            <w:noWrap/>
            <w:vAlign w:val="center"/>
            <w:hideMark/>
          </w:tcPr>
          <w:p w14:paraId="68537CB9" w14:textId="77777777" w:rsidR="00BC7385" w:rsidRPr="00CC451D" w:rsidRDefault="00BC7385" w:rsidP="00BC7385">
            <w:pPr>
              <w:jc w:val="center"/>
              <w:rPr>
                <w:rFonts w:eastAsia="Times New Roman"/>
                <w:color w:val="000000"/>
                <w:sz w:val="22"/>
              </w:rPr>
            </w:pPr>
            <w:r w:rsidRPr="00CC451D">
              <w:rPr>
                <w:rFonts w:eastAsia="Times New Roman"/>
                <w:color w:val="000000"/>
                <w:sz w:val="22"/>
              </w:rPr>
              <w:t>$4.35</w:t>
            </w:r>
          </w:p>
        </w:tc>
        <w:tc>
          <w:tcPr>
            <w:tcW w:w="990" w:type="dxa"/>
            <w:noWrap/>
            <w:vAlign w:val="center"/>
            <w:hideMark/>
          </w:tcPr>
          <w:p w14:paraId="65E4B35A" w14:textId="77777777" w:rsidR="00BC7385" w:rsidRPr="00CC451D" w:rsidRDefault="00BC7385" w:rsidP="00BC7385">
            <w:pPr>
              <w:jc w:val="center"/>
              <w:rPr>
                <w:rFonts w:eastAsia="Times New Roman"/>
                <w:color w:val="000000"/>
                <w:sz w:val="22"/>
              </w:rPr>
            </w:pPr>
            <w:r w:rsidRPr="00CC451D">
              <w:rPr>
                <w:rFonts w:eastAsia="Times New Roman"/>
                <w:color w:val="000000"/>
                <w:sz w:val="22"/>
              </w:rPr>
              <w:t>$4.90</w:t>
            </w:r>
          </w:p>
        </w:tc>
      </w:tr>
    </w:tbl>
    <w:p w14:paraId="6A2E16B2" w14:textId="275C7D0D" w:rsidR="00930745" w:rsidRDefault="00930745" w:rsidP="00930745">
      <w:pPr>
        <w:pStyle w:val="Heading2"/>
      </w:pPr>
      <w:bookmarkStart w:id="101" w:name="_Toc482973567"/>
      <w:r>
        <w:t>Useful Lifetime</w:t>
      </w:r>
      <w:bookmarkEnd w:id="101"/>
    </w:p>
    <w:p w14:paraId="423F61AA" w14:textId="6720D2F6" w:rsidR="00987C9F" w:rsidRDefault="00930745" w:rsidP="00930745">
      <w:pPr>
        <w:pStyle w:val="BodyText"/>
      </w:pPr>
      <w:r>
        <w:t xml:space="preserve">In order to calculate cost effectiveness, capital costs need to be divided by the useful life of the truck or device. Useful lives used in the Tool are listed in </w:t>
      </w:r>
      <w:r w:rsidR="0060220A">
        <w:fldChar w:fldCharType="begin"/>
      </w:r>
      <w:r w:rsidR="0060220A">
        <w:instrText xml:space="preserve"> REF _Ref482972451 \h </w:instrText>
      </w:r>
      <w:r w:rsidR="0060220A">
        <w:fldChar w:fldCharType="separate"/>
      </w:r>
      <w:r w:rsidR="0060220A">
        <w:t>Table 28</w:t>
      </w:r>
      <w:r w:rsidR="0060220A">
        <w:fldChar w:fldCharType="end"/>
      </w:r>
      <w:r>
        <w:t>. Truck replacement lifetimes are used for alternative fuel (except drop-in fuels) and accelerated retirement strategies.</w:t>
      </w:r>
    </w:p>
    <w:p w14:paraId="25A41A4E" w14:textId="39AB9F65" w:rsidR="00930745" w:rsidRDefault="00305706" w:rsidP="00305706">
      <w:pPr>
        <w:pStyle w:val="TableCaption"/>
      </w:pPr>
      <w:bookmarkStart w:id="102" w:name="_Ref482972451"/>
      <w:bookmarkStart w:id="103" w:name="_Ref469999879"/>
      <w:bookmarkStart w:id="104" w:name="_Toc482973608"/>
      <w:r>
        <w:t xml:space="preserve">Table </w:t>
      </w:r>
      <w:r>
        <w:fldChar w:fldCharType="begin"/>
      </w:r>
      <w:r>
        <w:instrText xml:space="preserve"> SEQ Table \* ARABIC </w:instrText>
      </w:r>
      <w:r>
        <w:fldChar w:fldCharType="separate"/>
      </w:r>
      <w:r>
        <w:t>28</w:t>
      </w:r>
      <w:r>
        <w:fldChar w:fldCharType="end"/>
      </w:r>
      <w:bookmarkEnd w:id="102"/>
      <w:r>
        <w:t>: Useful Lifetimes</w:t>
      </w:r>
      <w:bookmarkEnd w:id="103"/>
      <w:bookmarkEnd w:id="104"/>
    </w:p>
    <w:tbl>
      <w:tblPr>
        <w:tblStyle w:val="TemplateTable"/>
        <w:tblW w:w="0" w:type="auto"/>
        <w:tblLook w:val="04A0" w:firstRow="1" w:lastRow="0" w:firstColumn="1" w:lastColumn="0" w:noHBand="0" w:noVBand="1"/>
      </w:tblPr>
      <w:tblGrid>
        <w:gridCol w:w="2155"/>
        <w:gridCol w:w="3150"/>
        <w:gridCol w:w="900"/>
      </w:tblGrid>
      <w:tr w:rsidR="00930745" w14:paraId="3320BB64" w14:textId="6F38D2C0" w:rsidTr="007D3F70">
        <w:trPr>
          <w:cnfStyle w:val="100000000000" w:firstRow="1" w:lastRow="0" w:firstColumn="0" w:lastColumn="0" w:oddVBand="0" w:evenVBand="0" w:oddHBand="0" w:evenHBand="0" w:firstRowFirstColumn="0" w:firstRowLastColumn="0" w:lastRowFirstColumn="0" w:lastRowLastColumn="0"/>
          <w:trHeight w:val="259"/>
        </w:trPr>
        <w:tc>
          <w:tcPr>
            <w:tcW w:w="2155" w:type="dxa"/>
            <w:tcBorders>
              <w:bottom w:val="single" w:sz="4" w:space="0" w:color="0070C0"/>
            </w:tcBorders>
          </w:tcPr>
          <w:p w14:paraId="31592978" w14:textId="37B9CDA6" w:rsidR="00930745" w:rsidRPr="00613C1C" w:rsidRDefault="007D3F70" w:rsidP="00930745">
            <w:pPr>
              <w:rPr>
                <w:szCs w:val="20"/>
              </w:rPr>
            </w:pPr>
            <w:r>
              <w:rPr>
                <w:szCs w:val="20"/>
              </w:rPr>
              <w:t>Strategy</w:t>
            </w:r>
          </w:p>
        </w:tc>
        <w:tc>
          <w:tcPr>
            <w:tcW w:w="3150" w:type="dxa"/>
            <w:tcBorders>
              <w:bottom w:val="single" w:sz="4" w:space="0" w:color="0070C0"/>
            </w:tcBorders>
          </w:tcPr>
          <w:p w14:paraId="4498C094" w14:textId="729A7CB8" w:rsidR="00930745" w:rsidRPr="00613C1C" w:rsidRDefault="007D3F70" w:rsidP="00930745">
            <w:pPr>
              <w:rPr>
                <w:szCs w:val="20"/>
              </w:rPr>
            </w:pPr>
            <w:r>
              <w:rPr>
                <w:szCs w:val="20"/>
              </w:rPr>
              <w:t>Type</w:t>
            </w:r>
          </w:p>
        </w:tc>
        <w:tc>
          <w:tcPr>
            <w:tcW w:w="900" w:type="dxa"/>
            <w:tcBorders>
              <w:bottom w:val="single" w:sz="4" w:space="0" w:color="0070C0"/>
            </w:tcBorders>
          </w:tcPr>
          <w:p w14:paraId="71FA06F5" w14:textId="27399BED" w:rsidR="00930745" w:rsidRPr="00613C1C" w:rsidRDefault="00930745" w:rsidP="00930745">
            <w:pPr>
              <w:rPr>
                <w:szCs w:val="20"/>
              </w:rPr>
            </w:pPr>
            <w:r>
              <w:rPr>
                <w:szCs w:val="20"/>
              </w:rPr>
              <w:t>Useful Life (yrs)</w:t>
            </w:r>
          </w:p>
        </w:tc>
      </w:tr>
      <w:tr w:rsidR="00930745" w14:paraId="20EC2894" w14:textId="1FE9E4E9" w:rsidTr="007D3F70">
        <w:trPr>
          <w:trHeight w:val="259"/>
        </w:trPr>
        <w:tc>
          <w:tcPr>
            <w:tcW w:w="2155" w:type="dxa"/>
            <w:vMerge w:val="restart"/>
            <w:tcBorders>
              <w:top w:val="single" w:sz="4" w:space="0" w:color="0070C0"/>
              <w:left w:val="single" w:sz="4" w:space="0" w:color="0070C0"/>
              <w:bottom w:val="single" w:sz="4" w:space="0" w:color="0070C0"/>
              <w:right w:val="single" w:sz="4" w:space="0" w:color="0070C0"/>
            </w:tcBorders>
            <w:vAlign w:val="center"/>
          </w:tcPr>
          <w:p w14:paraId="09C1CC10" w14:textId="59374B0F" w:rsidR="00930745" w:rsidRPr="00613C1C" w:rsidRDefault="00930745" w:rsidP="00930745">
            <w:pPr>
              <w:ind w:left="27"/>
              <w:textAlignment w:val="center"/>
              <w:rPr>
                <w:szCs w:val="20"/>
              </w:rPr>
            </w:pPr>
            <w:r>
              <w:rPr>
                <w:rFonts w:eastAsia="Times New Roman"/>
                <w:color w:val="000000"/>
                <w:szCs w:val="20"/>
              </w:rPr>
              <w:t>Truck Replacement</w:t>
            </w:r>
          </w:p>
        </w:tc>
        <w:tc>
          <w:tcPr>
            <w:tcW w:w="3150" w:type="dxa"/>
            <w:tcBorders>
              <w:top w:val="single" w:sz="4" w:space="0" w:color="0070C0"/>
              <w:left w:val="single" w:sz="4" w:space="0" w:color="0070C0"/>
              <w:bottom w:val="single" w:sz="4" w:space="0" w:color="0070C0"/>
              <w:right w:val="single" w:sz="4" w:space="0" w:color="0070C0"/>
            </w:tcBorders>
            <w:vAlign w:val="center"/>
          </w:tcPr>
          <w:p w14:paraId="6ABE4865" w14:textId="76643874" w:rsidR="00930745" w:rsidRPr="00613C1C" w:rsidRDefault="00930745" w:rsidP="00930745">
            <w:pPr>
              <w:rPr>
                <w:szCs w:val="20"/>
              </w:rPr>
            </w:pPr>
            <w:r>
              <w:rPr>
                <w:rFonts w:eastAsia="Times New Roman"/>
                <w:color w:val="000000"/>
                <w:szCs w:val="20"/>
              </w:rPr>
              <w:t>Single Unit Short Haul Trucks</w:t>
            </w:r>
          </w:p>
        </w:tc>
        <w:tc>
          <w:tcPr>
            <w:tcW w:w="900" w:type="dxa"/>
            <w:tcBorders>
              <w:top w:val="single" w:sz="4" w:space="0" w:color="0070C0"/>
              <w:left w:val="single" w:sz="4" w:space="0" w:color="0070C0"/>
              <w:bottom w:val="single" w:sz="4" w:space="0" w:color="0070C0"/>
              <w:right w:val="single" w:sz="4" w:space="0" w:color="0070C0"/>
            </w:tcBorders>
            <w:vAlign w:val="center"/>
          </w:tcPr>
          <w:p w14:paraId="6AFF7484" w14:textId="1EDE49C7" w:rsidR="00930745" w:rsidRDefault="007D3F70" w:rsidP="007D3F70">
            <w:pPr>
              <w:jc w:val="center"/>
              <w:rPr>
                <w:rFonts w:eastAsia="Times New Roman"/>
                <w:color w:val="000000"/>
                <w:szCs w:val="20"/>
              </w:rPr>
            </w:pPr>
            <w:r>
              <w:rPr>
                <w:rFonts w:eastAsia="Times New Roman"/>
                <w:color w:val="000000"/>
                <w:szCs w:val="20"/>
              </w:rPr>
              <w:t>8</w:t>
            </w:r>
          </w:p>
        </w:tc>
      </w:tr>
      <w:tr w:rsidR="00930745" w14:paraId="25851D35" w14:textId="6525DCCB" w:rsidTr="007D3F70">
        <w:trPr>
          <w:trHeight w:val="259"/>
        </w:trPr>
        <w:tc>
          <w:tcPr>
            <w:tcW w:w="2155" w:type="dxa"/>
            <w:vMerge/>
            <w:tcBorders>
              <w:top w:val="single" w:sz="4" w:space="0" w:color="0070C0"/>
              <w:left w:val="single" w:sz="4" w:space="0" w:color="0070C0"/>
              <w:bottom w:val="single" w:sz="4" w:space="0" w:color="0070C0"/>
              <w:right w:val="single" w:sz="4" w:space="0" w:color="0070C0"/>
            </w:tcBorders>
            <w:vAlign w:val="center"/>
          </w:tcPr>
          <w:p w14:paraId="1EDD8019" w14:textId="77777777" w:rsidR="00930745" w:rsidRPr="00613C1C" w:rsidRDefault="00930745" w:rsidP="00930745">
            <w:pPr>
              <w:rPr>
                <w:szCs w:val="20"/>
              </w:rPr>
            </w:pPr>
          </w:p>
        </w:tc>
        <w:tc>
          <w:tcPr>
            <w:tcW w:w="3150" w:type="dxa"/>
            <w:tcBorders>
              <w:top w:val="single" w:sz="4" w:space="0" w:color="0070C0"/>
              <w:left w:val="single" w:sz="4" w:space="0" w:color="0070C0"/>
              <w:bottom w:val="single" w:sz="4" w:space="0" w:color="0070C0"/>
              <w:right w:val="single" w:sz="4" w:space="0" w:color="0070C0"/>
            </w:tcBorders>
            <w:vAlign w:val="center"/>
          </w:tcPr>
          <w:p w14:paraId="3287F9C1" w14:textId="2F2E8C1C" w:rsidR="00930745" w:rsidRPr="00613C1C" w:rsidRDefault="00930745" w:rsidP="00930745">
            <w:pPr>
              <w:rPr>
                <w:szCs w:val="20"/>
              </w:rPr>
            </w:pPr>
            <w:r>
              <w:rPr>
                <w:rFonts w:eastAsia="Times New Roman"/>
                <w:color w:val="000000"/>
                <w:szCs w:val="20"/>
              </w:rPr>
              <w:t>Single Unit Long Haul Trucks</w:t>
            </w:r>
          </w:p>
        </w:tc>
        <w:tc>
          <w:tcPr>
            <w:tcW w:w="900" w:type="dxa"/>
            <w:tcBorders>
              <w:top w:val="single" w:sz="4" w:space="0" w:color="0070C0"/>
              <w:left w:val="single" w:sz="4" w:space="0" w:color="0070C0"/>
              <w:bottom w:val="single" w:sz="4" w:space="0" w:color="0070C0"/>
              <w:right w:val="single" w:sz="4" w:space="0" w:color="0070C0"/>
            </w:tcBorders>
            <w:vAlign w:val="center"/>
          </w:tcPr>
          <w:p w14:paraId="789446DD" w14:textId="50C11901" w:rsidR="00930745" w:rsidRDefault="007D3F70" w:rsidP="007D3F70">
            <w:pPr>
              <w:jc w:val="center"/>
              <w:rPr>
                <w:rFonts w:eastAsia="Times New Roman"/>
                <w:color w:val="000000"/>
                <w:szCs w:val="20"/>
              </w:rPr>
            </w:pPr>
            <w:r>
              <w:rPr>
                <w:rFonts w:eastAsia="Times New Roman"/>
                <w:color w:val="000000"/>
                <w:szCs w:val="20"/>
              </w:rPr>
              <w:t>10</w:t>
            </w:r>
          </w:p>
        </w:tc>
      </w:tr>
      <w:tr w:rsidR="00930745" w14:paraId="1199A1DF" w14:textId="6B6F746F" w:rsidTr="007D3F70">
        <w:trPr>
          <w:trHeight w:val="259"/>
        </w:trPr>
        <w:tc>
          <w:tcPr>
            <w:tcW w:w="2155" w:type="dxa"/>
            <w:vMerge/>
            <w:tcBorders>
              <w:top w:val="single" w:sz="4" w:space="0" w:color="0070C0"/>
              <w:left w:val="single" w:sz="4" w:space="0" w:color="0070C0"/>
              <w:bottom w:val="single" w:sz="4" w:space="0" w:color="0070C0"/>
              <w:right w:val="single" w:sz="4" w:space="0" w:color="0070C0"/>
            </w:tcBorders>
            <w:vAlign w:val="center"/>
          </w:tcPr>
          <w:p w14:paraId="7EBE47A7" w14:textId="77777777" w:rsidR="00930745" w:rsidRPr="00613C1C" w:rsidRDefault="00930745" w:rsidP="00930745">
            <w:pPr>
              <w:rPr>
                <w:szCs w:val="20"/>
              </w:rPr>
            </w:pPr>
          </w:p>
        </w:tc>
        <w:tc>
          <w:tcPr>
            <w:tcW w:w="3150" w:type="dxa"/>
            <w:tcBorders>
              <w:top w:val="single" w:sz="4" w:space="0" w:color="0070C0"/>
              <w:left w:val="single" w:sz="4" w:space="0" w:color="0070C0"/>
              <w:bottom w:val="single" w:sz="4" w:space="0" w:color="0070C0"/>
              <w:right w:val="single" w:sz="4" w:space="0" w:color="0070C0"/>
            </w:tcBorders>
            <w:vAlign w:val="center"/>
          </w:tcPr>
          <w:p w14:paraId="64CFC3DB" w14:textId="506820E1" w:rsidR="00930745" w:rsidRPr="00613C1C" w:rsidRDefault="00930745" w:rsidP="00930745">
            <w:pPr>
              <w:rPr>
                <w:szCs w:val="20"/>
              </w:rPr>
            </w:pPr>
            <w:r>
              <w:rPr>
                <w:rFonts w:eastAsia="Times New Roman"/>
                <w:color w:val="000000"/>
                <w:szCs w:val="20"/>
              </w:rPr>
              <w:t>Combination Short Haul Trucks</w:t>
            </w:r>
          </w:p>
        </w:tc>
        <w:tc>
          <w:tcPr>
            <w:tcW w:w="900" w:type="dxa"/>
            <w:tcBorders>
              <w:top w:val="single" w:sz="4" w:space="0" w:color="0070C0"/>
              <w:left w:val="single" w:sz="4" w:space="0" w:color="0070C0"/>
              <w:bottom w:val="single" w:sz="4" w:space="0" w:color="0070C0"/>
              <w:right w:val="single" w:sz="4" w:space="0" w:color="0070C0"/>
            </w:tcBorders>
            <w:vAlign w:val="center"/>
          </w:tcPr>
          <w:p w14:paraId="2DD2B2BF" w14:textId="1AE920AB" w:rsidR="00930745" w:rsidRDefault="007D3F70" w:rsidP="007D3F70">
            <w:pPr>
              <w:jc w:val="center"/>
              <w:rPr>
                <w:rFonts w:eastAsia="Times New Roman"/>
                <w:color w:val="000000"/>
                <w:szCs w:val="20"/>
              </w:rPr>
            </w:pPr>
            <w:r>
              <w:rPr>
                <w:rFonts w:eastAsia="Times New Roman"/>
                <w:color w:val="000000"/>
                <w:szCs w:val="20"/>
              </w:rPr>
              <w:t>12</w:t>
            </w:r>
          </w:p>
        </w:tc>
      </w:tr>
      <w:tr w:rsidR="00930745" w14:paraId="47520CC1" w14:textId="07201CF0" w:rsidTr="007D3F70">
        <w:trPr>
          <w:trHeight w:val="259"/>
        </w:trPr>
        <w:tc>
          <w:tcPr>
            <w:tcW w:w="2155" w:type="dxa"/>
            <w:vMerge/>
            <w:tcBorders>
              <w:top w:val="single" w:sz="4" w:space="0" w:color="0070C0"/>
              <w:left w:val="single" w:sz="4" w:space="0" w:color="0070C0"/>
              <w:bottom w:val="single" w:sz="4" w:space="0" w:color="0070C0"/>
              <w:right w:val="single" w:sz="4" w:space="0" w:color="0070C0"/>
            </w:tcBorders>
            <w:vAlign w:val="center"/>
          </w:tcPr>
          <w:p w14:paraId="4DE39E69" w14:textId="77777777" w:rsidR="00930745" w:rsidRPr="00613C1C" w:rsidRDefault="00930745" w:rsidP="00930745">
            <w:pPr>
              <w:rPr>
                <w:szCs w:val="20"/>
              </w:rPr>
            </w:pPr>
          </w:p>
        </w:tc>
        <w:tc>
          <w:tcPr>
            <w:tcW w:w="3150" w:type="dxa"/>
            <w:tcBorders>
              <w:top w:val="single" w:sz="4" w:space="0" w:color="0070C0"/>
              <w:left w:val="single" w:sz="4" w:space="0" w:color="0070C0"/>
              <w:bottom w:val="single" w:sz="4" w:space="0" w:color="0070C0"/>
              <w:right w:val="single" w:sz="4" w:space="0" w:color="0070C0"/>
            </w:tcBorders>
            <w:vAlign w:val="center"/>
          </w:tcPr>
          <w:p w14:paraId="3040F70A" w14:textId="74A8E470" w:rsidR="00930745" w:rsidRPr="00613C1C" w:rsidRDefault="00930745" w:rsidP="00930745">
            <w:pPr>
              <w:rPr>
                <w:szCs w:val="20"/>
              </w:rPr>
            </w:pPr>
            <w:r>
              <w:rPr>
                <w:rFonts w:eastAsia="Times New Roman"/>
                <w:color w:val="000000"/>
                <w:szCs w:val="20"/>
              </w:rPr>
              <w:t>Combination Long Haul Trucks</w:t>
            </w:r>
          </w:p>
        </w:tc>
        <w:tc>
          <w:tcPr>
            <w:tcW w:w="900" w:type="dxa"/>
            <w:tcBorders>
              <w:top w:val="single" w:sz="4" w:space="0" w:color="0070C0"/>
              <w:left w:val="single" w:sz="4" w:space="0" w:color="0070C0"/>
              <w:bottom w:val="single" w:sz="4" w:space="0" w:color="0070C0"/>
              <w:right w:val="single" w:sz="4" w:space="0" w:color="0070C0"/>
            </w:tcBorders>
            <w:vAlign w:val="center"/>
          </w:tcPr>
          <w:p w14:paraId="7602C49A" w14:textId="7C9709C6" w:rsidR="00930745" w:rsidRDefault="007D3F70" w:rsidP="007D3F70">
            <w:pPr>
              <w:jc w:val="center"/>
              <w:rPr>
                <w:rFonts w:eastAsia="Times New Roman"/>
                <w:color w:val="000000"/>
                <w:szCs w:val="20"/>
              </w:rPr>
            </w:pPr>
            <w:r>
              <w:rPr>
                <w:rFonts w:eastAsia="Times New Roman"/>
                <w:color w:val="000000"/>
                <w:szCs w:val="20"/>
              </w:rPr>
              <w:t>12</w:t>
            </w:r>
          </w:p>
        </w:tc>
      </w:tr>
      <w:tr w:rsidR="00930745" w14:paraId="649C561A" w14:textId="633D4898" w:rsidTr="007D3F70">
        <w:trPr>
          <w:trHeight w:val="259"/>
        </w:trPr>
        <w:tc>
          <w:tcPr>
            <w:tcW w:w="5305" w:type="dxa"/>
            <w:gridSpan w:val="2"/>
            <w:tcBorders>
              <w:top w:val="single" w:sz="4" w:space="0" w:color="0070C0"/>
              <w:left w:val="single" w:sz="4" w:space="0" w:color="0070C0"/>
              <w:bottom w:val="single" w:sz="4" w:space="0" w:color="0070C0"/>
              <w:right w:val="single" w:sz="4" w:space="0" w:color="0070C0"/>
            </w:tcBorders>
            <w:vAlign w:val="center"/>
          </w:tcPr>
          <w:p w14:paraId="5B9E57D4" w14:textId="13225795" w:rsidR="00930745" w:rsidRPr="00613C1C" w:rsidRDefault="00930745" w:rsidP="00930745">
            <w:pPr>
              <w:rPr>
                <w:szCs w:val="20"/>
              </w:rPr>
            </w:pPr>
            <w:r>
              <w:rPr>
                <w:szCs w:val="20"/>
              </w:rPr>
              <w:t>Exhaust Retrofit</w:t>
            </w:r>
          </w:p>
        </w:tc>
        <w:tc>
          <w:tcPr>
            <w:tcW w:w="900" w:type="dxa"/>
            <w:tcBorders>
              <w:top w:val="single" w:sz="4" w:space="0" w:color="0070C0"/>
              <w:left w:val="single" w:sz="4" w:space="0" w:color="0070C0"/>
              <w:bottom w:val="single" w:sz="4" w:space="0" w:color="0070C0"/>
              <w:right w:val="single" w:sz="4" w:space="0" w:color="0070C0"/>
            </w:tcBorders>
            <w:vAlign w:val="center"/>
          </w:tcPr>
          <w:p w14:paraId="4116EAC7" w14:textId="495EDFF9" w:rsidR="00930745" w:rsidRPr="00613C1C" w:rsidRDefault="007D3F70" w:rsidP="007D3F70">
            <w:pPr>
              <w:jc w:val="center"/>
              <w:rPr>
                <w:rFonts w:eastAsia="Times New Roman"/>
                <w:color w:val="000000"/>
                <w:szCs w:val="20"/>
              </w:rPr>
            </w:pPr>
            <w:r>
              <w:rPr>
                <w:rFonts w:eastAsia="Times New Roman"/>
                <w:color w:val="000000"/>
                <w:szCs w:val="20"/>
              </w:rPr>
              <w:t>5</w:t>
            </w:r>
          </w:p>
        </w:tc>
      </w:tr>
      <w:tr w:rsidR="00930745" w14:paraId="650294E6" w14:textId="77777777" w:rsidTr="007D3F70">
        <w:trPr>
          <w:trHeight w:val="259"/>
        </w:trPr>
        <w:tc>
          <w:tcPr>
            <w:tcW w:w="5305" w:type="dxa"/>
            <w:gridSpan w:val="2"/>
            <w:tcBorders>
              <w:top w:val="single" w:sz="4" w:space="0" w:color="0070C0"/>
              <w:left w:val="single" w:sz="4" w:space="0" w:color="0070C0"/>
              <w:bottom w:val="single" w:sz="4" w:space="0" w:color="0070C0"/>
              <w:right w:val="single" w:sz="4" w:space="0" w:color="0070C0"/>
            </w:tcBorders>
            <w:vAlign w:val="center"/>
          </w:tcPr>
          <w:p w14:paraId="587A6D6A" w14:textId="2F1736F7" w:rsidR="00930745" w:rsidRDefault="00930745" w:rsidP="00930745">
            <w:pPr>
              <w:rPr>
                <w:szCs w:val="20"/>
              </w:rPr>
            </w:pPr>
            <w:r>
              <w:rPr>
                <w:szCs w:val="20"/>
              </w:rPr>
              <w:t>Aerodynamic Devices</w:t>
            </w:r>
          </w:p>
        </w:tc>
        <w:tc>
          <w:tcPr>
            <w:tcW w:w="900" w:type="dxa"/>
            <w:tcBorders>
              <w:top w:val="single" w:sz="4" w:space="0" w:color="0070C0"/>
              <w:left w:val="single" w:sz="4" w:space="0" w:color="0070C0"/>
              <w:bottom w:val="single" w:sz="4" w:space="0" w:color="0070C0"/>
              <w:right w:val="single" w:sz="4" w:space="0" w:color="0070C0"/>
            </w:tcBorders>
            <w:vAlign w:val="center"/>
          </w:tcPr>
          <w:p w14:paraId="6BC44E73" w14:textId="57C334CA" w:rsidR="00930745" w:rsidRPr="00613C1C" w:rsidRDefault="007D3F70" w:rsidP="007D3F70">
            <w:pPr>
              <w:jc w:val="center"/>
              <w:rPr>
                <w:rFonts w:eastAsia="Times New Roman"/>
                <w:color w:val="000000"/>
                <w:szCs w:val="20"/>
              </w:rPr>
            </w:pPr>
            <w:r>
              <w:rPr>
                <w:rFonts w:eastAsia="Times New Roman"/>
                <w:color w:val="000000"/>
                <w:szCs w:val="20"/>
              </w:rPr>
              <w:t>5</w:t>
            </w:r>
          </w:p>
        </w:tc>
      </w:tr>
      <w:tr w:rsidR="00930745" w14:paraId="7B226E1E" w14:textId="77777777" w:rsidTr="007D3F70">
        <w:trPr>
          <w:trHeight w:val="259"/>
        </w:trPr>
        <w:tc>
          <w:tcPr>
            <w:tcW w:w="2155" w:type="dxa"/>
            <w:vMerge w:val="restart"/>
            <w:tcBorders>
              <w:top w:val="single" w:sz="4" w:space="0" w:color="0070C0"/>
              <w:left w:val="single" w:sz="4" w:space="0" w:color="0070C0"/>
              <w:bottom w:val="single" w:sz="4" w:space="0" w:color="0070C0"/>
              <w:right w:val="single" w:sz="4" w:space="0" w:color="0070C0"/>
            </w:tcBorders>
            <w:vAlign w:val="center"/>
          </w:tcPr>
          <w:p w14:paraId="290AA2C9" w14:textId="537A5855" w:rsidR="00930745" w:rsidRPr="00613C1C" w:rsidRDefault="00930745" w:rsidP="00930745">
            <w:pPr>
              <w:ind w:left="27"/>
              <w:textAlignment w:val="center"/>
              <w:rPr>
                <w:szCs w:val="20"/>
              </w:rPr>
            </w:pPr>
            <w:r>
              <w:rPr>
                <w:rFonts w:eastAsia="Times New Roman"/>
                <w:color w:val="000000"/>
                <w:szCs w:val="20"/>
              </w:rPr>
              <w:t>Tires</w:t>
            </w:r>
          </w:p>
        </w:tc>
        <w:tc>
          <w:tcPr>
            <w:tcW w:w="3150" w:type="dxa"/>
            <w:tcBorders>
              <w:top w:val="single" w:sz="4" w:space="0" w:color="0070C0"/>
              <w:left w:val="single" w:sz="4" w:space="0" w:color="0070C0"/>
              <w:bottom w:val="single" w:sz="4" w:space="0" w:color="0070C0"/>
              <w:right w:val="single" w:sz="4" w:space="0" w:color="0070C0"/>
            </w:tcBorders>
            <w:vAlign w:val="center"/>
          </w:tcPr>
          <w:p w14:paraId="1813B03F" w14:textId="469690D1" w:rsidR="00930745" w:rsidRPr="00613C1C" w:rsidRDefault="00930745" w:rsidP="00930745">
            <w:pPr>
              <w:rPr>
                <w:szCs w:val="20"/>
              </w:rPr>
            </w:pPr>
            <w:r>
              <w:rPr>
                <w:rFonts w:eastAsia="Times New Roman"/>
                <w:color w:val="000000"/>
                <w:szCs w:val="20"/>
              </w:rPr>
              <w:t>Single Wide Tires</w:t>
            </w:r>
          </w:p>
        </w:tc>
        <w:tc>
          <w:tcPr>
            <w:tcW w:w="900" w:type="dxa"/>
            <w:tcBorders>
              <w:top w:val="single" w:sz="4" w:space="0" w:color="0070C0"/>
              <w:left w:val="single" w:sz="4" w:space="0" w:color="0070C0"/>
              <w:bottom w:val="single" w:sz="4" w:space="0" w:color="0070C0"/>
              <w:right w:val="single" w:sz="4" w:space="0" w:color="0070C0"/>
            </w:tcBorders>
            <w:vAlign w:val="center"/>
          </w:tcPr>
          <w:p w14:paraId="465D0F58" w14:textId="76CD0158" w:rsidR="00930745" w:rsidRDefault="007D3F70" w:rsidP="007D3F70">
            <w:pPr>
              <w:jc w:val="center"/>
              <w:rPr>
                <w:rFonts w:eastAsia="Times New Roman"/>
                <w:color w:val="000000"/>
                <w:szCs w:val="20"/>
              </w:rPr>
            </w:pPr>
            <w:r>
              <w:rPr>
                <w:rFonts w:eastAsia="Times New Roman"/>
                <w:color w:val="000000"/>
                <w:szCs w:val="20"/>
              </w:rPr>
              <w:t>3</w:t>
            </w:r>
          </w:p>
        </w:tc>
      </w:tr>
      <w:tr w:rsidR="00930745" w14:paraId="3A7E4C06" w14:textId="77777777" w:rsidTr="007D3F70">
        <w:trPr>
          <w:trHeight w:val="259"/>
        </w:trPr>
        <w:tc>
          <w:tcPr>
            <w:tcW w:w="2155" w:type="dxa"/>
            <w:vMerge/>
            <w:tcBorders>
              <w:top w:val="single" w:sz="4" w:space="0" w:color="0070C0"/>
              <w:left w:val="single" w:sz="4" w:space="0" w:color="0070C0"/>
              <w:bottom w:val="single" w:sz="4" w:space="0" w:color="0070C0"/>
              <w:right w:val="single" w:sz="4" w:space="0" w:color="0070C0"/>
            </w:tcBorders>
            <w:vAlign w:val="center"/>
          </w:tcPr>
          <w:p w14:paraId="72E77C37" w14:textId="77777777" w:rsidR="00930745" w:rsidRPr="00613C1C" w:rsidRDefault="00930745" w:rsidP="00930745">
            <w:pPr>
              <w:rPr>
                <w:szCs w:val="20"/>
              </w:rPr>
            </w:pPr>
          </w:p>
        </w:tc>
        <w:tc>
          <w:tcPr>
            <w:tcW w:w="3150" w:type="dxa"/>
            <w:tcBorders>
              <w:top w:val="single" w:sz="4" w:space="0" w:color="0070C0"/>
              <w:left w:val="single" w:sz="4" w:space="0" w:color="0070C0"/>
              <w:bottom w:val="single" w:sz="4" w:space="0" w:color="0070C0"/>
              <w:right w:val="single" w:sz="4" w:space="0" w:color="0070C0"/>
            </w:tcBorders>
            <w:vAlign w:val="center"/>
          </w:tcPr>
          <w:p w14:paraId="35954BFB" w14:textId="0CBA4468" w:rsidR="00930745" w:rsidRPr="00613C1C" w:rsidRDefault="00930745" w:rsidP="00930745">
            <w:pPr>
              <w:rPr>
                <w:szCs w:val="20"/>
              </w:rPr>
            </w:pPr>
            <w:r>
              <w:rPr>
                <w:rFonts w:eastAsia="Times New Roman"/>
                <w:color w:val="000000"/>
                <w:szCs w:val="20"/>
              </w:rPr>
              <w:t>Low Rolling Resistant Tires</w:t>
            </w:r>
          </w:p>
        </w:tc>
        <w:tc>
          <w:tcPr>
            <w:tcW w:w="900" w:type="dxa"/>
            <w:tcBorders>
              <w:top w:val="single" w:sz="4" w:space="0" w:color="0070C0"/>
              <w:left w:val="single" w:sz="4" w:space="0" w:color="0070C0"/>
              <w:bottom w:val="single" w:sz="4" w:space="0" w:color="0070C0"/>
              <w:right w:val="single" w:sz="4" w:space="0" w:color="0070C0"/>
            </w:tcBorders>
            <w:vAlign w:val="center"/>
          </w:tcPr>
          <w:p w14:paraId="3B90BBB8" w14:textId="31B9969D" w:rsidR="00930745" w:rsidRDefault="007D3F70" w:rsidP="007D3F70">
            <w:pPr>
              <w:jc w:val="center"/>
              <w:rPr>
                <w:rFonts w:eastAsia="Times New Roman"/>
                <w:color w:val="000000"/>
                <w:szCs w:val="20"/>
              </w:rPr>
            </w:pPr>
            <w:r>
              <w:rPr>
                <w:rFonts w:eastAsia="Times New Roman"/>
                <w:color w:val="000000"/>
                <w:szCs w:val="20"/>
              </w:rPr>
              <w:t>3</w:t>
            </w:r>
          </w:p>
        </w:tc>
      </w:tr>
      <w:tr w:rsidR="00930745" w14:paraId="0470BD74" w14:textId="77777777" w:rsidTr="007D3F70">
        <w:trPr>
          <w:trHeight w:val="259"/>
        </w:trPr>
        <w:tc>
          <w:tcPr>
            <w:tcW w:w="2155" w:type="dxa"/>
            <w:vMerge/>
            <w:tcBorders>
              <w:top w:val="single" w:sz="4" w:space="0" w:color="0070C0"/>
              <w:left w:val="single" w:sz="4" w:space="0" w:color="0070C0"/>
              <w:bottom w:val="single" w:sz="4" w:space="0" w:color="0070C0"/>
              <w:right w:val="single" w:sz="4" w:space="0" w:color="0070C0"/>
            </w:tcBorders>
            <w:vAlign w:val="center"/>
          </w:tcPr>
          <w:p w14:paraId="1A375547" w14:textId="77777777" w:rsidR="00930745" w:rsidRPr="00613C1C" w:rsidRDefault="00930745" w:rsidP="00930745">
            <w:pPr>
              <w:rPr>
                <w:szCs w:val="20"/>
              </w:rPr>
            </w:pPr>
          </w:p>
        </w:tc>
        <w:tc>
          <w:tcPr>
            <w:tcW w:w="3150" w:type="dxa"/>
            <w:tcBorders>
              <w:top w:val="single" w:sz="4" w:space="0" w:color="0070C0"/>
              <w:left w:val="single" w:sz="4" w:space="0" w:color="0070C0"/>
              <w:bottom w:val="single" w:sz="4" w:space="0" w:color="0070C0"/>
              <w:right w:val="single" w:sz="4" w:space="0" w:color="0070C0"/>
            </w:tcBorders>
            <w:vAlign w:val="center"/>
          </w:tcPr>
          <w:p w14:paraId="57CF4920" w14:textId="7B684506" w:rsidR="00930745" w:rsidRPr="00613C1C" w:rsidRDefault="00930745" w:rsidP="00930745">
            <w:pPr>
              <w:rPr>
                <w:szCs w:val="20"/>
              </w:rPr>
            </w:pPr>
            <w:r>
              <w:rPr>
                <w:rFonts w:eastAsia="Times New Roman"/>
                <w:color w:val="000000"/>
                <w:szCs w:val="20"/>
              </w:rPr>
              <w:t xml:space="preserve">Tire Pressure </w:t>
            </w:r>
            <w:r w:rsidR="007D3F70">
              <w:rPr>
                <w:rFonts w:eastAsia="Times New Roman"/>
                <w:color w:val="000000"/>
                <w:szCs w:val="20"/>
              </w:rPr>
              <w:t xml:space="preserve">Monitoring </w:t>
            </w:r>
            <w:r>
              <w:rPr>
                <w:rFonts w:eastAsia="Times New Roman"/>
                <w:color w:val="000000"/>
                <w:szCs w:val="20"/>
              </w:rPr>
              <w:t>Systems</w:t>
            </w:r>
          </w:p>
        </w:tc>
        <w:tc>
          <w:tcPr>
            <w:tcW w:w="900" w:type="dxa"/>
            <w:tcBorders>
              <w:top w:val="single" w:sz="4" w:space="0" w:color="0070C0"/>
              <w:left w:val="single" w:sz="4" w:space="0" w:color="0070C0"/>
              <w:bottom w:val="single" w:sz="4" w:space="0" w:color="0070C0"/>
              <w:right w:val="single" w:sz="4" w:space="0" w:color="0070C0"/>
            </w:tcBorders>
            <w:vAlign w:val="center"/>
          </w:tcPr>
          <w:p w14:paraId="463543A4" w14:textId="37D3D270" w:rsidR="00930745" w:rsidRDefault="007D3F70" w:rsidP="007D3F70">
            <w:pPr>
              <w:jc w:val="center"/>
              <w:rPr>
                <w:rFonts w:eastAsia="Times New Roman"/>
                <w:color w:val="000000"/>
                <w:szCs w:val="20"/>
              </w:rPr>
            </w:pPr>
            <w:r>
              <w:rPr>
                <w:rFonts w:eastAsia="Times New Roman"/>
                <w:color w:val="000000"/>
                <w:szCs w:val="20"/>
              </w:rPr>
              <w:t>5</w:t>
            </w:r>
          </w:p>
        </w:tc>
      </w:tr>
      <w:tr w:rsidR="00930745" w14:paraId="4C0C05AB" w14:textId="77777777" w:rsidTr="007D3F70">
        <w:trPr>
          <w:trHeight w:val="259"/>
        </w:trPr>
        <w:tc>
          <w:tcPr>
            <w:tcW w:w="5305" w:type="dxa"/>
            <w:gridSpan w:val="2"/>
            <w:tcBorders>
              <w:top w:val="single" w:sz="4" w:space="0" w:color="0070C0"/>
              <w:left w:val="single" w:sz="4" w:space="0" w:color="0070C0"/>
              <w:bottom w:val="single" w:sz="4" w:space="0" w:color="0070C0"/>
              <w:right w:val="single" w:sz="4" w:space="0" w:color="0070C0"/>
            </w:tcBorders>
            <w:vAlign w:val="center"/>
          </w:tcPr>
          <w:p w14:paraId="6E22E969" w14:textId="651CD9D9" w:rsidR="00930745" w:rsidRDefault="007D3F70" w:rsidP="00930745">
            <w:pPr>
              <w:rPr>
                <w:szCs w:val="20"/>
              </w:rPr>
            </w:pPr>
            <w:r>
              <w:rPr>
                <w:szCs w:val="20"/>
              </w:rPr>
              <w:t>Idle Reduction</w:t>
            </w:r>
          </w:p>
        </w:tc>
        <w:tc>
          <w:tcPr>
            <w:tcW w:w="900" w:type="dxa"/>
            <w:tcBorders>
              <w:top w:val="single" w:sz="4" w:space="0" w:color="0070C0"/>
              <w:left w:val="single" w:sz="4" w:space="0" w:color="0070C0"/>
              <w:bottom w:val="single" w:sz="4" w:space="0" w:color="0070C0"/>
              <w:right w:val="single" w:sz="4" w:space="0" w:color="0070C0"/>
            </w:tcBorders>
            <w:vAlign w:val="center"/>
          </w:tcPr>
          <w:p w14:paraId="4C614E77" w14:textId="543CDE84" w:rsidR="00930745" w:rsidRPr="00613C1C" w:rsidRDefault="007D3F70" w:rsidP="007D3F70">
            <w:pPr>
              <w:jc w:val="center"/>
              <w:rPr>
                <w:rFonts w:eastAsia="Times New Roman"/>
                <w:color w:val="000000"/>
                <w:szCs w:val="20"/>
              </w:rPr>
            </w:pPr>
            <w:r>
              <w:rPr>
                <w:rFonts w:eastAsia="Times New Roman"/>
                <w:color w:val="000000"/>
                <w:szCs w:val="20"/>
              </w:rPr>
              <w:t>5</w:t>
            </w:r>
          </w:p>
        </w:tc>
      </w:tr>
    </w:tbl>
    <w:p w14:paraId="14929DCA" w14:textId="77777777" w:rsidR="00987C9F" w:rsidRDefault="00987C9F" w:rsidP="002E4D87"/>
    <w:p w14:paraId="57BBF87E" w14:textId="77777777" w:rsidR="00987C9F" w:rsidRDefault="00987C9F" w:rsidP="002E4D87">
      <w:pPr>
        <w:sectPr w:rsidR="00987C9F" w:rsidSect="00366FEE">
          <w:headerReference w:type="first" r:id="rId77"/>
          <w:footerReference w:type="first" r:id="rId78"/>
          <w:pgSz w:w="12240" w:h="15840"/>
          <w:pgMar w:top="1440" w:right="1440" w:bottom="1440" w:left="1440" w:header="576" w:footer="576" w:gutter="0"/>
          <w:pgNumType w:chapStyle="6"/>
          <w:cols w:space="720"/>
          <w:titlePg/>
          <w:docGrid w:linePitch="360"/>
        </w:sectPr>
      </w:pPr>
    </w:p>
    <w:p w14:paraId="6138D6C2" w14:textId="6C80C3E6" w:rsidR="002E4D87" w:rsidRDefault="007D3F70" w:rsidP="007D3F70">
      <w:pPr>
        <w:pStyle w:val="Heading1"/>
      </w:pPr>
      <w:bookmarkStart w:id="105" w:name="_Toc482973568"/>
      <w:r>
        <w:lastRenderedPageBreak/>
        <w:t>Examples</w:t>
      </w:r>
      <w:bookmarkEnd w:id="105"/>
    </w:p>
    <w:p w14:paraId="1A5F7B0D" w14:textId="77777777" w:rsidR="00350F25" w:rsidRDefault="00350F25" w:rsidP="00350F25">
      <w:pPr>
        <w:pStyle w:val="BodyText"/>
      </w:pPr>
      <w:r>
        <w:t>This section offers sample case studies demonstrating scenarios in which the Tool can be used. The case studies are organized by agencies that might use the Tool: a metropolitan planning organization (MPO); a State Department of Transportation; and a Port Authority. For each user type, a scenario was developed which demonstrate how the Tool can be used to assess truck emissions of different pollutants, estimate costs of clean truck programs, and compare different strategies. Although the scenarios are shown from different agency perspectives, they are not necessarily agency-specific; for example, both a Port operator and MPO may be interested in looking at incentivizing the deployment of CNG trucks to reach NOx targets.</w:t>
      </w:r>
    </w:p>
    <w:p w14:paraId="5C006621" w14:textId="77777777" w:rsidR="00350F25" w:rsidRDefault="00350F25" w:rsidP="00350F25">
      <w:pPr>
        <w:pStyle w:val="BodyText"/>
      </w:pPr>
      <w:r>
        <w:t>In addition to providing realistic examples of how the Tool can be employed to answer different truck emission questions, the case studies provide step-by-step guidance on how to use the Tool and interpret the results in the context of addressing the scenario.</w:t>
      </w:r>
    </w:p>
    <w:p w14:paraId="165AF9F9" w14:textId="77777777" w:rsidR="00350F25" w:rsidRDefault="00350F25" w:rsidP="00350F25">
      <w:pPr>
        <w:pStyle w:val="BodyText"/>
      </w:pPr>
      <w:r>
        <w:t>Each subsection below begins with a description of the case study scenario. For each case study, there are multiple analysis types described to demonstrate different ways to approach answering questions presented by the scenario. Some analyses will allow the user to determine the emission reductions of different strategies while others will determine how to address cost questions.</w:t>
      </w:r>
    </w:p>
    <w:p w14:paraId="3B349435" w14:textId="77777777" w:rsidR="00350F25" w:rsidRDefault="00350F25" w:rsidP="00350F25">
      <w:pPr>
        <w:pStyle w:val="BodyText"/>
      </w:pPr>
      <w:r>
        <w:t>For each analysis type, a table is provided with sample inputs for each selection in the Tool and guidance on those inputs. The choices in the Tool include the following selections:</w:t>
      </w:r>
    </w:p>
    <w:p w14:paraId="6B268B6B" w14:textId="77777777" w:rsidR="00350F25" w:rsidRPr="00140664" w:rsidRDefault="00350F25" w:rsidP="00350F25">
      <w:pPr>
        <w:pStyle w:val="Bullet10"/>
      </w:pPr>
      <w:r w:rsidRPr="00140664">
        <w:rPr>
          <w:b/>
        </w:rPr>
        <w:t>Analysis Type</w:t>
      </w:r>
      <w:r w:rsidRPr="00140664">
        <w:t xml:space="preserve"> – You can use </w:t>
      </w:r>
      <w:r>
        <w:t xml:space="preserve">any or </w:t>
      </w:r>
      <w:r w:rsidRPr="00140664">
        <w:t xml:space="preserve">all three analysis types to look at </w:t>
      </w:r>
      <w:r>
        <w:t>a</w:t>
      </w:r>
      <w:r w:rsidRPr="00140664">
        <w:t xml:space="preserve"> problem. The Truck Deployment Analysis allows you to look at full costs of programs plus drop-in fuels (where there is no capital cost)</w:t>
      </w:r>
      <w:r>
        <w:t xml:space="preserve">. </w:t>
      </w:r>
      <w:r w:rsidRPr="00140664">
        <w:t xml:space="preserve">The </w:t>
      </w:r>
      <w:r>
        <w:t>Funding Impact</w:t>
      </w:r>
      <w:r w:rsidRPr="00140664">
        <w:t xml:space="preserve"> Analysis allows you to see how many trucks you can replace or modify for a given dollar amount</w:t>
      </w:r>
      <w:r>
        <w:t xml:space="preserve">. </w:t>
      </w:r>
      <w:r w:rsidRPr="00140664">
        <w:t>The Incentive Analysis shows you the payback period for incentives that cover part of the capital costs, with the remaining costs covered by fuel cost savings.</w:t>
      </w:r>
    </w:p>
    <w:p w14:paraId="40BF83BA" w14:textId="77777777" w:rsidR="00350F25" w:rsidRPr="00140664" w:rsidRDefault="00350F25" w:rsidP="00350F25">
      <w:pPr>
        <w:pStyle w:val="Bullet10"/>
      </w:pPr>
      <w:r w:rsidRPr="00140664">
        <w:rPr>
          <w:b/>
        </w:rPr>
        <w:t>Year</w:t>
      </w:r>
      <w:r>
        <w:rPr>
          <w:b/>
        </w:rPr>
        <w:t xml:space="preserve"> of Modification</w:t>
      </w:r>
      <w:r w:rsidRPr="00140664">
        <w:t xml:space="preserve"> – The analysis year is when the replacements/modifications take place</w:t>
      </w:r>
      <w:r>
        <w:t>. For instance, if you</w:t>
      </w:r>
      <w:r w:rsidRPr="00140664">
        <w:t xml:space="preserve"> are working on long range plans that might go out to 2040, you need to pick analysis years before that</w:t>
      </w:r>
      <w:r>
        <w:t xml:space="preserve">. </w:t>
      </w:r>
      <w:r w:rsidRPr="00140664">
        <w:t>Generally you might want to look at 2025, 2030 and 2035 as the phase in times for the new programs or rules.</w:t>
      </w:r>
    </w:p>
    <w:p w14:paraId="0E2D5A27" w14:textId="77777777" w:rsidR="00350F25" w:rsidRPr="00140664" w:rsidRDefault="00350F25" w:rsidP="00350F25">
      <w:pPr>
        <w:pStyle w:val="Bullet10"/>
      </w:pPr>
      <w:r>
        <w:rPr>
          <w:b/>
        </w:rPr>
        <w:t>Area of Interest</w:t>
      </w:r>
      <w:r w:rsidRPr="00140664">
        <w:t xml:space="preserve"> – </w:t>
      </w:r>
      <w:r>
        <w:t>Area of interest is the geographic</w:t>
      </w:r>
      <w:r w:rsidRPr="00140664">
        <w:t xml:space="preserve"> scale determines the emission factors used in the calculations. The larger the geographic scale the more freeways used, while the smaller geographic scales have more local roads</w:t>
      </w:r>
      <w:r>
        <w:t>. If you are an</w:t>
      </w:r>
      <w:r w:rsidRPr="00140664">
        <w:t xml:space="preserve"> MPO</w:t>
      </w:r>
      <w:r>
        <w:t>, you would</w:t>
      </w:r>
      <w:r w:rsidRPr="00140664">
        <w:t xml:space="preserve"> use Metropolitan.</w:t>
      </w:r>
      <w:r>
        <w:t xml:space="preserve"> </w:t>
      </w:r>
      <w:r>
        <w:rPr>
          <w:iCs/>
        </w:rPr>
        <w:t>T</w:t>
      </w:r>
      <w:r w:rsidRPr="00231779">
        <w:rPr>
          <w:iCs/>
        </w:rPr>
        <w:t xml:space="preserve">he geographic scale affects the mix of roadway types that go into the emission factors. This tool is </w:t>
      </w:r>
      <w:r w:rsidRPr="00E04C77">
        <w:rPr>
          <w:i/>
          <w:iCs/>
        </w:rPr>
        <w:t>not</w:t>
      </w:r>
      <w:r w:rsidRPr="00231779">
        <w:rPr>
          <w:iCs/>
        </w:rPr>
        <w:t xml:space="preserve"> an emission inventory tool that will calculate all truck emission for a given geographic area.</w:t>
      </w:r>
    </w:p>
    <w:p w14:paraId="7CE84D00" w14:textId="714A1F1A" w:rsidR="00350F25" w:rsidRDefault="00350F25" w:rsidP="00350F25">
      <w:pPr>
        <w:pStyle w:val="Bullet10"/>
      </w:pPr>
      <w:r w:rsidRPr="00140664">
        <w:rPr>
          <w:b/>
        </w:rPr>
        <w:t>Type</w:t>
      </w:r>
      <w:r>
        <w:rPr>
          <w:b/>
        </w:rPr>
        <w:t xml:space="preserve"> of Truck</w:t>
      </w:r>
      <w:r w:rsidRPr="00140664">
        <w:t xml:space="preserve"> – The four truck types represent different segments of the heavy-duty truck populations</w:t>
      </w:r>
      <w:r>
        <w:t xml:space="preserve">. </w:t>
      </w:r>
      <w:r w:rsidRPr="00140664">
        <w:t>Single unit short haul trucks are typically urban pick-up and delivery trucks in the Class 3-5 size</w:t>
      </w:r>
      <w:r>
        <w:t xml:space="preserve">. </w:t>
      </w:r>
      <w:r w:rsidRPr="00140664">
        <w:t xml:space="preserve">Single unit </w:t>
      </w:r>
      <w:r w:rsidR="006771E4">
        <w:t>long haul</w:t>
      </w:r>
      <w:r w:rsidRPr="00140664">
        <w:t xml:space="preserve"> trucks are typically box trucks that travel within a regional area and are </w:t>
      </w:r>
      <w:r w:rsidRPr="00140664">
        <w:lastRenderedPageBreak/>
        <w:t>generally Class 6-7</w:t>
      </w:r>
      <w:r>
        <w:t xml:space="preserve">. </w:t>
      </w:r>
      <w:r w:rsidRPr="00140664">
        <w:t>Combination short haul trucks are typically drayage trucks that travel shorter distances</w:t>
      </w:r>
      <w:r>
        <w:t xml:space="preserve">. </w:t>
      </w:r>
      <w:r w:rsidRPr="00140664">
        <w:t>Combination long haul trucks are line-haul trucks that travel large distances.</w:t>
      </w:r>
    </w:p>
    <w:p w14:paraId="76DEFA19" w14:textId="77777777" w:rsidR="00350F25" w:rsidRDefault="00350F25" w:rsidP="00350F25">
      <w:pPr>
        <w:pStyle w:val="Bullet10"/>
      </w:pPr>
      <w:r>
        <w:rPr>
          <w:b/>
        </w:rPr>
        <w:t>Type of Modification</w:t>
      </w:r>
      <w:r>
        <w:t xml:space="preserve"> – This option is only included in Truck Deployment and Incentive Analyses. The user can select one type of modification. In some analysis types, this is followed by a selection of specific modifications; for example, by selecting the Alternative Fuels modification type, the user can then select the specific alternative fuel strategy in the following menu. Some modification types are restricted to certain types of trucks; thus, some modification types cannot be selected when the user selects some truck types, and vice versa.</w:t>
      </w:r>
    </w:p>
    <w:p w14:paraId="632D9015" w14:textId="77777777" w:rsidR="00350F25" w:rsidRPr="00140664" w:rsidRDefault="00350F25" w:rsidP="00350F25">
      <w:pPr>
        <w:pStyle w:val="Bullet10"/>
      </w:pPr>
      <w:r w:rsidRPr="00FE5A06">
        <w:rPr>
          <w:b/>
        </w:rPr>
        <w:t>Number of Trucks to Be Replaced</w:t>
      </w:r>
      <w:r>
        <w:t xml:space="preserve"> – Emission reductions and costs will be multiplied by the value entered here. The user can enter 1 if the he or she wants to see per-truck results. </w:t>
      </w:r>
    </w:p>
    <w:p w14:paraId="65FD7155" w14:textId="77777777" w:rsidR="00350F25" w:rsidRDefault="00350F25" w:rsidP="00350F25">
      <w:pPr>
        <w:pStyle w:val="Bullet10"/>
      </w:pPr>
      <w:r w:rsidRPr="0050596A">
        <w:rPr>
          <w:b/>
        </w:rPr>
        <w:t>Annual Mileage Accumulation</w:t>
      </w:r>
      <w:r>
        <w:t xml:space="preserve"> – This is the average miles traveled each year by the types of trucks selected for analysis. T</w:t>
      </w:r>
      <w:r w:rsidRPr="0050596A">
        <w:t xml:space="preserve">he default </w:t>
      </w:r>
      <w:r>
        <w:t>values come</w:t>
      </w:r>
      <w:r w:rsidRPr="0050596A">
        <w:t xml:space="preserve"> from</w:t>
      </w:r>
      <w:r>
        <w:t xml:space="preserve"> EPA’s</w:t>
      </w:r>
      <w:r w:rsidRPr="0050596A">
        <w:t xml:space="preserve"> MOVES</w:t>
      </w:r>
      <w:r>
        <w:t xml:space="preserve"> model</w:t>
      </w:r>
      <w:r w:rsidRPr="0050596A">
        <w:t xml:space="preserve">. </w:t>
      </w:r>
      <w:r>
        <w:t>The more</w:t>
      </w:r>
      <w:r w:rsidRPr="0050596A">
        <w:t xml:space="preserve"> annual miles</w:t>
      </w:r>
      <w:r>
        <w:t xml:space="preserve"> in this field, the more emissions benefits there will be.</w:t>
      </w:r>
    </w:p>
    <w:p w14:paraId="46F1C5CF" w14:textId="77777777" w:rsidR="00350F25" w:rsidRDefault="00350F25" w:rsidP="00350F25">
      <w:pPr>
        <w:pStyle w:val="Bullet10"/>
      </w:pPr>
      <w:r w:rsidRPr="003131B5">
        <w:rPr>
          <w:b/>
        </w:rPr>
        <w:t>Range of Model Years to Modify/Scrap</w:t>
      </w:r>
      <w:r>
        <w:t xml:space="preserve"> – These are the model years to which the strategies will be applied</w:t>
      </w:r>
      <w:r w:rsidRPr="003131B5">
        <w:t xml:space="preserve">. </w:t>
      </w:r>
      <w:r>
        <w:t>T</w:t>
      </w:r>
      <w:r w:rsidRPr="003131B5">
        <w:t xml:space="preserve">argeting older trucks will usually yield more reductions </w:t>
      </w:r>
      <w:r>
        <w:t>because fleets with older model year trucks are assumed to have higher average emission rates</w:t>
      </w:r>
      <w:r w:rsidRPr="003131B5">
        <w:t xml:space="preserve">. </w:t>
      </w:r>
    </w:p>
    <w:p w14:paraId="443E80AC" w14:textId="3B1DAAF0" w:rsidR="00350F25" w:rsidRDefault="006771E4" w:rsidP="00350F25">
      <w:pPr>
        <w:pStyle w:val="Bullet10"/>
      </w:pPr>
      <w:r>
        <w:rPr>
          <w:b/>
        </w:rPr>
        <w:t>Long haul</w:t>
      </w:r>
      <w:r w:rsidR="00350F25" w:rsidRPr="00FE5A06">
        <w:rPr>
          <w:b/>
        </w:rPr>
        <w:t xml:space="preserve"> Annual Idle Hours</w:t>
      </w:r>
      <w:r w:rsidR="00350F25">
        <w:t xml:space="preserve"> – This input only applies to strategies involving idle reduction strategies, which are only included for programs targeting </w:t>
      </w:r>
      <w:r>
        <w:t>long haul</w:t>
      </w:r>
      <w:r w:rsidR="00350F25">
        <w:t xml:space="preserve"> combination unit trucks.</w:t>
      </w:r>
    </w:p>
    <w:p w14:paraId="2CDB2499" w14:textId="77777777" w:rsidR="00350F25" w:rsidRDefault="00350F25" w:rsidP="00350F25">
      <w:pPr>
        <w:pStyle w:val="Bullet10"/>
      </w:pPr>
      <w:r w:rsidRPr="00500A55">
        <w:rPr>
          <w:b/>
        </w:rPr>
        <w:t>Fuel Costs</w:t>
      </w:r>
      <w:r>
        <w:t xml:space="preserve"> – Units for most alternative fuels are in diesel gallon equivalents (DGE) in order to normalize for differences in energy content between the different fuels. Default values are national averages at the time the tool was developed. More up-to-date and regional fuel prices can be found from other sources, including the Alternative Fuels Data Center’s </w:t>
      </w:r>
      <w:hyperlink r:id="rId79" w:history="1">
        <w:r w:rsidRPr="009E5B70">
          <w:rPr>
            <w:rStyle w:val="Hyperlink"/>
          </w:rPr>
          <w:t>Fuel Prices webpage</w:t>
        </w:r>
      </w:hyperlink>
      <w:r>
        <w:t>.</w:t>
      </w:r>
    </w:p>
    <w:p w14:paraId="6E17BA73" w14:textId="77777777" w:rsidR="00350F25" w:rsidRDefault="00350F25" w:rsidP="00350F25">
      <w:pPr>
        <w:pStyle w:val="Bullet10"/>
      </w:pPr>
      <w:r>
        <w:rPr>
          <w:b/>
        </w:rPr>
        <w:t>Electricity Generation Region</w:t>
      </w:r>
      <w:r>
        <w:t xml:space="preserve"> – The selection of the electricity mix changes the assumed GHG emissions per unit of electricity consumed. The user can assume a national value or select the region in which the targeted trucks operate. This affects the emissions results for strategies involving electric trucks.</w:t>
      </w:r>
    </w:p>
    <w:p w14:paraId="1F58C8D0" w14:textId="77777777" w:rsidR="00350F25" w:rsidRDefault="00350F25" w:rsidP="00350F25">
      <w:pPr>
        <w:pStyle w:val="Bullet1Last"/>
      </w:pPr>
      <w:r w:rsidRPr="00FE5A06">
        <w:rPr>
          <w:b/>
        </w:rPr>
        <w:t>Capital Costs</w:t>
      </w:r>
      <w:r>
        <w:t xml:space="preserve"> – These are inputs for the replacement truck or equipment costs. If the truck is replaced, the tool assumes that the old truck is scrapped. The default values included in the Tool are based on research of costs in 2015. </w:t>
      </w:r>
      <w:r w:rsidRPr="00FE5A06">
        <w:t>Replacing defaults with more up-to-date or local averages will improve cost and cost effectiveness estimates in the results.</w:t>
      </w:r>
    </w:p>
    <w:p w14:paraId="2C1C90EE" w14:textId="77777777" w:rsidR="00350F25" w:rsidRPr="007273AC" w:rsidRDefault="00350F25" w:rsidP="00350F25">
      <w:pPr>
        <w:pStyle w:val="BodyText"/>
      </w:pPr>
      <w:r>
        <w:t>After each table of input guidance, select results from using those inputs are shown. Results from the example runs are discussed and compared to address some of the questions presented in the scenario description. Note that all emission results are shows in short tons.</w:t>
      </w:r>
    </w:p>
    <w:p w14:paraId="5EF0CB3B" w14:textId="77777777" w:rsidR="00350F25" w:rsidRPr="00140664" w:rsidRDefault="00350F25" w:rsidP="00350F25">
      <w:pPr>
        <w:pStyle w:val="Heading2"/>
      </w:pPr>
      <w:bookmarkStart w:id="106" w:name="_Toc482973569"/>
      <w:r w:rsidRPr="00140664">
        <w:lastRenderedPageBreak/>
        <w:t>MPO Case Study</w:t>
      </w:r>
      <w:bookmarkEnd w:id="106"/>
    </w:p>
    <w:p w14:paraId="56B18F4B" w14:textId="77777777" w:rsidR="00350F25" w:rsidRPr="00140664" w:rsidRDefault="00350F25" w:rsidP="00350F25">
      <w:pPr>
        <w:pStyle w:val="BodyText"/>
        <w:keepNext/>
        <w:pBdr>
          <w:top w:val="single" w:sz="4" w:space="1" w:color="auto"/>
          <w:left w:val="single" w:sz="4" w:space="4" w:color="auto"/>
          <w:bottom w:val="single" w:sz="4" w:space="1" w:color="auto"/>
          <w:right w:val="single" w:sz="4" w:space="4" w:color="auto"/>
        </w:pBdr>
        <w:shd w:val="clear" w:color="auto" w:fill="E3E3DF" w:themeFill="background2"/>
        <w:rPr>
          <w:b/>
          <w:i/>
        </w:rPr>
      </w:pPr>
      <w:r>
        <w:rPr>
          <w:b/>
          <w:i/>
        </w:rPr>
        <w:t>Scenario: A</w:t>
      </w:r>
      <w:r w:rsidRPr="00140664">
        <w:rPr>
          <w:b/>
          <w:i/>
        </w:rPr>
        <w:t xml:space="preserve"> metropolitan planning organization (MPO) in New York State </w:t>
      </w:r>
      <w:r>
        <w:rPr>
          <w:b/>
          <w:i/>
        </w:rPr>
        <w:t>is</w:t>
      </w:r>
      <w:r w:rsidRPr="00140664">
        <w:rPr>
          <w:b/>
          <w:i/>
        </w:rPr>
        <w:t xml:space="preserve"> updating </w:t>
      </w:r>
      <w:r>
        <w:rPr>
          <w:b/>
          <w:i/>
        </w:rPr>
        <w:t>its</w:t>
      </w:r>
      <w:r w:rsidRPr="00140664">
        <w:rPr>
          <w:b/>
          <w:i/>
        </w:rPr>
        <w:t xml:space="preserve"> long-range transportation plan (LRTP) </w:t>
      </w:r>
      <w:r>
        <w:rPr>
          <w:b/>
          <w:i/>
        </w:rPr>
        <w:t xml:space="preserve">going out to 2040 </w:t>
      </w:r>
      <w:r w:rsidRPr="00140664">
        <w:rPr>
          <w:b/>
          <w:i/>
        </w:rPr>
        <w:t xml:space="preserve">as well as developing a regional freight plan. </w:t>
      </w:r>
      <w:r>
        <w:rPr>
          <w:b/>
          <w:i/>
        </w:rPr>
        <w:t>The MPO is</w:t>
      </w:r>
      <w:r w:rsidRPr="00140664">
        <w:rPr>
          <w:b/>
          <w:i/>
        </w:rPr>
        <w:t xml:space="preserve"> looking at ways to reduce regional greenhouse gas emissions from freight trucks. </w:t>
      </w:r>
      <w:r>
        <w:rPr>
          <w:b/>
          <w:i/>
        </w:rPr>
        <w:t>The agency</w:t>
      </w:r>
      <w:r w:rsidRPr="00140664">
        <w:rPr>
          <w:b/>
          <w:i/>
        </w:rPr>
        <w:t xml:space="preserve"> decide</w:t>
      </w:r>
      <w:r>
        <w:rPr>
          <w:b/>
          <w:i/>
        </w:rPr>
        <w:t>s</w:t>
      </w:r>
      <w:r w:rsidRPr="00140664">
        <w:rPr>
          <w:b/>
          <w:i/>
        </w:rPr>
        <w:t xml:space="preserve"> to apply for federal grant funding for a project to upgrade trucks in </w:t>
      </w:r>
      <w:r>
        <w:rPr>
          <w:b/>
          <w:i/>
        </w:rPr>
        <w:t>the</w:t>
      </w:r>
      <w:r w:rsidRPr="00140664">
        <w:rPr>
          <w:b/>
          <w:i/>
        </w:rPr>
        <w:t xml:space="preserve"> region. Use the Tool to help determine which strategies </w:t>
      </w:r>
      <w:r>
        <w:rPr>
          <w:b/>
          <w:i/>
        </w:rPr>
        <w:t xml:space="preserve">the MPO should </w:t>
      </w:r>
      <w:r w:rsidRPr="00140664">
        <w:rPr>
          <w:b/>
          <w:i/>
        </w:rPr>
        <w:t>pursue.</w:t>
      </w:r>
    </w:p>
    <w:p w14:paraId="74D3098F" w14:textId="77777777" w:rsidR="00350F25" w:rsidRPr="00140664" w:rsidRDefault="00350F25" w:rsidP="00350F25">
      <w:pPr>
        <w:pStyle w:val="Heading3"/>
      </w:pPr>
      <w:bookmarkStart w:id="107" w:name="_Toc482973570"/>
      <w:r w:rsidRPr="00140664">
        <w:t>Truck Deployment Analysis – Alternative Fuels</w:t>
      </w:r>
      <w:bookmarkEnd w:id="107"/>
    </w:p>
    <w:p w14:paraId="5F22A091" w14:textId="77777777" w:rsidR="00350F25" w:rsidRDefault="00350F25" w:rsidP="00350F25">
      <w:pPr>
        <w:pStyle w:val="BodyText"/>
      </w:pPr>
      <w:r>
        <w:t>The Truck Deployment Analysis allows the user to estimate the impacts and costs of different clean truck strategy options. For each input option, enter the selections presented in the table below.</w:t>
      </w:r>
    </w:p>
    <w:tbl>
      <w:tblPr>
        <w:tblStyle w:val="TemplateTable"/>
        <w:tblW w:w="5000" w:type="pct"/>
        <w:tblLayout w:type="fixed"/>
        <w:tblCellMar>
          <w:top w:w="0" w:type="dxa"/>
          <w:bottom w:w="0" w:type="dxa"/>
        </w:tblCellMar>
        <w:tblLook w:val="04A0" w:firstRow="1" w:lastRow="0" w:firstColumn="1" w:lastColumn="0" w:noHBand="0" w:noVBand="1"/>
      </w:tblPr>
      <w:tblGrid>
        <w:gridCol w:w="2246"/>
        <w:gridCol w:w="1801"/>
        <w:gridCol w:w="5303"/>
      </w:tblGrid>
      <w:tr w:rsidR="00350F25" w:rsidRPr="00CC451D" w14:paraId="7998EF3A" w14:textId="77777777" w:rsidTr="00350F25">
        <w:trPr>
          <w:cnfStyle w:val="100000000000" w:firstRow="1" w:lastRow="0" w:firstColumn="0" w:lastColumn="0" w:oddVBand="0" w:evenVBand="0" w:oddHBand="0" w:evenHBand="0" w:firstRowFirstColumn="0" w:firstRowLastColumn="0" w:lastRowFirstColumn="0" w:lastRowLastColumn="0"/>
          <w:trHeight w:val="24"/>
        </w:trPr>
        <w:tc>
          <w:tcPr>
            <w:tcW w:w="1201" w:type="pct"/>
            <w:tcBorders>
              <w:bottom w:val="single" w:sz="4" w:space="0" w:color="0070C0"/>
            </w:tcBorders>
            <w:shd w:val="clear" w:color="auto" w:fill="0067AB"/>
            <w:noWrap/>
            <w:vAlign w:val="bottom"/>
          </w:tcPr>
          <w:p w14:paraId="4E76D0FD" w14:textId="77777777" w:rsidR="00350F25" w:rsidRPr="004739E4" w:rsidRDefault="00350F25" w:rsidP="00350F25">
            <w:pPr>
              <w:pStyle w:val="TableColumnHeading"/>
            </w:pPr>
            <w:r>
              <w:t>Category</w:t>
            </w:r>
          </w:p>
        </w:tc>
        <w:tc>
          <w:tcPr>
            <w:tcW w:w="963" w:type="pct"/>
            <w:tcBorders>
              <w:bottom w:val="single" w:sz="4" w:space="0" w:color="0070C0"/>
            </w:tcBorders>
            <w:vAlign w:val="bottom"/>
          </w:tcPr>
          <w:p w14:paraId="3F3C4C7B" w14:textId="77777777" w:rsidR="00350F25" w:rsidRPr="004739E4" w:rsidRDefault="00350F25" w:rsidP="00350F25">
            <w:pPr>
              <w:pStyle w:val="TableColumnHeading"/>
            </w:pPr>
            <w:r>
              <w:t>Selection</w:t>
            </w:r>
          </w:p>
        </w:tc>
        <w:tc>
          <w:tcPr>
            <w:tcW w:w="2836" w:type="pct"/>
            <w:tcBorders>
              <w:bottom w:val="single" w:sz="4" w:space="0" w:color="0070C0"/>
            </w:tcBorders>
            <w:vAlign w:val="bottom"/>
          </w:tcPr>
          <w:p w14:paraId="074EEAF8" w14:textId="77777777" w:rsidR="00350F25" w:rsidRPr="004739E4" w:rsidRDefault="00350F25" w:rsidP="00350F25">
            <w:pPr>
              <w:pStyle w:val="TableColumnHeading"/>
            </w:pPr>
            <w:r>
              <w:t>Notes</w:t>
            </w:r>
          </w:p>
        </w:tc>
      </w:tr>
      <w:tr w:rsidR="00350F25" w:rsidRPr="00CC451D" w14:paraId="5B5553BB"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7B1E7AAE" w14:textId="77777777" w:rsidR="00350F25" w:rsidRPr="004739E4" w:rsidRDefault="00350F25" w:rsidP="00350F25">
            <w:pPr>
              <w:pStyle w:val="TableCellText"/>
            </w:pPr>
            <w:r w:rsidRPr="00F6465A">
              <w:rPr>
                <w:b/>
              </w:rPr>
              <w:t>Analysis</w:t>
            </w:r>
          </w:p>
        </w:tc>
      </w:tr>
      <w:tr w:rsidR="00350F25" w:rsidRPr="00CC451D" w14:paraId="46254519"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737A03C6" w14:textId="77777777" w:rsidR="00350F25" w:rsidRPr="004739E4" w:rsidRDefault="00350F25" w:rsidP="00350F25">
            <w:pPr>
              <w:pStyle w:val="TableCellText"/>
            </w:pPr>
            <w:r>
              <w:t>Analysis</w:t>
            </w:r>
          </w:p>
        </w:tc>
        <w:tc>
          <w:tcPr>
            <w:tcW w:w="963" w:type="pct"/>
            <w:tcBorders>
              <w:top w:val="single" w:sz="4" w:space="0" w:color="0070C0"/>
              <w:left w:val="single" w:sz="4" w:space="0" w:color="0070C0"/>
              <w:bottom w:val="single" w:sz="4" w:space="0" w:color="0070C0"/>
              <w:right w:val="single" w:sz="4" w:space="0" w:color="0070C0"/>
            </w:tcBorders>
          </w:tcPr>
          <w:p w14:paraId="2AEFB0C7" w14:textId="77777777" w:rsidR="00350F25" w:rsidRPr="004739E4" w:rsidRDefault="00350F25" w:rsidP="00350F25">
            <w:pPr>
              <w:pStyle w:val="TableCellText"/>
            </w:pPr>
            <w:r>
              <w:t>Truck Deployment Analysis</w:t>
            </w:r>
          </w:p>
        </w:tc>
        <w:tc>
          <w:tcPr>
            <w:tcW w:w="2836" w:type="pct"/>
            <w:tcBorders>
              <w:top w:val="single" w:sz="4" w:space="0" w:color="0070C0"/>
              <w:left w:val="single" w:sz="4" w:space="0" w:color="0070C0"/>
              <w:bottom w:val="single" w:sz="4" w:space="0" w:color="0070C0"/>
              <w:right w:val="single" w:sz="4" w:space="0" w:color="0070C0"/>
            </w:tcBorders>
          </w:tcPr>
          <w:p w14:paraId="485D80DC" w14:textId="77777777" w:rsidR="00350F25" w:rsidRPr="004739E4" w:rsidRDefault="00350F25" w:rsidP="00350F25">
            <w:pPr>
              <w:pStyle w:val="TableCellText"/>
            </w:pPr>
            <w:r>
              <w:t>This analysis allows the user t</w:t>
            </w:r>
            <w:r w:rsidRPr="00140664">
              <w:t xml:space="preserve">o </w:t>
            </w:r>
            <w:r>
              <w:t>estimate full costs and emissions impacts of a program.</w:t>
            </w:r>
          </w:p>
        </w:tc>
      </w:tr>
      <w:tr w:rsidR="00350F25" w:rsidRPr="00CC451D" w14:paraId="797FCE74"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1ED8AD5F" w14:textId="77777777" w:rsidR="00350F25" w:rsidRPr="004739E4" w:rsidRDefault="00350F25" w:rsidP="00350F25">
            <w:pPr>
              <w:pStyle w:val="TableCellText"/>
            </w:pPr>
            <w:r w:rsidRPr="00447743">
              <w:rPr>
                <w:b/>
              </w:rPr>
              <w:t>Scope</w:t>
            </w:r>
          </w:p>
        </w:tc>
      </w:tr>
      <w:tr w:rsidR="00350F25" w:rsidRPr="00CC451D" w14:paraId="63C90413"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37203A24" w14:textId="77777777" w:rsidR="00350F25" w:rsidRDefault="00350F25" w:rsidP="00350F25">
            <w:pPr>
              <w:pStyle w:val="TableCellText"/>
            </w:pPr>
            <w:r>
              <w:t>Year of Modification</w:t>
            </w:r>
          </w:p>
        </w:tc>
        <w:tc>
          <w:tcPr>
            <w:tcW w:w="963" w:type="pct"/>
            <w:tcBorders>
              <w:top w:val="single" w:sz="4" w:space="0" w:color="0070C0"/>
              <w:left w:val="single" w:sz="4" w:space="0" w:color="0070C0"/>
              <w:bottom w:val="single" w:sz="4" w:space="0" w:color="0070C0"/>
              <w:right w:val="single" w:sz="4" w:space="0" w:color="0070C0"/>
            </w:tcBorders>
          </w:tcPr>
          <w:p w14:paraId="6A63569C" w14:textId="77777777" w:rsidR="00350F25" w:rsidRDefault="00350F25" w:rsidP="00350F25">
            <w:pPr>
              <w:pStyle w:val="TableCellText"/>
            </w:pPr>
            <w:r>
              <w:t>2030</w:t>
            </w:r>
          </w:p>
        </w:tc>
        <w:tc>
          <w:tcPr>
            <w:tcW w:w="2836" w:type="pct"/>
            <w:tcBorders>
              <w:top w:val="single" w:sz="4" w:space="0" w:color="0070C0"/>
              <w:left w:val="single" w:sz="4" w:space="0" w:color="0070C0"/>
              <w:bottom w:val="single" w:sz="4" w:space="0" w:color="0070C0"/>
              <w:right w:val="single" w:sz="4" w:space="0" w:color="0070C0"/>
            </w:tcBorders>
          </w:tcPr>
          <w:p w14:paraId="7FFE8F36" w14:textId="77777777" w:rsidR="00350F25" w:rsidRPr="004739E4" w:rsidRDefault="00350F25" w:rsidP="00350F25">
            <w:pPr>
              <w:pStyle w:val="TableCellText"/>
            </w:pPr>
            <w:r>
              <w:t>The modification</w:t>
            </w:r>
            <w:r w:rsidRPr="00140664">
              <w:t xml:space="preserve"> year is when the modifications </w:t>
            </w:r>
            <w:r>
              <w:t xml:space="preserve">or replacements </w:t>
            </w:r>
            <w:r w:rsidRPr="00140664">
              <w:t>take place</w:t>
            </w:r>
            <w:r>
              <w:t>. Because the</w:t>
            </w:r>
            <w:r w:rsidRPr="00140664">
              <w:t xml:space="preserve"> </w:t>
            </w:r>
            <w:r>
              <w:t>LRTP goes</w:t>
            </w:r>
            <w:r w:rsidRPr="00140664">
              <w:t xml:space="preserve"> out to 2040</w:t>
            </w:r>
            <w:r>
              <w:t xml:space="preserve"> in this scenario</w:t>
            </w:r>
            <w:r w:rsidRPr="00140664">
              <w:t xml:space="preserve">, </w:t>
            </w:r>
            <w:r>
              <w:t>the user should assume modifications happen sometime</w:t>
            </w:r>
            <w:r w:rsidRPr="00140664">
              <w:t xml:space="preserve"> before that</w:t>
            </w:r>
            <w:r>
              <w:t>. I</w:t>
            </w:r>
            <w:r w:rsidRPr="003103E0">
              <w:t>f 2040</w:t>
            </w:r>
            <w:r>
              <w:t xml:space="preserve"> is selected</w:t>
            </w:r>
            <w:r w:rsidRPr="003103E0">
              <w:t xml:space="preserve">, the Tool assumes </w:t>
            </w:r>
            <w:r>
              <w:t>all changes occur</w:t>
            </w:r>
            <w:r w:rsidRPr="003103E0">
              <w:t xml:space="preserve"> in 2040, and the emissions benefits will be smaller because the </w:t>
            </w:r>
            <w:r>
              <w:t xml:space="preserve">Tool assumes the </w:t>
            </w:r>
            <w:r w:rsidRPr="003103E0">
              <w:t>baseline fleet is cleaner in 2040</w:t>
            </w:r>
            <w:r>
              <w:t>.</w:t>
            </w:r>
          </w:p>
        </w:tc>
      </w:tr>
      <w:tr w:rsidR="00350F25" w:rsidRPr="00CC451D" w14:paraId="1CD13B24"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31AE37AD" w14:textId="77777777" w:rsidR="00350F25" w:rsidRDefault="00350F25" w:rsidP="00350F25">
            <w:pPr>
              <w:pStyle w:val="TableCellText"/>
            </w:pPr>
            <w:r>
              <w:t>Area of Interest</w:t>
            </w:r>
          </w:p>
        </w:tc>
        <w:tc>
          <w:tcPr>
            <w:tcW w:w="963" w:type="pct"/>
            <w:tcBorders>
              <w:top w:val="single" w:sz="4" w:space="0" w:color="0070C0"/>
              <w:left w:val="single" w:sz="4" w:space="0" w:color="0070C0"/>
              <w:bottom w:val="single" w:sz="4" w:space="0" w:color="0070C0"/>
              <w:right w:val="single" w:sz="4" w:space="0" w:color="0070C0"/>
            </w:tcBorders>
          </w:tcPr>
          <w:p w14:paraId="039ABB79" w14:textId="77777777" w:rsidR="00350F25" w:rsidRDefault="00350F25" w:rsidP="00350F25">
            <w:pPr>
              <w:pStyle w:val="TableCellText"/>
            </w:pPr>
            <w:r>
              <w:t>Metropolitan</w:t>
            </w:r>
          </w:p>
        </w:tc>
        <w:tc>
          <w:tcPr>
            <w:tcW w:w="2836" w:type="pct"/>
            <w:tcBorders>
              <w:top w:val="single" w:sz="4" w:space="0" w:color="0070C0"/>
              <w:left w:val="single" w:sz="4" w:space="0" w:color="0070C0"/>
              <w:bottom w:val="single" w:sz="4" w:space="0" w:color="0070C0"/>
              <w:right w:val="single" w:sz="4" w:space="0" w:color="0070C0"/>
            </w:tcBorders>
          </w:tcPr>
          <w:p w14:paraId="6216B957" w14:textId="77777777" w:rsidR="00350F25" w:rsidRPr="004739E4" w:rsidRDefault="00350F25" w:rsidP="00350F25">
            <w:pPr>
              <w:pStyle w:val="TableCellText"/>
            </w:pPr>
            <w:r w:rsidRPr="00CE6761">
              <w:t xml:space="preserve">Geographic scale determines the emission factors used in the calculations. The larger the geographic scale </w:t>
            </w:r>
            <w:r>
              <w:t>assume</w:t>
            </w:r>
            <w:r w:rsidRPr="00CE6761">
              <w:t xml:space="preserve"> more freeways </w:t>
            </w:r>
            <w:r>
              <w:t xml:space="preserve">are </w:t>
            </w:r>
            <w:r w:rsidRPr="00CE6761">
              <w:t>used, while the smaller geographic scales have more local roads</w:t>
            </w:r>
            <w:r>
              <w:t xml:space="preserve">. </w:t>
            </w:r>
          </w:p>
        </w:tc>
      </w:tr>
      <w:tr w:rsidR="00350F25" w:rsidRPr="00CC451D" w14:paraId="3C04A59D"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21D68336" w14:textId="77777777" w:rsidR="00350F25" w:rsidRDefault="00350F25" w:rsidP="00350F25">
            <w:pPr>
              <w:pStyle w:val="TableCellText"/>
            </w:pPr>
            <w:r>
              <w:t>Type of Truck</w:t>
            </w:r>
          </w:p>
        </w:tc>
        <w:tc>
          <w:tcPr>
            <w:tcW w:w="963" w:type="pct"/>
            <w:tcBorders>
              <w:top w:val="single" w:sz="4" w:space="0" w:color="0070C0"/>
              <w:left w:val="single" w:sz="4" w:space="0" w:color="0070C0"/>
              <w:bottom w:val="single" w:sz="4" w:space="0" w:color="0070C0"/>
              <w:right w:val="single" w:sz="4" w:space="0" w:color="0070C0"/>
            </w:tcBorders>
          </w:tcPr>
          <w:p w14:paraId="3D746BC2" w14:textId="77777777" w:rsidR="00350F25" w:rsidRDefault="00350F25" w:rsidP="00350F25">
            <w:pPr>
              <w:pStyle w:val="TableCellText"/>
            </w:pPr>
            <w:r>
              <w:t>Combo Unit Short Haul</w:t>
            </w:r>
          </w:p>
        </w:tc>
        <w:tc>
          <w:tcPr>
            <w:tcW w:w="2836" w:type="pct"/>
            <w:tcBorders>
              <w:top w:val="single" w:sz="4" w:space="0" w:color="0070C0"/>
              <w:left w:val="single" w:sz="4" w:space="0" w:color="0070C0"/>
              <w:bottom w:val="single" w:sz="4" w:space="0" w:color="0070C0"/>
              <w:right w:val="single" w:sz="4" w:space="0" w:color="0070C0"/>
            </w:tcBorders>
          </w:tcPr>
          <w:p w14:paraId="3656D3B5" w14:textId="77777777" w:rsidR="00350F25" w:rsidRPr="004739E4" w:rsidRDefault="00350F25" w:rsidP="00350F25">
            <w:pPr>
              <w:pStyle w:val="TableCellText"/>
            </w:pPr>
            <w:r>
              <w:t xml:space="preserve">For this scenario, </w:t>
            </w:r>
            <w:r w:rsidRPr="00140664">
              <w:t xml:space="preserve">combination </w:t>
            </w:r>
            <w:r>
              <w:t xml:space="preserve">short haul trucks are selected </w:t>
            </w:r>
            <w:r w:rsidRPr="00140664">
              <w:t>as they will operate within the metropolitan region.</w:t>
            </w:r>
          </w:p>
        </w:tc>
      </w:tr>
      <w:tr w:rsidR="00350F25" w:rsidRPr="00CC451D" w14:paraId="57D0F083"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1952503A" w14:textId="77777777" w:rsidR="00350F25" w:rsidRDefault="00350F25" w:rsidP="00350F25">
            <w:pPr>
              <w:pStyle w:val="TableCellText"/>
            </w:pPr>
            <w:r>
              <w:t>Type of Modification</w:t>
            </w:r>
          </w:p>
        </w:tc>
        <w:tc>
          <w:tcPr>
            <w:tcW w:w="963" w:type="pct"/>
            <w:tcBorders>
              <w:top w:val="single" w:sz="4" w:space="0" w:color="0070C0"/>
              <w:left w:val="single" w:sz="4" w:space="0" w:color="0070C0"/>
              <w:bottom w:val="single" w:sz="4" w:space="0" w:color="0070C0"/>
              <w:right w:val="single" w:sz="4" w:space="0" w:color="0070C0"/>
            </w:tcBorders>
          </w:tcPr>
          <w:p w14:paraId="05DC92E5" w14:textId="77777777" w:rsidR="00350F25" w:rsidRDefault="00350F25" w:rsidP="00350F25">
            <w:pPr>
              <w:pStyle w:val="TableCellText"/>
            </w:pPr>
            <w:r>
              <w:t>Alternative Fuel</w:t>
            </w:r>
          </w:p>
        </w:tc>
        <w:tc>
          <w:tcPr>
            <w:tcW w:w="2836" w:type="pct"/>
            <w:tcBorders>
              <w:top w:val="single" w:sz="4" w:space="0" w:color="0070C0"/>
              <w:left w:val="single" w:sz="4" w:space="0" w:color="0070C0"/>
              <w:bottom w:val="single" w:sz="4" w:space="0" w:color="0070C0"/>
              <w:right w:val="single" w:sz="4" w:space="0" w:color="0070C0"/>
            </w:tcBorders>
          </w:tcPr>
          <w:p w14:paraId="79FC1C27" w14:textId="77777777" w:rsidR="00350F25" w:rsidRPr="004739E4" w:rsidRDefault="00350F25" w:rsidP="00350F25">
            <w:pPr>
              <w:pStyle w:val="TableCellText"/>
            </w:pPr>
            <w:r>
              <w:t xml:space="preserve">Note that </w:t>
            </w:r>
            <w:r w:rsidRPr="00550324">
              <w:t>only one can be selected at a time</w:t>
            </w:r>
            <w:r>
              <w:t>. Accelerated Retirement will be considered in a separate analysis. Other modifications are not considered because: retrofits do not have positive GHG benefits and will be obsolete in 2030; tires have small GHG benefits; aerodynamics and idle reduction are only available for combination unit long haul trucks.</w:t>
            </w:r>
          </w:p>
        </w:tc>
      </w:tr>
      <w:tr w:rsidR="00350F25" w:rsidRPr="00CC451D" w14:paraId="102E412F"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05A7C49C" w14:textId="77777777" w:rsidR="00350F25" w:rsidRPr="004739E4" w:rsidRDefault="00350F25" w:rsidP="00350F25">
            <w:pPr>
              <w:pStyle w:val="TableCellText"/>
            </w:pPr>
            <w:r w:rsidRPr="00447743">
              <w:rPr>
                <w:b/>
              </w:rPr>
              <w:t>Modifications</w:t>
            </w:r>
          </w:p>
        </w:tc>
      </w:tr>
      <w:tr w:rsidR="00350F25" w:rsidRPr="00CC451D" w14:paraId="34764268"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59875781" w14:textId="77777777" w:rsidR="00350F25" w:rsidRDefault="00350F25" w:rsidP="00350F25">
            <w:pPr>
              <w:pStyle w:val="TableCellText"/>
            </w:pPr>
            <w:r>
              <w:t>Alternative Fuel(s)</w:t>
            </w:r>
          </w:p>
        </w:tc>
        <w:tc>
          <w:tcPr>
            <w:tcW w:w="963" w:type="pct"/>
            <w:tcBorders>
              <w:top w:val="single" w:sz="4" w:space="0" w:color="0070C0"/>
              <w:left w:val="single" w:sz="4" w:space="0" w:color="0070C0"/>
              <w:bottom w:val="single" w:sz="4" w:space="0" w:color="0070C0"/>
              <w:right w:val="single" w:sz="4" w:space="0" w:color="0070C0"/>
            </w:tcBorders>
          </w:tcPr>
          <w:p w14:paraId="3834C8E1" w14:textId="77777777" w:rsidR="00350F25" w:rsidRDefault="00350F25" w:rsidP="00350F25">
            <w:pPr>
              <w:pStyle w:val="TableCellText"/>
            </w:pPr>
            <w:r>
              <w:t>Select all</w:t>
            </w:r>
          </w:p>
        </w:tc>
        <w:tc>
          <w:tcPr>
            <w:tcW w:w="2836" w:type="pct"/>
            <w:tcBorders>
              <w:top w:val="single" w:sz="4" w:space="0" w:color="0070C0"/>
              <w:left w:val="single" w:sz="4" w:space="0" w:color="0070C0"/>
              <w:bottom w:val="single" w:sz="4" w:space="0" w:color="0070C0"/>
              <w:right w:val="single" w:sz="4" w:space="0" w:color="0070C0"/>
            </w:tcBorders>
          </w:tcPr>
          <w:p w14:paraId="5C0B317C" w14:textId="77777777" w:rsidR="00350F25" w:rsidRPr="004739E4" w:rsidRDefault="00350F25" w:rsidP="00350F25">
            <w:pPr>
              <w:pStyle w:val="TableCellText"/>
            </w:pPr>
            <w:r>
              <w:t>Click the checkmark button at the top of the column to select all. Results will be displayed for each fuel separately. Strategies involving “drop-in” alternative fuels (i.e., biodiesel and renewable diesel) can be used in existing diesel trucks; all other alternative fuel selections assume existing trucks are gasoline or diesel trucks that must be replaced as part of the strategy.</w:t>
            </w:r>
          </w:p>
        </w:tc>
      </w:tr>
      <w:tr w:rsidR="00350F25" w:rsidRPr="00CC451D" w14:paraId="682B2597"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37DE59E3" w14:textId="77777777" w:rsidR="00350F25" w:rsidRPr="004739E4" w:rsidRDefault="00350F25" w:rsidP="00350F25">
            <w:pPr>
              <w:pStyle w:val="TableCellText"/>
              <w:keepNext/>
            </w:pPr>
            <w:r w:rsidRPr="00447743">
              <w:rPr>
                <w:b/>
              </w:rPr>
              <w:lastRenderedPageBreak/>
              <w:t>Vehicle Data</w:t>
            </w:r>
          </w:p>
        </w:tc>
      </w:tr>
      <w:tr w:rsidR="00350F25" w:rsidRPr="00CC451D" w14:paraId="31039EED"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5A4E00AC" w14:textId="77777777" w:rsidR="00350F25" w:rsidRDefault="00350F25" w:rsidP="00350F25">
            <w:pPr>
              <w:pStyle w:val="TableCellText"/>
              <w:keepNext/>
            </w:pPr>
            <w:r>
              <w:t>Number of Trucks to Be Replaced</w:t>
            </w:r>
          </w:p>
        </w:tc>
        <w:tc>
          <w:tcPr>
            <w:tcW w:w="963" w:type="pct"/>
            <w:tcBorders>
              <w:top w:val="single" w:sz="4" w:space="0" w:color="0070C0"/>
              <w:left w:val="single" w:sz="4" w:space="0" w:color="0070C0"/>
              <w:bottom w:val="single" w:sz="4" w:space="0" w:color="0070C0"/>
              <w:right w:val="single" w:sz="4" w:space="0" w:color="0070C0"/>
            </w:tcBorders>
          </w:tcPr>
          <w:p w14:paraId="7D7CB91F" w14:textId="77777777" w:rsidR="00350F25" w:rsidRDefault="00350F25" w:rsidP="00350F25">
            <w:pPr>
              <w:pStyle w:val="TableCellText"/>
              <w:keepNext/>
            </w:pPr>
            <w:r>
              <w:t>100</w:t>
            </w:r>
          </w:p>
        </w:tc>
        <w:tc>
          <w:tcPr>
            <w:tcW w:w="2836" w:type="pct"/>
            <w:tcBorders>
              <w:top w:val="single" w:sz="4" w:space="0" w:color="0070C0"/>
              <w:left w:val="single" w:sz="4" w:space="0" w:color="0070C0"/>
              <w:bottom w:val="single" w:sz="4" w:space="0" w:color="0070C0"/>
              <w:right w:val="single" w:sz="4" w:space="0" w:color="0070C0"/>
            </w:tcBorders>
          </w:tcPr>
          <w:p w14:paraId="34D6D705" w14:textId="77777777" w:rsidR="00350F25" w:rsidRPr="004739E4" w:rsidRDefault="00350F25" w:rsidP="00350F25">
            <w:pPr>
              <w:pStyle w:val="TableCellText"/>
              <w:keepNext/>
            </w:pPr>
            <w:r>
              <w:t>The results can be divided by 100 to calculate the per-truck impacts.</w:t>
            </w:r>
          </w:p>
        </w:tc>
      </w:tr>
      <w:tr w:rsidR="00350F25" w:rsidRPr="00CC451D" w14:paraId="48D94AB7"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72F4C834" w14:textId="77777777" w:rsidR="00350F25" w:rsidRDefault="00350F25" w:rsidP="00350F25">
            <w:pPr>
              <w:pStyle w:val="TableCellText"/>
            </w:pPr>
            <w:r>
              <w:t>Average Annual Mileage Accumulation</w:t>
            </w:r>
          </w:p>
        </w:tc>
        <w:tc>
          <w:tcPr>
            <w:tcW w:w="963" w:type="pct"/>
            <w:tcBorders>
              <w:top w:val="single" w:sz="4" w:space="0" w:color="0070C0"/>
              <w:left w:val="single" w:sz="4" w:space="0" w:color="0070C0"/>
              <w:bottom w:val="single" w:sz="4" w:space="0" w:color="0070C0"/>
              <w:right w:val="single" w:sz="4" w:space="0" w:color="0070C0"/>
            </w:tcBorders>
          </w:tcPr>
          <w:p w14:paraId="33B1787D" w14:textId="77777777" w:rsidR="00350F25" w:rsidRDefault="00350F25" w:rsidP="00350F25">
            <w:pPr>
              <w:pStyle w:val="TableCellText"/>
            </w:pPr>
            <w:r>
              <w:t>Leave default values</w:t>
            </w:r>
          </w:p>
        </w:tc>
        <w:tc>
          <w:tcPr>
            <w:tcW w:w="2836" w:type="pct"/>
            <w:tcBorders>
              <w:top w:val="single" w:sz="4" w:space="0" w:color="0070C0"/>
              <w:left w:val="single" w:sz="4" w:space="0" w:color="0070C0"/>
              <w:bottom w:val="single" w:sz="4" w:space="0" w:color="0070C0"/>
              <w:right w:val="single" w:sz="4" w:space="0" w:color="0070C0"/>
            </w:tcBorders>
          </w:tcPr>
          <w:p w14:paraId="3A682828" w14:textId="77777777" w:rsidR="00350F25" w:rsidRPr="004739E4" w:rsidRDefault="00350F25" w:rsidP="00350F25">
            <w:pPr>
              <w:pStyle w:val="TableCellText"/>
            </w:pPr>
            <w:r>
              <w:t>The</w:t>
            </w:r>
            <w:r w:rsidRPr="0050596A">
              <w:t xml:space="preserve"> default </w:t>
            </w:r>
            <w:r>
              <w:t>values come</w:t>
            </w:r>
            <w:r w:rsidRPr="0050596A">
              <w:t xml:space="preserve"> from </w:t>
            </w:r>
            <w:r>
              <w:t xml:space="preserve">the </w:t>
            </w:r>
            <w:r w:rsidRPr="0050596A">
              <w:t>MOVES</w:t>
            </w:r>
            <w:r>
              <w:t xml:space="preserve"> model</w:t>
            </w:r>
            <w:r w:rsidRPr="0050596A">
              <w:t xml:space="preserve">. </w:t>
            </w:r>
            <w:r>
              <w:t>M</w:t>
            </w:r>
            <w:r w:rsidRPr="0050596A">
              <w:t xml:space="preserve">ore annual miles </w:t>
            </w:r>
            <w:r>
              <w:t>will result in</w:t>
            </w:r>
            <w:r w:rsidRPr="0050596A">
              <w:t xml:space="preserve"> more emissions benefits</w:t>
            </w:r>
            <w:r>
              <w:t>.</w:t>
            </w:r>
          </w:p>
        </w:tc>
      </w:tr>
      <w:tr w:rsidR="00350F25" w:rsidRPr="00CC451D" w14:paraId="375F139E"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5314338F" w14:textId="77777777" w:rsidR="00350F25" w:rsidRDefault="00350F25" w:rsidP="00350F25">
            <w:pPr>
              <w:pStyle w:val="TableCellText"/>
            </w:pPr>
            <w:r>
              <w:t>Range of Model Years to Modify/Scrap (inclusive)</w:t>
            </w:r>
          </w:p>
        </w:tc>
        <w:tc>
          <w:tcPr>
            <w:tcW w:w="963" w:type="pct"/>
            <w:tcBorders>
              <w:top w:val="single" w:sz="4" w:space="0" w:color="0070C0"/>
              <w:left w:val="single" w:sz="4" w:space="0" w:color="0070C0"/>
              <w:bottom w:val="single" w:sz="4" w:space="0" w:color="0070C0"/>
              <w:right w:val="single" w:sz="4" w:space="0" w:color="0070C0"/>
            </w:tcBorders>
          </w:tcPr>
          <w:p w14:paraId="490AD010" w14:textId="77777777" w:rsidR="00350F25" w:rsidRDefault="00350F25" w:rsidP="00350F25">
            <w:pPr>
              <w:pStyle w:val="TableCellText"/>
            </w:pPr>
            <w:r>
              <w:t>2000-2017</w:t>
            </w:r>
          </w:p>
        </w:tc>
        <w:tc>
          <w:tcPr>
            <w:tcW w:w="2836" w:type="pct"/>
            <w:tcBorders>
              <w:top w:val="single" w:sz="4" w:space="0" w:color="0070C0"/>
              <w:left w:val="single" w:sz="4" w:space="0" w:color="0070C0"/>
              <w:bottom w:val="single" w:sz="4" w:space="0" w:color="0070C0"/>
              <w:right w:val="single" w:sz="4" w:space="0" w:color="0070C0"/>
            </w:tcBorders>
          </w:tcPr>
          <w:p w14:paraId="3EDCCADB" w14:textId="77777777" w:rsidR="00350F25" w:rsidRPr="004739E4" w:rsidRDefault="00350F25" w:rsidP="00350F25">
            <w:pPr>
              <w:pStyle w:val="TableCellText"/>
            </w:pPr>
            <w:r>
              <w:t>This range is based on replacing pre-2018 trucks since the Heavy-Duty GHG Phase 1</w:t>
            </w:r>
            <w:r w:rsidRPr="00140664">
              <w:t xml:space="preserve"> rule would have been fully phased in by 201</w:t>
            </w:r>
            <w:r>
              <w:t>8, and the Phase 2 regulations begin.</w:t>
            </w:r>
          </w:p>
        </w:tc>
      </w:tr>
      <w:tr w:rsidR="00350F25" w:rsidRPr="00CC451D" w14:paraId="29381C9A"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558068FE" w14:textId="7C338A68" w:rsidR="00350F25" w:rsidRDefault="006771E4" w:rsidP="00350F25">
            <w:pPr>
              <w:pStyle w:val="TableCellText"/>
            </w:pPr>
            <w:r>
              <w:t>Long haul</w:t>
            </w:r>
            <w:r w:rsidR="00350F25">
              <w:t xml:space="preserve"> Annual Idle Hours</w:t>
            </w:r>
          </w:p>
        </w:tc>
        <w:tc>
          <w:tcPr>
            <w:tcW w:w="963" w:type="pct"/>
            <w:tcBorders>
              <w:top w:val="single" w:sz="4" w:space="0" w:color="0070C0"/>
              <w:left w:val="single" w:sz="4" w:space="0" w:color="0070C0"/>
              <w:bottom w:val="single" w:sz="4" w:space="0" w:color="0070C0"/>
              <w:right w:val="single" w:sz="4" w:space="0" w:color="0070C0"/>
            </w:tcBorders>
          </w:tcPr>
          <w:p w14:paraId="3A48B4E3" w14:textId="77777777" w:rsidR="00350F25" w:rsidRDefault="00350F25" w:rsidP="00350F25">
            <w:pPr>
              <w:pStyle w:val="TableCellText"/>
            </w:pPr>
            <w:r>
              <w:t>n/a</w:t>
            </w:r>
          </w:p>
        </w:tc>
        <w:tc>
          <w:tcPr>
            <w:tcW w:w="2836" w:type="pct"/>
            <w:tcBorders>
              <w:top w:val="single" w:sz="4" w:space="0" w:color="0070C0"/>
              <w:left w:val="single" w:sz="4" w:space="0" w:color="0070C0"/>
              <w:bottom w:val="single" w:sz="4" w:space="0" w:color="0070C0"/>
              <w:right w:val="single" w:sz="4" w:space="0" w:color="0070C0"/>
            </w:tcBorders>
          </w:tcPr>
          <w:p w14:paraId="12502F6D" w14:textId="6051B416" w:rsidR="00350F25" w:rsidRPr="004739E4" w:rsidRDefault="00350F25" w:rsidP="00350F25">
            <w:pPr>
              <w:pStyle w:val="TableCellText"/>
            </w:pPr>
            <w:r>
              <w:t xml:space="preserve">Only applicable for strategies involving combo unit </w:t>
            </w:r>
            <w:r w:rsidR="006771E4">
              <w:t>long haul</w:t>
            </w:r>
            <w:r>
              <w:t xml:space="preserve"> trucks.</w:t>
            </w:r>
          </w:p>
        </w:tc>
      </w:tr>
      <w:tr w:rsidR="00350F25" w:rsidRPr="00CC451D" w14:paraId="74B68406"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68ADF5AB" w14:textId="77777777" w:rsidR="00350F25" w:rsidRPr="004739E4" w:rsidRDefault="00350F25" w:rsidP="00350F25">
            <w:pPr>
              <w:pStyle w:val="TableCellText"/>
            </w:pPr>
            <w:r w:rsidRPr="00447743">
              <w:rPr>
                <w:b/>
              </w:rPr>
              <w:t>Fuel Costs</w:t>
            </w:r>
          </w:p>
        </w:tc>
      </w:tr>
      <w:tr w:rsidR="00350F25" w:rsidRPr="00CC451D" w14:paraId="4ED3E113"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18F3D165" w14:textId="77777777" w:rsidR="00350F25" w:rsidRDefault="00350F25" w:rsidP="00350F25">
            <w:pPr>
              <w:pStyle w:val="TableCellText"/>
            </w:pPr>
            <w:r>
              <w:t>Cost per Unit</w:t>
            </w:r>
          </w:p>
        </w:tc>
        <w:tc>
          <w:tcPr>
            <w:tcW w:w="963" w:type="pct"/>
            <w:tcBorders>
              <w:top w:val="single" w:sz="4" w:space="0" w:color="0070C0"/>
              <w:left w:val="single" w:sz="4" w:space="0" w:color="0070C0"/>
              <w:bottom w:val="single" w:sz="4" w:space="0" w:color="0070C0"/>
              <w:right w:val="single" w:sz="4" w:space="0" w:color="0070C0"/>
            </w:tcBorders>
          </w:tcPr>
          <w:p w14:paraId="5CB4C2DE" w14:textId="77777777" w:rsidR="00350F25" w:rsidRDefault="00350F25" w:rsidP="00350F25">
            <w:pPr>
              <w:pStyle w:val="TableCellText"/>
            </w:pPr>
            <w:r>
              <w:t>Leave default values</w:t>
            </w:r>
          </w:p>
        </w:tc>
        <w:tc>
          <w:tcPr>
            <w:tcW w:w="2836" w:type="pct"/>
            <w:tcBorders>
              <w:top w:val="single" w:sz="4" w:space="0" w:color="0070C0"/>
              <w:left w:val="single" w:sz="4" w:space="0" w:color="0070C0"/>
              <w:bottom w:val="single" w:sz="4" w:space="0" w:color="0070C0"/>
              <w:right w:val="single" w:sz="4" w:space="0" w:color="0070C0"/>
            </w:tcBorders>
          </w:tcPr>
          <w:p w14:paraId="1DA49AD0" w14:textId="77777777" w:rsidR="00350F25" w:rsidRPr="004739E4" w:rsidRDefault="00350F25" w:rsidP="00350F25">
            <w:pPr>
              <w:pStyle w:val="TableCellText"/>
            </w:pPr>
            <w:r>
              <w:t xml:space="preserve">Default values are national averages; more up-to-date and regional fuel prices can be found at the Alternative Fuels Data Center’s </w:t>
            </w:r>
            <w:hyperlink r:id="rId80" w:history="1">
              <w:r w:rsidRPr="009E5B70">
                <w:rPr>
                  <w:rStyle w:val="Hyperlink"/>
                </w:rPr>
                <w:t>Fuel Prices webpage</w:t>
              </w:r>
            </w:hyperlink>
            <w:r>
              <w:t>.</w:t>
            </w:r>
          </w:p>
        </w:tc>
      </w:tr>
      <w:tr w:rsidR="00350F25" w:rsidRPr="00CC451D" w14:paraId="551106FA"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316E62A1" w14:textId="77777777" w:rsidR="00350F25" w:rsidRDefault="00350F25" w:rsidP="00350F25">
            <w:pPr>
              <w:pStyle w:val="TableCellText"/>
            </w:pPr>
            <w:r>
              <w:t>Electricity Generation Region</w:t>
            </w:r>
          </w:p>
        </w:tc>
        <w:tc>
          <w:tcPr>
            <w:tcW w:w="963" w:type="pct"/>
            <w:tcBorders>
              <w:top w:val="single" w:sz="4" w:space="0" w:color="0070C0"/>
              <w:left w:val="single" w:sz="4" w:space="0" w:color="0070C0"/>
              <w:bottom w:val="single" w:sz="4" w:space="0" w:color="0070C0"/>
              <w:right w:val="single" w:sz="4" w:space="0" w:color="0070C0"/>
            </w:tcBorders>
          </w:tcPr>
          <w:p w14:paraId="72CA9453" w14:textId="77777777" w:rsidR="00350F25" w:rsidRDefault="00350F25" w:rsidP="00350F25">
            <w:pPr>
              <w:pStyle w:val="TableCellText"/>
            </w:pPr>
            <w:r>
              <w:t>NPCC</w:t>
            </w:r>
          </w:p>
        </w:tc>
        <w:tc>
          <w:tcPr>
            <w:tcW w:w="2836" w:type="pct"/>
            <w:tcBorders>
              <w:top w:val="single" w:sz="4" w:space="0" w:color="0070C0"/>
              <w:left w:val="single" w:sz="4" w:space="0" w:color="0070C0"/>
              <w:bottom w:val="single" w:sz="4" w:space="0" w:color="0070C0"/>
              <w:right w:val="single" w:sz="4" w:space="0" w:color="0070C0"/>
            </w:tcBorders>
          </w:tcPr>
          <w:p w14:paraId="60A92C30" w14:textId="77777777" w:rsidR="00350F25" w:rsidRPr="004739E4" w:rsidRDefault="00350F25" w:rsidP="00350F25">
            <w:pPr>
              <w:pStyle w:val="TableCellText"/>
            </w:pPr>
            <w:r>
              <w:t>This electricity region includes New York.</w:t>
            </w:r>
          </w:p>
        </w:tc>
      </w:tr>
      <w:tr w:rsidR="00350F25" w:rsidRPr="00CC451D" w14:paraId="07057331"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094580FC" w14:textId="77777777" w:rsidR="00350F25" w:rsidRDefault="00350F25" w:rsidP="00350F25">
            <w:pPr>
              <w:pStyle w:val="TableCellText"/>
            </w:pPr>
            <w:r>
              <w:t>CO</w:t>
            </w:r>
            <w:r w:rsidRPr="00F6465A">
              <w:rPr>
                <w:vertAlign w:val="subscript"/>
              </w:rPr>
              <w:t>2</w:t>
            </w:r>
          </w:p>
        </w:tc>
        <w:tc>
          <w:tcPr>
            <w:tcW w:w="963" w:type="pct"/>
            <w:tcBorders>
              <w:top w:val="single" w:sz="4" w:space="0" w:color="0070C0"/>
              <w:left w:val="single" w:sz="4" w:space="0" w:color="0070C0"/>
              <w:bottom w:val="single" w:sz="4" w:space="0" w:color="0070C0"/>
              <w:right w:val="single" w:sz="4" w:space="0" w:color="0070C0"/>
            </w:tcBorders>
          </w:tcPr>
          <w:p w14:paraId="4A72070F" w14:textId="77777777" w:rsidR="00350F25" w:rsidRDefault="00350F25" w:rsidP="00350F25">
            <w:pPr>
              <w:pStyle w:val="TableCellText"/>
            </w:pPr>
            <w:r>
              <w:t>Leave default value (254 g/kWh)</w:t>
            </w:r>
          </w:p>
        </w:tc>
        <w:tc>
          <w:tcPr>
            <w:tcW w:w="2836" w:type="pct"/>
            <w:tcBorders>
              <w:top w:val="single" w:sz="4" w:space="0" w:color="0070C0"/>
              <w:left w:val="single" w:sz="4" w:space="0" w:color="0070C0"/>
              <w:bottom w:val="single" w:sz="4" w:space="0" w:color="0070C0"/>
              <w:right w:val="single" w:sz="4" w:space="0" w:color="0070C0"/>
            </w:tcBorders>
          </w:tcPr>
          <w:p w14:paraId="1385972E" w14:textId="77777777" w:rsidR="00350F25" w:rsidRPr="004739E4" w:rsidRDefault="00350F25" w:rsidP="00350F25">
            <w:pPr>
              <w:pStyle w:val="TableCellText"/>
            </w:pPr>
            <w:r>
              <w:t>The default value will update depending on the Electricity Generation Region selected.</w:t>
            </w:r>
          </w:p>
        </w:tc>
      </w:tr>
      <w:tr w:rsidR="00350F25" w:rsidRPr="00CC451D" w14:paraId="3FF66D90"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7720CA1B" w14:textId="77777777" w:rsidR="00350F25" w:rsidRPr="004739E4" w:rsidRDefault="00350F25" w:rsidP="00350F25">
            <w:pPr>
              <w:pStyle w:val="TableCellText"/>
            </w:pPr>
            <w:r w:rsidRPr="00447743">
              <w:rPr>
                <w:b/>
              </w:rPr>
              <w:t>Capital Costs</w:t>
            </w:r>
          </w:p>
        </w:tc>
      </w:tr>
      <w:tr w:rsidR="00350F25" w:rsidRPr="00CC451D" w14:paraId="642E9822"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6BD5FB9C" w14:textId="77777777" w:rsidR="00350F25" w:rsidRDefault="00350F25" w:rsidP="00350F25">
            <w:pPr>
              <w:pStyle w:val="TableCellText"/>
            </w:pPr>
            <w:r>
              <w:t>Cost</w:t>
            </w:r>
          </w:p>
        </w:tc>
        <w:tc>
          <w:tcPr>
            <w:tcW w:w="963" w:type="pct"/>
            <w:tcBorders>
              <w:top w:val="single" w:sz="4" w:space="0" w:color="0070C0"/>
              <w:left w:val="single" w:sz="4" w:space="0" w:color="0070C0"/>
              <w:bottom w:val="single" w:sz="4" w:space="0" w:color="0070C0"/>
              <w:right w:val="single" w:sz="4" w:space="0" w:color="0070C0"/>
            </w:tcBorders>
          </w:tcPr>
          <w:p w14:paraId="0B2288C2" w14:textId="77777777" w:rsidR="00350F25" w:rsidRDefault="00350F25" w:rsidP="00350F25">
            <w:pPr>
              <w:pStyle w:val="TableCellText"/>
            </w:pPr>
            <w:r>
              <w:t>Leave default values</w:t>
            </w:r>
          </w:p>
        </w:tc>
        <w:tc>
          <w:tcPr>
            <w:tcW w:w="2836" w:type="pct"/>
            <w:tcBorders>
              <w:top w:val="single" w:sz="4" w:space="0" w:color="0070C0"/>
              <w:left w:val="single" w:sz="4" w:space="0" w:color="0070C0"/>
              <w:bottom w:val="single" w:sz="4" w:space="0" w:color="0070C0"/>
              <w:right w:val="single" w:sz="4" w:space="0" w:color="0070C0"/>
            </w:tcBorders>
          </w:tcPr>
          <w:p w14:paraId="46E54255" w14:textId="77777777" w:rsidR="00350F25" w:rsidRPr="004739E4" w:rsidRDefault="00350F25" w:rsidP="00350F25">
            <w:pPr>
              <w:pStyle w:val="TableCellText"/>
            </w:pPr>
            <w:r>
              <w:t>Default values are based on recent (2015) estimates. Replacing defaults with more up-to-date or local averages will improve cost and cost effectiveness estimates in the results.</w:t>
            </w:r>
          </w:p>
        </w:tc>
      </w:tr>
    </w:tbl>
    <w:p w14:paraId="6A8F47B6" w14:textId="77777777" w:rsidR="00350F25" w:rsidRDefault="00350F25" w:rsidP="00350F25">
      <w:pPr>
        <w:pStyle w:val="BodyText"/>
      </w:pPr>
    </w:p>
    <w:p w14:paraId="15BEF885" w14:textId="77777777" w:rsidR="00350F25" w:rsidRPr="004D02D8" w:rsidRDefault="00350F25" w:rsidP="00350F25">
      <w:pPr>
        <w:pStyle w:val="BodyText"/>
        <w:rPr>
          <w:iCs/>
        </w:rPr>
      </w:pPr>
      <w:r w:rsidRPr="004D02D8">
        <w:rPr>
          <w:b/>
          <w:iCs/>
        </w:rPr>
        <w:t>Results</w:t>
      </w:r>
    </w:p>
    <w:p w14:paraId="5A50D344" w14:textId="77777777" w:rsidR="00350F25" w:rsidRPr="004D02D8" w:rsidRDefault="00350F25" w:rsidP="00350F25">
      <w:pPr>
        <w:pStyle w:val="BodyText"/>
        <w:rPr>
          <w:iCs/>
        </w:rPr>
      </w:pPr>
      <w:r>
        <w:rPr>
          <w:iCs/>
        </w:rPr>
        <w:t>The table below summarizes the impacts of replacing diesel with alternative fuel options on CO</w:t>
      </w:r>
      <w:r w:rsidRPr="00186B15">
        <w:rPr>
          <w:iCs/>
          <w:vertAlign w:val="subscript"/>
        </w:rPr>
        <w:t>2</w:t>
      </w:r>
      <w:r>
        <w:rPr>
          <w:iCs/>
        </w:rPr>
        <w:t xml:space="preserve"> emissions. Note that the Tool produces a number of other results not shown below; CO</w:t>
      </w:r>
      <w:r w:rsidRPr="00186B15">
        <w:rPr>
          <w:iCs/>
          <w:vertAlign w:val="subscript"/>
        </w:rPr>
        <w:t>2</w:t>
      </w:r>
      <w:r>
        <w:rPr>
          <w:iCs/>
        </w:rPr>
        <w:t xml:space="preserve"> impacts are only shown here as they were targeted pollutant in this scenario.</w:t>
      </w:r>
    </w:p>
    <w:tbl>
      <w:tblPr>
        <w:tblStyle w:val="TableGrid"/>
        <w:tblW w:w="0" w:type="auto"/>
        <w:tblLook w:val="04A0" w:firstRow="1" w:lastRow="0" w:firstColumn="1" w:lastColumn="0" w:noHBand="0" w:noVBand="1"/>
      </w:tblPr>
      <w:tblGrid>
        <w:gridCol w:w="2400"/>
        <w:gridCol w:w="2016"/>
        <w:gridCol w:w="1872"/>
      </w:tblGrid>
      <w:tr w:rsidR="00350F25" w:rsidRPr="00BB5C1C" w14:paraId="4B7AB3E3" w14:textId="77777777" w:rsidTr="00350F25">
        <w:trPr>
          <w:trHeight w:val="600"/>
        </w:trPr>
        <w:tc>
          <w:tcPr>
            <w:tcW w:w="2400" w:type="dxa"/>
            <w:tcBorders>
              <w:bottom w:val="single" w:sz="4" w:space="0" w:color="0067AB"/>
              <w:right w:val="single" w:sz="4" w:space="0" w:color="FFFFFF" w:themeColor="background1"/>
            </w:tcBorders>
            <w:shd w:val="clear" w:color="auto" w:fill="0067AB"/>
            <w:vAlign w:val="bottom"/>
            <w:hideMark/>
          </w:tcPr>
          <w:p w14:paraId="69C5C672" w14:textId="77777777" w:rsidR="00350F25" w:rsidRPr="00350F25" w:rsidRDefault="00350F25" w:rsidP="00350F25">
            <w:pPr>
              <w:pStyle w:val="BodyText"/>
              <w:spacing w:after="0"/>
              <w:jc w:val="center"/>
              <w:rPr>
                <w:b/>
                <w:bCs/>
                <w:iCs/>
                <w:color w:val="FFFFFF" w:themeColor="background1"/>
                <w:sz w:val="20"/>
                <w:szCs w:val="20"/>
              </w:rPr>
            </w:pPr>
            <w:r w:rsidRPr="00350F25">
              <w:rPr>
                <w:b/>
                <w:bCs/>
                <w:iCs/>
                <w:color w:val="FFFFFF" w:themeColor="background1"/>
                <w:sz w:val="20"/>
                <w:szCs w:val="20"/>
              </w:rPr>
              <w:t>Modification</w:t>
            </w:r>
          </w:p>
        </w:tc>
        <w:tc>
          <w:tcPr>
            <w:tcW w:w="2016" w:type="dxa"/>
            <w:tcBorders>
              <w:left w:val="single" w:sz="4" w:space="0" w:color="FFFFFF" w:themeColor="background1"/>
              <w:bottom w:val="single" w:sz="4" w:space="0" w:color="0067AB"/>
              <w:right w:val="single" w:sz="4" w:space="0" w:color="FFFFFF" w:themeColor="background1"/>
            </w:tcBorders>
            <w:shd w:val="clear" w:color="auto" w:fill="0067AB"/>
            <w:vAlign w:val="bottom"/>
            <w:hideMark/>
          </w:tcPr>
          <w:p w14:paraId="635AEF16" w14:textId="77777777" w:rsidR="00350F25" w:rsidRPr="00350F25" w:rsidRDefault="00350F25" w:rsidP="00350F25">
            <w:pPr>
              <w:pStyle w:val="BodyText"/>
              <w:spacing w:after="0"/>
              <w:jc w:val="center"/>
              <w:rPr>
                <w:b/>
                <w:bCs/>
                <w:iCs/>
                <w:color w:val="FFFFFF" w:themeColor="background1"/>
                <w:sz w:val="20"/>
                <w:szCs w:val="20"/>
              </w:rPr>
            </w:pPr>
            <w:r w:rsidRPr="00350F25">
              <w:rPr>
                <w:b/>
                <w:bCs/>
                <w:iCs/>
                <w:color w:val="FFFFFF" w:themeColor="background1"/>
                <w:sz w:val="20"/>
                <w:szCs w:val="20"/>
              </w:rPr>
              <w:t xml:space="preserve">Annual </w:t>
            </w:r>
            <w:r w:rsidRPr="00350F25">
              <w:rPr>
                <w:b/>
                <w:iCs/>
                <w:color w:val="FFFFFF" w:themeColor="background1"/>
                <w:sz w:val="20"/>
                <w:szCs w:val="20"/>
              </w:rPr>
              <w:t>CO</w:t>
            </w:r>
            <w:r w:rsidRPr="00350F25">
              <w:rPr>
                <w:b/>
                <w:iCs/>
                <w:color w:val="FFFFFF" w:themeColor="background1"/>
                <w:sz w:val="20"/>
                <w:szCs w:val="20"/>
                <w:vertAlign w:val="subscript"/>
              </w:rPr>
              <w:t>2</w:t>
            </w:r>
            <w:r w:rsidRPr="00350F25">
              <w:rPr>
                <w:b/>
                <w:bCs/>
                <w:iCs/>
                <w:color w:val="FFFFFF" w:themeColor="background1"/>
                <w:sz w:val="20"/>
                <w:szCs w:val="20"/>
              </w:rPr>
              <w:t xml:space="preserve"> Emissions Reduced (tons)</w:t>
            </w:r>
          </w:p>
        </w:tc>
        <w:tc>
          <w:tcPr>
            <w:tcW w:w="1872" w:type="dxa"/>
            <w:tcBorders>
              <w:left w:val="single" w:sz="4" w:space="0" w:color="FFFFFF" w:themeColor="background1"/>
              <w:bottom w:val="single" w:sz="4" w:space="0" w:color="0067AB"/>
            </w:tcBorders>
            <w:shd w:val="clear" w:color="auto" w:fill="0067AB"/>
            <w:vAlign w:val="bottom"/>
            <w:hideMark/>
          </w:tcPr>
          <w:p w14:paraId="3292F982" w14:textId="77777777" w:rsidR="00350F25" w:rsidRPr="00350F25" w:rsidRDefault="00350F25" w:rsidP="00350F25">
            <w:pPr>
              <w:pStyle w:val="BodyText"/>
              <w:spacing w:after="0"/>
              <w:jc w:val="center"/>
              <w:rPr>
                <w:b/>
                <w:bCs/>
                <w:iCs/>
                <w:color w:val="FFFFFF" w:themeColor="background1"/>
                <w:sz w:val="20"/>
                <w:szCs w:val="20"/>
              </w:rPr>
            </w:pPr>
            <w:r w:rsidRPr="00350F25">
              <w:rPr>
                <w:b/>
                <w:bCs/>
                <w:iCs/>
                <w:color w:val="FFFFFF" w:themeColor="background1"/>
                <w:sz w:val="20"/>
                <w:szCs w:val="20"/>
              </w:rPr>
              <w:t>Cost Effectiveness ($/ton)</w:t>
            </w:r>
          </w:p>
        </w:tc>
      </w:tr>
      <w:tr w:rsidR="00350F25" w:rsidRPr="00BB5C1C" w14:paraId="5F87185A" w14:textId="77777777" w:rsidTr="00350F25">
        <w:trPr>
          <w:trHeight w:val="300"/>
        </w:trPr>
        <w:tc>
          <w:tcPr>
            <w:tcW w:w="2400" w:type="dxa"/>
            <w:tcBorders>
              <w:top w:val="single" w:sz="4" w:space="0" w:color="0067AB"/>
              <w:left w:val="single" w:sz="4" w:space="0" w:color="0067AB"/>
              <w:bottom w:val="single" w:sz="4" w:space="0" w:color="0067AB"/>
              <w:right w:val="single" w:sz="4" w:space="0" w:color="0067AB"/>
            </w:tcBorders>
            <w:noWrap/>
            <w:vAlign w:val="center"/>
            <w:hideMark/>
          </w:tcPr>
          <w:p w14:paraId="3D53E621" w14:textId="77777777" w:rsidR="00350F25" w:rsidRPr="00350F25" w:rsidRDefault="00350F25" w:rsidP="00350F25">
            <w:pPr>
              <w:pStyle w:val="BodyText"/>
              <w:spacing w:after="0"/>
              <w:rPr>
                <w:iCs/>
                <w:sz w:val="20"/>
                <w:szCs w:val="20"/>
              </w:rPr>
            </w:pPr>
            <w:r w:rsidRPr="00350F25">
              <w:rPr>
                <w:iCs/>
                <w:sz w:val="20"/>
                <w:szCs w:val="20"/>
              </w:rPr>
              <w:t>CNG</w:t>
            </w:r>
          </w:p>
        </w:tc>
        <w:tc>
          <w:tcPr>
            <w:tcW w:w="2016" w:type="dxa"/>
            <w:tcBorders>
              <w:top w:val="single" w:sz="4" w:space="0" w:color="0067AB"/>
              <w:left w:val="single" w:sz="4" w:space="0" w:color="0067AB"/>
              <w:bottom w:val="single" w:sz="4" w:space="0" w:color="0067AB"/>
              <w:right w:val="single" w:sz="4" w:space="0" w:color="0067AB"/>
            </w:tcBorders>
            <w:noWrap/>
            <w:vAlign w:val="bottom"/>
            <w:hideMark/>
          </w:tcPr>
          <w:p w14:paraId="56B05196" w14:textId="77777777" w:rsidR="00350F25" w:rsidRPr="00350F25" w:rsidRDefault="00350F25" w:rsidP="00350F25">
            <w:pPr>
              <w:pStyle w:val="BodyText"/>
              <w:spacing w:after="0"/>
              <w:jc w:val="center"/>
              <w:rPr>
                <w:sz w:val="20"/>
                <w:szCs w:val="20"/>
              </w:rPr>
            </w:pPr>
            <w:r w:rsidRPr="00350F25">
              <w:rPr>
                <w:sz w:val="20"/>
                <w:szCs w:val="20"/>
              </w:rPr>
              <w:t>1,657</w:t>
            </w:r>
          </w:p>
        </w:tc>
        <w:tc>
          <w:tcPr>
            <w:tcW w:w="1872" w:type="dxa"/>
            <w:tcBorders>
              <w:top w:val="single" w:sz="4" w:space="0" w:color="0067AB"/>
              <w:left w:val="single" w:sz="4" w:space="0" w:color="0067AB"/>
              <w:bottom w:val="single" w:sz="4" w:space="0" w:color="0067AB"/>
              <w:right w:val="single" w:sz="4" w:space="0" w:color="0067AB"/>
            </w:tcBorders>
            <w:noWrap/>
            <w:vAlign w:val="bottom"/>
            <w:hideMark/>
          </w:tcPr>
          <w:p w14:paraId="4536B9EA" w14:textId="77777777" w:rsidR="00350F25" w:rsidRPr="00350F25" w:rsidRDefault="00350F25" w:rsidP="00350F25">
            <w:pPr>
              <w:pStyle w:val="BodyText"/>
              <w:spacing w:after="0"/>
              <w:jc w:val="center"/>
              <w:rPr>
                <w:sz w:val="20"/>
                <w:szCs w:val="20"/>
              </w:rPr>
            </w:pPr>
            <w:r w:rsidRPr="00350F25">
              <w:rPr>
                <w:sz w:val="20"/>
                <w:szCs w:val="20"/>
              </w:rPr>
              <w:t>$1,024</w:t>
            </w:r>
          </w:p>
        </w:tc>
      </w:tr>
      <w:tr w:rsidR="00350F25" w:rsidRPr="00BB5C1C" w14:paraId="24417CF6" w14:textId="77777777" w:rsidTr="00350F25">
        <w:trPr>
          <w:trHeight w:val="300"/>
        </w:trPr>
        <w:tc>
          <w:tcPr>
            <w:tcW w:w="2400" w:type="dxa"/>
            <w:tcBorders>
              <w:top w:val="single" w:sz="4" w:space="0" w:color="0067AB"/>
              <w:left w:val="single" w:sz="4" w:space="0" w:color="0067AB"/>
              <w:bottom w:val="single" w:sz="4" w:space="0" w:color="0067AB"/>
              <w:right w:val="single" w:sz="4" w:space="0" w:color="0067AB"/>
            </w:tcBorders>
            <w:noWrap/>
            <w:vAlign w:val="center"/>
            <w:hideMark/>
          </w:tcPr>
          <w:p w14:paraId="5CBE266F" w14:textId="77777777" w:rsidR="00350F25" w:rsidRPr="00350F25" w:rsidRDefault="00350F25" w:rsidP="00350F25">
            <w:pPr>
              <w:pStyle w:val="BodyText"/>
              <w:spacing w:after="0"/>
              <w:rPr>
                <w:iCs/>
                <w:sz w:val="20"/>
                <w:szCs w:val="20"/>
              </w:rPr>
            </w:pPr>
            <w:r w:rsidRPr="00350F25">
              <w:rPr>
                <w:iCs/>
                <w:sz w:val="20"/>
                <w:szCs w:val="20"/>
              </w:rPr>
              <w:t>RCNG</w:t>
            </w:r>
          </w:p>
        </w:tc>
        <w:tc>
          <w:tcPr>
            <w:tcW w:w="2016" w:type="dxa"/>
            <w:tcBorders>
              <w:top w:val="single" w:sz="4" w:space="0" w:color="0067AB"/>
              <w:left w:val="single" w:sz="4" w:space="0" w:color="0067AB"/>
              <w:bottom w:val="single" w:sz="4" w:space="0" w:color="0067AB"/>
              <w:right w:val="single" w:sz="4" w:space="0" w:color="0067AB"/>
            </w:tcBorders>
            <w:noWrap/>
            <w:vAlign w:val="bottom"/>
            <w:hideMark/>
          </w:tcPr>
          <w:p w14:paraId="05D56631" w14:textId="77777777" w:rsidR="00350F25" w:rsidRPr="00350F25" w:rsidRDefault="00350F25" w:rsidP="00350F25">
            <w:pPr>
              <w:pStyle w:val="BodyText"/>
              <w:spacing w:after="0"/>
              <w:jc w:val="center"/>
              <w:rPr>
                <w:sz w:val="20"/>
                <w:szCs w:val="20"/>
              </w:rPr>
            </w:pPr>
            <w:r w:rsidRPr="00350F25">
              <w:rPr>
                <w:sz w:val="20"/>
                <w:szCs w:val="20"/>
              </w:rPr>
              <w:t>4,743</w:t>
            </w:r>
          </w:p>
        </w:tc>
        <w:tc>
          <w:tcPr>
            <w:tcW w:w="1872" w:type="dxa"/>
            <w:tcBorders>
              <w:top w:val="single" w:sz="4" w:space="0" w:color="0067AB"/>
              <w:left w:val="single" w:sz="4" w:space="0" w:color="0067AB"/>
              <w:bottom w:val="single" w:sz="4" w:space="0" w:color="0067AB"/>
              <w:right w:val="single" w:sz="4" w:space="0" w:color="0067AB"/>
            </w:tcBorders>
            <w:noWrap/>
            <w:vAlign w:val="bottom"/>
            <w:hideMark/>
          </w:tcPr>
          <w:p w14:paraId="66BE0E8F" w14:textId="77777777" w:rsidR="00350F25" w:rsidRPr="00350F25" w:rsidRDefault="00350F25" w:rsidP="00350F25">
            <w:pPr>
              <w:pStyle w:val="BodyText"/>
              <w:spacing w:after="0"/>
              <w:jc w:val="center"/>
              <w:rPr>
                <w:sz w:val="20"/>
                <w:szCs w:val="20"/>
              </w:rPr>
            </w:pPr>
            <w:r w:rsidRPr="00350F25">
              <w:rPr>
                <w:sz w:val="20"/>
                <w:szCs w:val="20"/>
              </w:rPr>
              <w:t>$358</w:t>
            </w:r>
          </w:p>
        </w:tc>
      </w:tr>
      <w:tr w:rsidR="00350F25" w:rsidRPr="00BB5C1C" w14:paraId="5A0EFFFC" w14:textId="77777777" w:rsidTr="00350F25">
        <w:trPr>
          <w:trHeight w:val="300"/>
        </w:trPr>
        <w:tc>
          <w:tcPr>
            <w:tcW w:w="2400" w:type="dxa"/>
            <w:tcBorders>
              <w:top w:val="single" w:sz="4" w:space="0" w:color="0067AB"/>
              <w:left w:val="single" w:sz="4" w:space="0" w:color="0067AB"/>
              <w:bottom w:val="single" w:sz="4" w:space="0" w:color="0067AB"/>
              <w:right w:val="single" w:sz="4" w:space="0" w:color="0067AB"/>
            </w:tcBorders>
            <w:noWrap/>
            <w:vAlign w:val="center"/>
            <w:hideMark/>
          </w:tcPr>
          <w:p w14:paraId="7F63AA40" w14:textId="77777777" w:rsidR="00350F25" w:rsidRPr="00350F25" w:rsidRDefault="00350F25" w:rsidP="00350F25">
            <w:pPr>
              <w:pStyle w:val="BodyText"/>
              <w:spacing w:after="0"/>
              <w:rPr>
                <w:iCs/>
                <w:sz w:val="20"/>
                <w:szCs w:val="20"/>
              </w:rPr>
            </w:pPr>
            <w:r w:rsidRPr="00350F25">
              <w:rPr>
                <w:iCs/>
                <w:sz w:val="20"/>
                <w:szCs w:val="20"/>
              </w:rPr>
              <w:t>CNG+Low NOx Engine</w:t>
            </w:r>
          </w:p>
        </w:tc>
        <w:tc>
          <w:tcPr>
            <w:tcW w:w="2016" w:type="dxa"/>
            <w:tcBorders>
              <w:top w:val="single" w:sz="4" w:space="0" w:color="0067AB"/>
              <w:left w:val="single" w:sz="4" w:space="0" w:color="0067AB"/>
              <w:bottom w:val="single" w:sz="4" w:space="0" w:color="0067AB"/>
              <w:right w:val="single" w:sz="4" w:space="0" w:color="0067AB"/>
            </w:tcBorders>
            <w:noWrap/>
            <w:vAlign w:val="bottom"/>
            <w:hideMark/>
          </w:tcPr>
          <w:p w14:paraId="2D8764FE" w14:textId="77777777" w:rsidR="00350F25" w:rsidRPr="00350F25" w:rsidRDefault="00350F25" w:rsidP="00350F25">
            <w:pPr>
              <w:pStyle w:val="BodyText"/>
              <w:spacing w:after="0"/>
              <w:jc w:val="center"/>
              <w:rPr>
                <w:sz w:val="20"/>
                <w:szCs w:val="20"/>
              </w:rPr>
            </w:pPr>
            <w:r w:rsidRPr="00350F25">
              <w:rPr>
                <w:sz w:val="20"/>
                <w:szCs w:val="20"/>
              </w:rPr>
              <w:t>1,657</w:t>
            </w:r>
          </w:p>
        </w:tc>
        <w:tc>
          <w:tcPr>
            <w:tcW w:w="1872" w:type="dxa"/>
            <w:tcBorders>
              <w:top w:val="single" w:sz="4" w:space="0" w:color="0067AB"/>
              <w:left w:val="single" w:sz="4" w:space="0" w:color="0067AB"/>
              <w:bottom w:val="single" w:sz="4" w:space="0" w:color="0067AB"/>
              <w:right w:val="single" w:sz="4" w:space="0" w:color="0067AB"/>
            </w:tcBorders>
            <w:noWrap/>
            <w:vAlign w:val="bottom"/>
            <w:hideMark/>
          </w:tcPr>
          <w:p w14:paraId="3E3A34F9" w14:textId="77777777" w:rsidR="00350F25" w:rsidRPr="00350F25" w:rsidRDefault="00350F25" w:rsidP="00350F25">
            <w:pPr>
              <w:pStyle w:val="BodyText"/>
              <w:spacing w:after="0"/>
              <w:jc w:val="center"/>
              <w:rPr>
                <w:sz w:val="20"/>
                <w:szCs w:val="20"/>
              </w:rPr>
            </w:pPr>
            <w:r w:rsidRPr="00350F25">
              <w:rPr>
                <w:sz w:val="20"/>
                <w:szCs w:val="20"/>
              </w:rPr>
              <w:t>$1,094</w:t>
            </w:r>
          </w:p>
        </w:tc>
      </w:tr>
      <w:tr w:rsidR="00350F25" w:rsidRPr="00BB5C1C" w14:paraId="52DEDF44" w14:textId="77777777" w:rsidTr="00350F25">
        <w:trPr>
          <w:trHeight w:val="300"/>
        </w:trPr>
        <w:tc>
          <w:tcPr>
            <w:tcW w:w="2400" w:type="dxa"/>
            <w:tcBorders>
              <w:top w:val="single" w:sz="4" w:space="0" w:color="0067AB"/>
              <w:left w:val="single" w:sz="4" w:space="0" w:color="0067AB"/>
              <w:bottom w:val="single" w:sz="4" w:space="0" w:color="0067AB"/>
              <w:right w:val="single" w:sz="4" w:space="0" w:color="0067AB"/>
            </w:tcBorders>
            <w:noWrap/>
            <w:vAlign w:val="center"/>
            <w:hideMark/>
          </w:tcPr>
          <w:p w14:paraId="0C7F43FC" w14:textId="77777777" w:rsidR="00350F25" w:rsidRPr="00350F25" w:rsidRDefault="00350F25" w:rsidP="00350F25">
            <w:pPr>
              <w:pStyle w:val="BodyText"/>
              <w:spacing w:after="0"/>
              <w:rPr>
                <w:iCs/>
                <w:sz w:val="20"/>
                <w:szCs w:val="20"/>
              </w:rPr>
            </w:pPr>
            <w:r w:rsidRPr="00350F25">
              <w:rPr>
                <w:iCs/>
                <w:sz w:val="20"/>
                <w:szCs w:val="20"/>
              </w:rPr>
              <w:t>RCNG+Low NOx Engine</w:t>
            </w:r>
          </w:p>
        </w:tc>
        <w:tc>
          <w:tcPr>
            <w:tcW w:w="2016" w:type="dxa"/>
            <w:tcBorders>
              <w:top w:val="single" w:sz="4" w:space="0" w:color="0067AB"/>
              <w:left w:val="single" w:sz="4" w:space="0" w:color="0067AB"/>
              <w:bottom w:val="single" w:sz="4" w:space="0" w:color="0067AB"/>
              <w:right w:val="single" w:sz="4" w:space="0" w:color="0067AB"/>
            </w:tcBorders>
            <w:noWrap/>
            <w:vAlign w:val="bottom"/>
            <w:hideMark/>
          </w:tcPr>
          <w:p w14:paraId="095FE16F" w14:textId="77777777" w:rsidR="00350F25" w:rsidRPr="00350F25" w:rsidRDefault="00350F25" w:rsidP="00350F25">
            <w:pPr>
              <w:pStyle w:val="BodyText"/>
              <w:spacing w:after="0"/>
              <w:jc w:val="center"/>
              <w:rPr>
                <w:sz w:val="20"/>
                <w:szCs w:val="20"/>
              </w:rPr>
            </w:pPr>
            <w:r w:rsidRPr="00350F25">
              <w:rPr>
                <w:sz w:val="20"/>
                <w:szCs w:val="20"/>
              </w:rPr>
              <w:t>4,743</w:t>
            </w:r>
          </w:p>
        </w:tc>
        <w:tc>
          <w:tcPr>
            <w:tcW w:w="1872" w:type="dxa"/>
            <w:tcBorders>
              <w:top w:val="single" w:sz="4" w:space="0" w:color="0067AB"/>
              <w:left w:val="single" w:sz="4" w:space="0" w:color="0067AB"/>
              <w:bottom w:val="single" w:sz="4" w:space="0" w:color="0067AB"/>
              <w:right w:val="single" w:sz="4" w:space="0" w:color="0067AB"/>
            </w:tcBorders>
            <w:noWrap/>
            <w:vAlign w:val="bottom"/>
            <w:hideMark/>
          </w:tcPr>
          <w:p w14:paraId="3E580C5B" w14:textId="77777777" w:rsidR="00350F25" w:rsidRPr="00350F25" w:rsidRDefault="00350F25" w:rsidP="00350F25">
            <w:pPr>
              <w:pStyle w:val="BodyText"/>
              <w:spacing w:after="0"/>
              <w:jc w:val="center"/>
              <w:rPr>
                <w:sz w:val="20"/>
                <w:szCs w:val="20"/>
              </w:rPr>
            </w:pPr>
            <w:r w:rsidRPr="00350F25">
              <w:rPr>
                <w:sz w:val="20"/>
                <w:szCs w:val="20"/>
              </w:rPr>
              <w:t>$382</w:t>
            </w:r>
          </w:p>
        </w:tc>
      </w:tr>
      <w:tr w:rsidR="00350F25" w:rsidRPr="00BB5C1C" w14:paraId="44AF6ED6" w14:textId="77777777" w:rsidTr="00350F25">
        <w:trPr>
          <w:trHeight w:val="300"/>
        </w:trPr>
        <w:tc>
          <w:tcPr>
            <w:tcW w:w="2400" w:type="dxa"/>
            <w:tcBorders>
              <w:top w:val="single" w:sz="4" w:space="0" w:color="0067AB"/>
              <w:left w:val="single" w:sz="4" w:space="0" w:color="0067AB"/>
              <w:bottom w:val="single" w:sz="4" w:space="0" w:color="0067AB"/>
              <w:right w:val="single" w:sz="4" w:space="0" w:color="0067AB"/>
            </w:tcBorders>
            <w:noWrap/>
            <w:vAlign w:val="center"/>
            <w:hideMark/>
          </w:tcPr>
          <w:p w14:paraId="4B28163C" w14:textId="77777777" w:rsidR="00350F25" w:rsidRPr="00350F25" w:rsidRDefault="00350F25" w:rsidP="00350F25">
            <w:pPr>
              <w:pStyle w:val="BodyText"/>
              <w:spacing w:after="0"/>
              <w:rPr>
                <w:iCs/>
                <w:sz w:val="20"/>
                <w:szCs w:val="20"/>
              </w:rPr>
            </w:pPr>
            <w:r w:rsidRPr="00350F25">
              <w:rPr>
                <w:iCs/>
                <w:sz w:val="20"/>
                <w:szCs w:val="20"/>
              </w:rPr>
              <w:t>B20 (Biodiesel)</w:t>
            </w:r>
          </w:p>
        </w:tc>
        <w:tc>
          <w:tcPr>
            <w:tcW w:w="2016" w:type="dxa"/>
            <w:tcBorders>
              <w:top w:val="single" w:sz="4" w:space="0" w:color="0067AB"/>
              <w:left w:val="single" w:sz="4" w:space="0" w:color="0067AB"/>
              <w:bottom w:val="single" w:sz="4" w:space="0" w:color="0067AB"/>
              <w:right w:val="single" w:sz="4" w:space="0" w:color="0067AB"/>
            </w:tcBorders>
            <w:noWrap/>
            <w:vAlign w:val="bottom"/>
            <w:hideMark/>
          </w:tcPr>
          <w:p w14:paraId="5BE9D02A" w14:textId="77777777" w:rsidR="00350F25" w:rsidRPr="00350F25" w:rsidRDefault="00350F25" w:rsidP="00350F25">
            <w:pPr>
              <w:pStyle w:val="BodyText"/>
              <w:spacing w:after="0"/>
              <w:jc w:val="center"/>
              <w:rPr>
                <w:sz w:val="20"/>
                <w:szCs w:val="20"/>
              </w:rPr>
            </w:pPr>
            <w:r w:rsidRPr="00350F25">
              <w:rPr>
                <w:sz w:val="20"/>
                <w:szCs w:val="20"/>
              </w:rPr>
              <w:t>980</w:t>
            </w:r>
          </w:p>
        </w:tc>
        <w:tc>
          <w:tcPr>
            <w:tcW w:w="1872" w:type="dxa"/>
            <w:tcBorders>
              <w:top w:val="single" w:sz="4" w:space="0" w:color="0067AB"/>
              <w:left w:val="single" w:sz="4" w:space="0" w:color="0067AB"/>
              <w:bottom w:val="single" w:sz="4" w:space="0" w:color="0067AB"/>
              <w:right w:val="single" w:sz="4" w:space="0" w:color="0067AB"/>
            </w:tcBorders>
            <w:noWrap/>
            <w:vAlign w:val="bottom"/>
            <w:hideMark/>
          </w:tcPr>
          <w:p w14:paraId="33E3C954" w14:textId="77777777" w:rsidR="00350F25" w:rsidRPr="00350F25" w:rsidRDefault="00350F25" w:rsidP="00350F25">
            <w:pPr>
              <w:pStyle w:val="BodyText"/>
              <w:spacing w:after="0"/>
              <w:jc w:val="center"/>
              <w:rPr>
                <w:sz w:val="20"/>
                <w:szCs w:val="20"/>
              </w:rPr>
            </w:pPr>
            <w:r w:rsidRPr="00350F25">
              <w:rPr>
                <w:sz w:val="20"/>
                <w:szCs w:val="20"/>
              </w:rPr>
              <w:t>$89</w:t>
            </w:r>
          </w:p>
        </w:tc>
      </w:tr>
      <w:tr w:rsidR="00350F25" w:rsidRPr="00BB5C1C" w14:paraId="6C0189E3" w14:textId="77777777" w:rsidTr="00350F25">
        <w:trPr>
          <w:trHeight w:val="300"/>
        </w:trPr>
        <w:tc>
          <w:tcPr>
            <w:tcW w:w="2400" w:type="dxa"/>
            <w:tcBorders>
              <w:top w:val="single" w:sz="4" w:space="0" w:color="0067AB"/>
              <w:left w:val="single" w:sz="4" w:space="0" w:color="0067AB"/>
              <w:bottom w:val="single" w:sz="4" w:space="0" w:color="0067AB"/>
              <w:right w:val="single" w:sz="4" w:space="0" w:color="0067AB"/>
            </w:tcBorders>
            <w:noWrap/>
            <w:vAlign w:val="center"/>
            <w:hideMark/>
          </w:tcPr>
          <w:p w14:paraId="193BE0FC" w14:textId="77777777" w:rsidR="00350F25" w:rsidRPr="00350F25" w:rsidRDefault="00350F25" w:rsidP="00350F25">
            <w:pPr>
              <w:pStyle w:val="BodyText"/>
              <w:spacing w:after="0"/>
              <w:rPr>
                <w:iCs/>
                <w:sz w:val="20"/>
                <w:szCs w:val="20"/>
              </w:rPr>
            </w:pPr>
            <w:r w:rsidRPr="00350F25">
              <w:rPr>
                <w:iCs/>
                <w:sz w:val="20"/>
                <w:szCs w:val="20"/>
              </w:rPr>
              <w:t>R100 (Renewable Diesel)</w:t>
            </w:r>
          </w:p>
        </w:tc>
        <w:tc>
          <w:tcPr>
            <w:tcW w:w="2016" w:type="dxa"/>
            <w:tcBorders>
              <w:top w:val="single" w:sz="4" w:space="0" w:color="0067AB"/>
              <w:left w:val="single" w:sz="4" w:space="0" w:color="0067AB"/>
              <w:bottom w:val="single" w:sz="4" w:space="0" w:color="0067AB"/>
              <w:right w:val="single" w:sz="4" w:space="0" w:color="0067AB"/>
            </w:tcBorders>
            <w:noWrap/>
            <w:vAlign w:val="bottom"/>
            <w:hideMark/>
          </w:tcPr>
          <w:p w14:paraId="2932E3D6" w14:textId="77777777" w:rsidR="00350F25" w:rsidRPr="00350F25" w:rsidRDefault="00350F25" w:rsidP="00350F25">
            <w:pPr>
              <w:pStyle w:val="BodyText"/>
              <w:spacing w:after="0"/>
              <w:jc w:val="center"/>
              <w:rPr>
                <w:sz w:val="20"/>
                <w:szCs w:val="20"/>
              </w:rPr>
            </w:pPr>
            <w:r w:rsidRPr="00350F25">
              <w:rPr>
                <w:sz w:val="20"/>
                <w:szCs w:val="20"/>
              </w:rPr>
              <w:t>4,900</w:t>
            </w:r>
          </w:p>
        </w:tc>
        <w:tc>
          <w:tcPr>
            <w:tcW w:w="1872" w:type="dxa"/>
            <w:tcBorders>
              <w:top w:val="single" w:sz="4" w:space="0" w:color="0067AB"/>
              <w:left w:val="single" w:sz="4" w:space="0" w:color="0067AB"/>
              <w:bottom w:val="single" w:sz="4" w:space="0" w:color="0067AB"/>
              <w:right w:val="single" w:sz="4" w:space="0" w:color="0067AB"/>
            </w:tcBorders>
            <w:noWrap/>
            <w:vAlign w:val="bottom"/>
            <w:hideMark/>
          </w:tcPr>
          <w:p w14:paraId="205B5CBD" w14:textId="77777777" w:rsidR="00350F25" w:rsidRPr="00350F25" w:rsidRDefault="00350F25" w:rsidP="00350F25">
            <w:pPr>
              <w:pStyle w:val="BodyText"/>
              <w:spacing w:after="0"/>
              <w:jc w:val="center"/>
              <w:rPr>
                <w:sz w:val="20"/>
                <w:szCs w:val="20"/>
              </w:rPr>
            </w:pPr>
            <w:r w:rsidRPr="00350F25">
              <w:rPr>
                <w:sz w:val="20"/>
                <w:szCs w:val="20"/>
              </w:rPr>
              <w:t>$121</w:t>
            </w:r>
          </w:p>
        </w:tc>
      </w:tr>
      <w:tr w:rsidR="00350F25" w:rsidRPr="00BB5C1C" w14:paraId="23BFAC23" w14:textId="77777777" w:rsidTr="00350F25">
        <w:trPr>
          <w:trHeight w:val="300"/>
        </w:trPr>
        <w:tc>
          <w:tcPr>
            <w:tcW w:w="2400" w:type="dxa"/>
            <w:tcBorders>
              <w:top w:val="single" w:sz="4" w:space="0" w:color="0067AB"/>
              <w:left w:val="single" w:sz="4" w:space="0" w:color="0067AB"/>
              <w:bottom w:val="single" w:sz="4" w:space="0" w:color="0067AB"/>
              <w:right w:val="single" w:sz="4" w:space="0" w:color="0067AB"/>
            </w:tcBorders>
            <w:noWrap/>
            <w:vAlign w:val="center"/>
            <w:hideMark/>
          </w:tcPr>
          <w:p w14:paraId="1213B165" w14:textId="77777777" w:rsidR="00350F25" w:rsidRPr="00350F25" w:rsidRDefault="00350F25" w:rsidP="00350F25">
            <w:pPr>
              <w:pStyle w:val="BodyText"/>
              <w:spacing w:after="0"/>
              <w:rPr>
                <w:iCs/>
                <w:sz w:val="20"/>
                <w:szCs w:val="20"/>
              </w:rPr>
            </w:pPr>
            <w:r w:rsidRPr="00350F25">
              <w:rPr>
                <w:iCs/>
                <w:sz w:val="20"/>
                <w:szCs w:val="20"/>
              </w:rPr>
              <w:t>Hybrid</w:t>
            </w:r>
          </w:p>
        </w:tc>
        <w:tc>
          <w:tcPr>
            <w:tcW w:w="2016" w:type="dxa"/>
            <w:tcBorders>
              <w:top w:val="single" w:sz="4" w:space="0" w:color="0067AB"/>
              <w:left w:val="single" w:sz="4" w:space="0" w:color="0067AB"/>
              <w:bottom w:val="single" w:sz="4" w:space="0" w:color="0067AB"/>
              <w:right w:val="single" w:sz="4" w:space="0" w:color="0067AB"/>
            </w:tcBorders>
            <w:noWrap/>
            <w:vAlign w:val="bottom"/>
            <w:hideMark/>
          </w:tcPr>
          <w:p w14:paraId="188920C6" w14:textId="77777777" w:rsidR="00350F25" w:rsidRPr="00350F25" w:rsidRDefault="00350F25" w:rsidP="00350F25">
            <w:pPr>
              <w:pStyle w:val="BodyText"/>
              <w:spacing w:after="0"/>
              <w:jc w:val="center"/>
              <w:rPr>
                <w:sz w:val="20"/>
                <w:szCs w:val="20"/>
              </w:rPr>
            </w:pPr>
            <w:r w:rsidRPr="00350F25">
              <w:rPr>
                <w:sz w:val="20"/>
                <w:szCs w:val="20"/>
              </w:rPr>
              <w:t>3,214</w:t>
            </w:r>
          </w:p>
        </w:tc>
        <w:tc>
          <w:tcPr>
            <w:tcW w:w="1872" w:type="dxa"/>
            <w:tcBorders>
              <w:top w:val="single" w:sz="4" w:space="0" w:color="0067AB"/>
              <w:left w:val="single" w:sz="4" w:space="0" w:color="0067AB"/>
              <w:bottom w:val="single" w:sz="4" w:space="0" w:color="0067AB"/>
              <w:right w:val="single" w:sz="4" w:space="0" w:color="0067AB"/>
            </w:tcBorders>
            <w:noWrap/>
            <w:vAlign w:val="bottom"/>
            <w:hideMark/>
          </w:tcPr>
          <w:p w14:paraId="5FBAFE6E" w14:textId="77777777" w:rsidR="00350F25" w:rsidRPr="00350F25" w:rsidRDefault="00350F25" w:rsidP="00350F25">
            <w:pPr>
              <w:pStyle w:val="BodyText"/>
              <w:spacing w:after="0"/>
              <w:jc w:val="center"/>
              <w:rPr>
                <w:sz w:val="20"/>
                <w:szCs w:val="20"/>
              </w:rPr>
            </w:pPr>
            <w:r w:rsidRPr="00350F25">
              <w:rPr>
                <w:sz w:val="20"/>
                <w:szCs w:val="20"/>
              </w:rPr>
              <w:t>$321</w:t>
            </w:r>
          </w:p>
        </w:tc>
      </w:tr>
      <w:tr w:rsidR="00350F25" w:rsidRPr="00BB5C1C" w14:paraId="24896281" w14:textId="77777777" w:rsidTr="00350F25">
        <w:trPr>
          <w:trHeight w:val="300"/>
        </w:trPr>
        <w:tc>
          <w:tcPr>
            <w:tcW w:w="2400" w:type="dxa"/>
            <w:tcBorders>
              <w:top w:val="single" w:sz="4" w:space="0" w:color="0067AB"/>
              <w:left w:val="single" w:sz="4" w:space="0" w:color="0067AB"/>
              <w:bottom w:val="single" w:sz="4" w:space="0" w:color="0067AB"/>
              <w:right w:val="single" w:sz="4" w:space="0" w:color="0067AB"/>
            </w:tcBorders>
            <w:noWrap/>
            <w:vAlign w:val="center"/>
            <w:hideMark/>
          </w:tcPr>
          <w:p w14:paraId="0B3B7CF4" w14:textId="77777777" w:rsidR="00350F25" w:rsidRPr="00350F25" w:rsidRDefault="00350F25" w:rsidP="00350F25">
            <w:pPr>
              <w:pStyle w:val="BodyText"/>
              <w:spacing w:after="0"/>
              <w:rPr>
                <w:iCs/>
                <w:sz w:val="20"/>
                <w:szCs w:val="20"/>
              </w:rPr>
            </w:pPr>
            <w:r w:rsidRPr="00350F25">
              <w:rPr>
                <w:iCs/>
                <w:sz w:val="20"/>
                <w:szCs w:val="20"/>
              </w:rPr>
              <w:t>Electric</w:t>
            </w:r>
          </w:p>
        </w:tc>
        <w:tc>
          <w:tcPr>
            <w:tcW w:w="2016" w:type="dxa"/>
            <w:tcBorders>
              <w:top w:val="single" w:sz="4" w:space="0" w:color="0067AB"/>
              <w:left w:val="single" w:sz="4" w:space="0" w:color="0067AB"/>
              <w:bottom w:val="single" w:sz="4" w:space="0" w:color="0067AB"/>
              <w:right w:val="single" w:sz="4" w:space="0" w:color="0067AB"/>
            </w:tcBorders>
            <w:noWrap/>
            <w:vAlign w:val="bottom"/>
            <w:hideMark/>
          </w:tcPr>
          <w:p w14:paraId="04356600" w14:textId="77777777" w:rsidR="00350F25" w:rsidRPr="00350F25" w:rsidRDefault="00350F25" w:rsidP="00350F25">
            <w:pPr>
              <w:pStyle w:val="BodyText"/>
              <w:spacing w:after="0"/>
              <w:jc w:val="center"/>
              <w:rPr>
                <w:sz w:val="20"/>
                <w:szCs w:val="20"/>
              </w:rPr>
            </w:pPr>
            <w:r w:rsidRPr="00350F25">
              <w:rPr>
                <w:sz w:val="20"/>
                <w:szCs w:val="20"/>
              </w:rPr>
              <w:t>5,526</w:t>
            </w:r>
          </w:p>
        </w:tc>
        <w:tc>
          <w:tcPr>
            <w:tcW w:w="1872" w:type="dxa"/>
            <w:tcBorders>
              <w:top w:val="single" w:sz="4" w:space="0" w:color="0067AB"/>
              <w:left w:val="single" w:sz="4" w:space="0" w:color="0067AB"/>
              <w:bottom w:val="single" w:sz="4" w:space="0" w:color="0067AB"/>
              <w:right w:val="single" w:sz="4" w:space="0" w:color="0067AB"/>
            </w:tcBorders>
            <w:noWrap/>
            <w:vAlign w:val="bottom"/>
            <w:hideMark/>
          </w:tcPr>
          <w:p w14:paraId="0F96BACF" w14:textId="77777777" w:rsidR="00350F25" w:rsidRPr="00350F25" w:rsidRDefault="00350F25" w:rsidP="00350F25">
            <w:pPr>
              <w:pStyle w:val="BodyText"/>
              <w:spacing w:after="0"/>
              <w:jc w:val="center"/>
              <w:rPr>
                <w:sz w:val="20"/>
                <w:szCs w:val="20"/>
              </w:rPr>
            </w:pPr>
            <w:r w:rsidRPr="00350F25">
              <w:rPr>
                <w:sz w:val="20"/>
                <w:szCs w:val="20"/>
              </w:rPr>
              <w:t>$271</w:t>
            </w:r>
          </w:p>
        </w:tc>
      </w:tr>
    </w:tbl>
    <w:p w14:paraId="4594B765" w14:textId="77777777" w:rsidR="00350F25" w:rsidRDefault="00350F25" w:rsidP="00350F25">
      <w:pPr>
        <w:pStyle w:val="BodyText"/>
        <w:rPr>
          <w:iCs/>
        </w:rPr>
      </w:pPr>
    </w:p>
    <w:p w14:paraId="754C70EF" w14:textId="77777777" w:rsidR="00350F25" w:rsidRPr="004D02D8" w:rsidRDefault="00350F25" w:rsidP="00350F25">
      <w:pPr>
        <w:pStyle w:val="BodyText"/>
        <w:rPr>
          <w:iCs/>
        </w:rPr>
      </w:pPr>
      <w:r>
        <w:rPr>
          <w:iCs/>
        </w:rPr>
        <w:lastRenderedPageBreak/>
        <w:t>The results show that</w:t>
      </w:r>
      <w:r w:rsidRPr="004D02D8">
        <w:rPr>
          <w:iCs/>
        </w:rPr>
        <w:t xml:space="preserve"> </w:t>
      </w:r>
      <w:r>
        <w:rPr>
          <w:iCs/>
        </w:rPr>
        <w:t>using 100 CNG trucks in place of diesel trucks</w:t>
      </w:r>
      <w:r w:rsidRPr="004D02D8">
        <w:rPr>
          <w:iCs/>
        </w:rPr>
        <w:t xml:space="preserve"> </w:t>
      </w:r>
      <w:r>
        <w:rPr>
          <w:iCs/>
        </w:rPr>
        <w:t>results in 1,657 fewer tons of CO</w:t>
      </w:r>
      <w:r w:rsidRPr="00186B15">
        <w:rPr>
          <w:iCs/>
          <w:vertAlign w:val="subscript"/>
        </w:rPr>
        <w:t>2</w:t>
      </w:r>
      <w:r>
        <w:rPr>
          <w:iCs/>
        </w:rPr>
        <w:t xml:space="preserve"> being released each year, or a reduction of 16.6 tons per truck per year</w:t>
      </w:r>
      <w:r w:rsidRPr="004D02D8">
        <w:rPr>
          <w:iCs/>
        </w:rPr>
        <w:t xml:space="preserve">. </w:t>
      </w:r>
      <w:r>
        <w:rPr>
          <w:iCs/>
        </w:rPr>
        <w:t>Based on the assumed capital and operations costs and lifetime of the trucks, the CNG strategy costs $1,024 per ton of CO</w:t>
      </w:r>
      <w:r w:rsidRPr="00186B15">
        <w:rPr>
          <w:iCs/>
          <w:vertAlign w:val="subscript"/>
        </w:rPr>
        <w:t>2</w:t>
      </w:r>
      <w:r>
        <w:rPr>
          <w:iCs/>
        </w:rPr>
        <w:t xml:space="preserve"> avoided.</w:t>
      </w:r>
    </w:p>
    <w:p w14:paraId="10957976" w14:textId="77777777" w:rsidR="00350F25" w:rsidRDefault="00350F25" w:rsidP="00350F25">
      <w:pPr>
        <w:pStyle w:val="BodyText"/>
        <w:rPr>
          <w:iCs/>
        </w:rPr>
      </w:pPr>
      <w:r>
        <w:rPr>
          <w:iCs/>
        </w:rPr>
        <w:t xml:space="preserve">The renewable CNG (RCNG) and renewable diesel (R100) </w:t>
      </w:r>
      <w:r w:rsidRPr="004D02D8">
        <w:rPr>
          <w:iCs/>
        </w:rPr>
        <w:t>strategies yield the largest emission reductions</w:t>
      </w:r>
      <w:r>
        <w:rPr>
          <w:iCs/>
        </w:rPr>
        <w:t xml:space="preserve"> at 4,743 and 4,900 tons, respectively</w:t>
      </w:r>
      <w:r w:rsidRPr="004D02D8">
        <w:rPr>
          <w:iCs/>
        </w:rPr>
        <w:t>.</w:t>
      </w:r>
      <w:r>
        <w:rPr>
          <w:iCs/>
        </w:rPr>
        <w:t xml:space="preserve"> The strategies with Low NOx engine added do not show different emission reductions because the Low NOx engines do not reduce CO</w:t>
      </w:r>
      <w:r w:rsidRPr="00186B15">
        <w:rPr>
          <w:iCs/>
          <w:vertAlign w:val="subscript"/>
        </w:rPr>
        <w:t>2</w:t>
      </w:r>
      <w:r>
        <w:rPr>
          <w:iCs/>
        </w:rPr>
        <w:t xml:space="preserve"> emissions.</w:t>
      </w:r>
      <w:r w:rsidRPr="004D02D8">
        <w:rPr>
          <w:iCs/>
        </w:rPr>
        <w:t xml:space="preserve"> </w:t>
      </w:r>
    </w:p>
    <w:p w14:paraId="5161686D" w14:textId="77777777" w:rsidR="00350F25" w:rsidRPr="004D02D8" w:rsidRDefault="00350F25" w:rsidP="00350F25">
      <w:pPr>
        <w:pStyle w:val="BodyText"/>
        <w:rPr>
          <w:iCs/>
        </w:rPr>
      </w:pPr>
      <w:r>
        <w:rPr>
          <w:iCs/>
        </w:rPr>
        <w:t xml:space="preserve">B20 and R100 – the two drop-in fuels – are the </w:t>
      </w:r>
      <w:r w:rsidRPr="004D02D8">
        <w:rPr>
          <w:iCs/>
        </w:rPr>
        <w:t>most cost effective.</w:t>
      </w:r>
      <w:r>
        <w:rPr>
          <w:iCs/>
        </w:rPr>
        <w:t xml:space="preserve"> Note that the availability of these fuels may limit implementation, especially early in the development of these fuel markets; the availability of alternative fuels is discussed further in the Guide. </w:t>
      </w:r>
    </w:p>
    <w:p w14:paraId="20EFFF28" w14:textId="77777777" w:rsidR="00350F25" w:rsidRPr="00140664" w:rsidRDefault="00350F25" w:rsidP="00350F25">
      <w:pPr>
        <w:pStyle w:val="Heading3"/>
      </w:pPr>
      <w:bookmarkStart w:id="108" w:name="_Toc482973571"/>
      <w:r w:rsidRPr="00140664">
        <w:t>Truck Deployment Analysis – Accelerated Retirement</w:t>
      </w:r>
      <w:bookmarkEnd w:id="108"/>
    </w:p>
    <w:p w14:paraId="321C680A" w14:textId="77777777" w:rsidR="00350F25" w:rsidRDefault="00350F25" w:rsidP="00350F25">
      <w:pPr>
        <w:pStyle w:val="BodyText"/>
      </w:pPr>
      <w:r>
        <w:t xml:space="preserve">The previous Truck Deployment Analysis allowed the user to estimate the impacts and costs of replacing older trucks with alternative fuel trucks or using alternative fuels in existing trucks. The following analysis allows the user to see the impacts and costs of replacing older trucks with newer models of diesel trucks. </w:t>
      </w:r>
    </w:p>
    <w:p w14:paraId="06D01E8E" w14:textId="77777777" w:rsidR="00350F25" w:rsidRDefault="00350F25" w:rsidP="00350F25">
      <w:pPr>
        <w:pStyle w:val="BodyText"/>
      </w:pPr>
      <w:r>
        <w:t>For each input option, enter the selections presented in the table below.</w:t>
      </w:r>
    </w:p>
    <w:tbl>
      <w:tblPr>
        <w:tblStyle w:val="TemplateTable"/>
        <w:tblW w:w="5000" w:type="pct"/>
        <w:tblLayout w:type="fixed"/>
        <w:tblCellMar>
          <w:top w:w="0" w:type="dxa"/>
          <w:bottom w:w="0" w:type="dxa"/>
        </w:tblCellMar>
        <w:tblLook w:val="04A0" w:firstRow="1" w:lastRow="0" w:firstColumn="1" w:lastColumn="0" w:noHBand="0" w:noVBand="1"/>
      </w:tblPr>
      <w:tblGrid>
        <w:gridCol w:w="2515"/>
        <w:gridCol w:w="1891"/>
        <w:gridCol w:w="4944"/>
      </w:tblGrid>
      <w:tr w:rsidR="00350F25" w:rsidRPr="00CC451D" w14:paraId="2EDC41D6" w14:textId="77777777" w:rsidTr="00350F25">
        <w:trPr>
          <w:cnfStyle w:val="100000000000" w:firstRow="1" w:lastRow="0" w:firstColumn="0" w:lastColumn="0" w:oddVBand="0" w:evenVBand="0" w:oddHBand="0" w:evenHBand="0" w:firstRowFirstColumn="0" w:firstRowLastColumn="0" w:lastRowFirstColumn="0" w:lastRowLastColumn="0"/>
          <w:trHeight w:val="24"/>
        </w:trPr>
        <w:tc>
          <w:tcPr>
            <w:tcW w:w="1345" w:type="pct"/>
            <w:tcBorders>
              <w:bottom w:val="single" w:sz="4" w:space="0" w:color="0070C0"/>
            </w:tcBorders>
            <w:noWrap/>
            <w:vAlign w:val="bottom"/>
          </w:tcPr>
          <w:p w14:paraId="7930D5AB" w14:textId="77777777" w:rsidR="00350F25" w:rsidRPr="004739E4" w:rsidRDefault="00350F25" w:rsidP="00350F25">
            <w:pPr>
              <w:pStyle w:val="TableColumnHeading"/>
            </w:pPr>
            <w:r>
              <w:t>Category</w:t>
            </w:r>
          </w:p>
        </w:tc>
        <w:tc>
          <w:tcPr>
            <w:tcW w:w="1011" w:type="pct"/>
            <w:tcBorders>
              <w:bottom w:val="single" w:sz="4" w:space="0" w:color="0070C0"/>
            </w:tcBorders>
            <w:vAlign w:val="bottom"/>
          </w:tcPr>
          <w:p w14:paraId="61820824" w14:textId="77777777" w:rsidR="00350F25" w:rsidRPr="004739E4" w:rsidRDefault="00350F25" w:rsidP="00350F25">
            <w:pPr>
              <w:pStyle w:val="TableColumnHeading"/>
            </w:pPr>
            <w:r>
              <w:t>Selection</w:t>
            </w:r>
          </w:p>
        </w:tc>
        <w:tc>
          <w:tcPr>
            <w:tcW w:w="2644" w:type="pct"/>
            <w:tcBorders>
              <w:bottom w:val="single" w:sz="4" w:space="0" w:color="0070C0"/>
            </w:tcBorders>
            <w:vAlign w:val="bottom"/>
          </w:tcPr>
          <w:p w14:paraId="547F3334" w14:textId="77777777" w:rsidR="00350F25" w:rsidRPr="004739E4" w:rsidRDefault="00350F25" w:rsidP="00350F25">
            <w:pPr>
              <w:pStyle w:val="TableColumnHeading"/>
            </w:pPr>
            <w:r>
              <w:t>Notes</w:t>
            </w:r>
          </w:p>
        </w:tc>
      </w:tr>
      <w:tr w:rsidR="00350F25" w:rsidRPr="00CC451D" w14:paraId="07A4F773"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52D67074" w14:textId="77777777" w:rsidR="00350F25" w:rsidRPr="004739E4" w:rsidRDefault="00350F25" w:rsidP="00350F25">
            <w:pPr>
              <w:pStyle w:val="TableCellText"/>
            </w:pPr>
            <w:r w:rsidRPr="00F6465A">
              <w:rPr>
                <w:b/>
              </w:rPr>
              <w:t>Analysis</w:t>
            </w:r>
          </w:p>
        </w:tc>
      </w:tr>
      <w:tr w:rsidR="00350F25" w:rsidRPr="00CC451D" w14:paraId="33EBAB26" w14:textId="77777777" w:rsidTr="00350F25">
        <w:trPr>
          <w:trHeight w:val="24"/>
        </w:trPr>
        <w:tc>
          <w:tcPr>
            <w:tcW w:w="1345" w:type="pct"/>
            <w:tcBorders>
              <w:top w:val="single" w:sz="4" w:space="0" w:color="0070C0"/>
              <w:left w:val="single" w:sz="4" w:space="0" w:color="0070C0"/>
              <w:bottom w:val="single" w:sz="4" w:space="0" w:color="0070C0"/>
              <w:right w:val="single" w:sz="4" w:space="0" w:color="0070C0"/>
            </w:tcBorders>
            <w:noWrap/>
          </w:tcPr>
          <w:p w14:paraId="5EB59A11" w14:textId="77777777" w:rsidR="00350F25" w:rsidRPr="004739E4" w:rsidRDefault="00350F25" w:rsidP="00350F25">
            <w:pPr>
              <w:pStyle w:val="TableCellText"/>
            </w:pPr>
            <w:r>
              <w:t>Analysis</w:t>
            </w:r>
          </w:p>
        </w:tc>
        <w:tc>
          <w:tcPr>
            <w:tcW w:w="1011" w:type="pct"/>
            <w:tcBorders>
              <w:top w:val="single" w:sz="4" w:space="0" w:color="0070C0"/>
              <w:left w:val="single" w:sz="4" w:space="0" w:color="0070C0"/>
              <w:bottom w:val="single" w:sz="4" w:space="0" w:color="0070C0"/>
              <w:right w:val="single" w:sz="4" w:space="0" w:color="0070C0"/>
            </w:tcBorders>
          </w:tcPr>
          <w:p w14:paraId="77E46D37" w14:textId="77777777" w:rsidR="00350F25" w:rsidRPr="004739E4" w:rsidRDefault="00350F25" w:rsidP="00350F25">
            <w:pPr>
              <w:pStyle w:val="TableCellText"/>
            </w:pPr>
            <w:r>
              <w:t>Truck Deployment Analysis</w:t>
            </w:r>
          </w:p>
        </w:tc>
        <w:tc>
          <w:tcPr>
            <w:tcW w:w="2644" w:type="pct"/>
            <w:tcBorders>
              <w:top w:val="single" w:sz="4" w:space="0" w:color="0070C0"/>
              <w:left w:val="single" w:sz="4" w:space="0" w:color="0070C0"/>
              <w:bottom w:val="single" w:sz="4" w:space="0" w:color="0070C0"/>
              <w:right w:val="single" w:sz="4" w:space="0" w:color="0070C0"/>
            </w:tcBorders>
          </w:tcPr>
          <w:p w14:paraId="113EDE87" w14:textId="77777777" w:rsidR="00350F25" w:rsidRPr="004739E4" w:rsidRDefault="00350F25" w:rsidP="00350F25">
            <w:pPr>
              <w:pStyle w:val="TableCellText"/>
            </w:pPr>
            <w:r>
              <w:t>This analysis allows the user t</w:t>
            </w:r>
            <w:r w:rsidRPr="00140664">
              <w:t xml:space="preserve">o </w:t>
            </w:r>
            <w:r>
              <w:t>estimate full costs and emissions impacts of a program.</w:t>
            </w:r>
          </w:p>
        </w:tc>
      </w:tr>
      <w:tr w:rsidR="00350F25" w:rsidRPr="00CC451D" w14:paraId="05BE4549"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73119CEE" w14:textId="77777777" w:rsidR="00350F25" w:rsidRPr="004739E4" w:rsidRDefault="00350F25" w:rsidP="00350F25">
            <w:pPr>
              <w:pStyle w:val="TableCellText"/>
            </w:pPr>
            <w:r w:rsidRPr="00447743">
              <w:rPr>
                <w:b/>
              </w:rPr>
              <w:t>Scope</w:t>
            </w:r>
          </w:p>
        </w:tc>
      </w:tr>
      <w:tr w:rsidR="00350F25" w:rsidRPr="00CC451D" w14:paraId="016657D4" w14:textId="77777777" w:rsidTr="00350F25">
        <w:trPr>
          <w:trHeight w:val="24"/>
        </w:trPr>
        <w:tc>
          <w:tcPr>
            <w:tcW w:w="1345" w:type="pct"/>
            <w:tcBorders>
              <w:top w:val="single" w:sz="4" w:space="0" w:color="0070C0"/>
              <w:left w:val="single" w:sz="4" w:space="0" w:color="0070C0"/>
              <w:bottom w:val="single" w:sz="4" w:space="0" w:color="0070C0"/>
              <w:right w:val="single" w:sz="4" w:space="0" w:color="0070C0"/>
            </w:tcBorders>
            <w:noWrap/>
          </w:tcPr>
          <w:p w14:paraId="6F74A781" w14:textId="77777777" w:rsidR="00350F25" w:rsidRDefault="00350F25" w:rsidP="00350F25">
            <w:pPr>
              <w:pStyle w:val="TableCellText"/>
            </w:pPr>
            <w:r>
              <w:t>Year of Modification</w:t>
            </w:r>
          </w:p>
        </w:tc>
        <w:tc>
          <w:tcPr>
            <w:tcW w:w="1011" w:type="pct"/>
            <w:tcBorders>
              <w:top w:val="single" w:sz="4" w:space="0" w:color="0070C0"/>
              <w:left w:val="single" w:sz="4" w:space="0" w:color="0070C0"/>
              <w:bottom w:val="single" w:sz="4" w:space="0" w:color="0070C0"/>
              <w:right w:val="single" w:sz="4" w:space="0" w:color="0070C0"/>
            </w:tcBorders>
          </w:tcPr>
          <w:p w14:paraId="694B0396" w14:textId="77777777" w:rsidR="00350F25" w:rsidRDefault="00350F25" w:rsidP="00350F25">
            <w:pPr>
              <w:pStyle w:val="TableCellText"/>
            </w:pPr>
            <w:r>
              <w:t>2030</w:t>
            </w:r>
          </w:p>
        </w:tc>
        <w:tc>
          <w:tcPr>
            <w:tcW w:w="2644" w:type="pct"/>
            <w:tcBorders>
              <w:top w:val="single" w:sz="4" w:space="0" w:color="0070C0"/>
              <w:left w:val="single" w:sz="4" w:space="0" w:color="0070C0"/>
              <w:bottom w:val="single" w:sz="4" w:space="0" w:color="0070C0"/>
              <w:right w:val="single" w:sz="4" w:space="0" w:color="0070C0"/>
            </w:tcBorders>
          </w:tcPr>
          <w:p w14:paraId="7DD577EA" w14:textId="77777777" w:rsidR="00350F25" w:rsidRPr="004739E4" w:rsidRDefault="00350F25" w:rsidP="00350F25">
            <w:pPr>
              <w:pStyle w:val="TableCellText"/>
            </w:pPr>
            <w:r>
              <w:t>The modification</w:t>
            </w:r>
            <w:r w:rsidRPr="00140664">
              <w:t xml:space="preserve"> year is when the modifications </w:t>
            </w:r>
            <w:r>
              <w:t xml:space="preserve">or replacements </w:t>
            </w:r>
            <w:r w:rsidRPr="00140664">
              <w:t>take place</w:t>
            </w:r>
            <w:r>
              <w:t>. Because the</w:t>
            </w:r>
            <w:r w:rsidRPr="00140664">
              <w:t xml:space="preserve"> </w:t>
            </w:r>
            <w:r>
              <w:t>LRTP goes</w:t>
            </w:r>
            <w:r w:rsidRPr="00140664">
              <w:t xml:space="preserve"> out to 2040</w:t>
            </w:r>
            <w:r>
              <w:t xml:space="preserve"> in this scenario</w:t>
            </w:r>
            <w:r w:rsidRPr="00140664">
              <w:t xml:space="preserve">, </w:t>
            </w:r>
            <w:r>
              <w:t>the user should assume modifications happen sometime</w:t>
            </w:r>
            <w:r w:rsidRPr="00140664">
              <w:t xml:space="preserve"> before that</w:t>
            </w:r>
            <w:r>
              <w:t>. I</w:t>
            </w:r>
            <w:r w:rsidRPr="003103E0">
              <w:t>f 2040</w:t>
            </w:r>
            <w:r>
              <w:t xml:space="preserve"> is selected</w:t>
            </w:r>
            <w:r w:rsidRPr="003103E0">
              <w:t xml:space="preserve">, the Tool assumes </w:t>
            </w:r>
            <w:r>
              <w:t>all changes occur</w:t>
            </w:r>
            <w:r w:rsidRPr="003103E0">
              <w:t xml:space="preserve"> in 2040, and the emissions benefits will be smaller because the </w:t>
            </w:r>
            <w:r>
              <w:t xml:space="preserve">Tool assumes the </w:t>
            </w:r>
            <w:r w:rsidRPr="003103E0">
              <w:t>baseline fleet is cleaner in 2040</w:t>
            </w:r>
            <w:r>
              <w:t>.</w:t>
            </w:r>
          </w:p>
        </w:tc>
      </w:tr>
      <w:tr w:rsidR="00350F25" w:rsidRPr="00CC451D" w14:paraId="2AF51399" w14:textId="77777777" w:rsidTr="00350F25">
        <w:trPr>
          <w:trHeight w:val="24"/>
        </w:trPr>
        <w:tc>
          <w:tcPr>
            <w:tcW w:w="1345" w:type="pct"/>
            <w:tcBorders>
              <w:top w:val="single" w:sz="4" w:space="0" w:color="0070C0"/>
              <w:left w:val="single" w:sz="4" w:space="0" w:color="0070C0"/>
              <w:bottom w:val="single" w:sz="4" w:space="0" w:color="0070C0"/>
              <w:right w:val="single" w:sz="4" w:space="0" w:color="0070C0"/>
            </w:tcBorders>
            <w:noWrap/>
          </w:tcPr>
          <w:p w14:paraId="4E441165" w14:textId="77777777" w:rsidR="00350F25" w:rsidRDefault="00350F25" w:rsidP="00350F25">
            <w:pPr>
              <w:pStyle w:val="TableCellText"/>
            </w:pPr>
            <w:r>
              <w:t>Area of Interest</w:t>
            </w:r>
          </w:p>
        </w:tc>
        <w:tc>
          <w:tcPr>
            <w:tcW w:w="1011" w:type="pct"/>
            <w:tcBorders>
              <w:top w:val="single" w:sz="4" w:space="0" w:color="0070C0"/>
              <w:left w:val="single" w:sz="4" w:space="0" w:color="0070C0"/>
              <w:bottom w:val="single" w:sz="4" w:space="0" w:color="0070C0"/>
              <w:right w:val="single" w:sz="4" w:space="0" w:color="0070C0"/>
            </w:tcBorders>
          </w:tcPr>
          <w:p w14:paraId="245C1E12" w14:textId="77777777" w:rsidR="00350F25" w:rsidRDefault="00350F25" w:rsidP="00350F25">
            <w:pPr>
              <w:pStyle w:val="TableCellText"/>
            </w:pPr>
            <w:r>
              <w:t>Metropolitan</w:t>
            </w:r>
          </w:p>
        </w:tc>
        <w:tc>
          <w:tcPr>
            <w:tcW w:w="2644" w:type="pct"/>
            <w:tcBorders>
              <w:top w:val="single" w:sz="4" w:space="0" w:color="0070C0"/>
              <w:left w:val="single" w:sz="4" w:space="0" w:color="0070C0"/>
              <w:bottom w:val="single" w:sz="4" w:space="0" w:color="0070C0"/>
              <w:right w:val="single" w:sz="4" w:space="0" w:color="0070C0"/>
            </w:tcBorders>
          </w:tcPr>
          <w:p w14:paraId="7CFA5753" w14:textId="77777777" w:rsidR="00350F25" w:rsidRPr="004739E4" w:rsidRDefault="00350F25" w:rsidP="00350F25">
            <w:pPr>
              <w:pStyle w:val="TableCellText"/>
            </w:pPr>
            <w:r w:rsidRPr="00CE6761">
              <w:t xml:space="preserve">Geographic scale determines the emission factors used in the calculations. The larger the geographic scale </w:t>
            </w:r>
            <w:r>
              <w:t>assume</w:t>
            </w:r>
            <w:r w:rsidRPr="00CE6761">
              <w:t xml:space="preserve"> more freeways </w:t>
            </w:r>
            <w:r>
              <w:t xml:space="preserve">are </w:t>
            </w:r>
            <w:r w:rsidRPr="00CE6761">
              <w:t>used, while the smaller geographic scales have more local roads</w:t>
            </w:r>
            <w:r>
              <w:t xml:space="preserve">. </w:t>
            </w:r>
          </w:p>
        </w:tc>
      </w:tr>
      <w:tr w:rsidR="00350F25" w:rsidRPr="00CC451D" w14:paraId="473D0BC8" w14:textId="77777777" w:rsidTr="00350F25">
        <w:trPr>
          <w:trHeight w:val="24"/>
        </w:trPr>
        <w:tc>
          <w:tcPr>
            <w:tcW w:w="1345" w:type="pct"/>
            <w:tcBorders>
              <w:top w:val="single" w:sz="4" w:space="0" w:color="0070C0"/>
              <w:left w:val="single" w:sz="4" w:space="0" w:color="0070C0"/>
              <w:bottom w:val="single" w:sz="4" w:space="0" w:color="0070C0"/>
              <w:right w:val="single" w:sz="4" w:space="0" w:color="0070C0"/>
            </w:tcBorders>
            <w:noWrap/>
          </w:tcPr>
          <w:p w14:paraId="16FDA595" w14:textId="77777777" w:rsidR="00350F25" w:rsidRDefault="00350F25" w:rsidP="00350F25">
            <w:pPr>
              <w:pStyle w:val="TableCellText"/>
            </w:pPr>
            <w:r>
              <w:t>Type of Truck</w:t>
            </w:r>
          </w:p>
        </w:tc>
        <w:tc>
          <w:tcPr>
            <w:tcW w:w="1011" w:type="pct"/>
            <w:tcBorders>
              <w:top w:val="single" w:sz="4" w:space="0" w:color="0070C0"/>
              <w:left w:val="single" w:sz="4" w:space="0" w:color="0070C0"/>
              <w:bottom w:val="single" w:sz="4" w:space="0" w:color="0070C0"/>
              <w:right w:val="single" w:sz="4" w:space="0" w:color="0070C0"/>
            </w:tcBorders>
          </w:tcPr>
          <w:p w14:paraId="1BC6062B" w14:textId="77777777" w:rsidR="00350F25" w:rsidRDefault="00350F25" w:rsidP="00350F25">
            <w:pPr>
              <w:pStyle w:val="TableCellText"/>
            </w:pPr>
            <w:r>
              <w:t>Combo Unit Short Haul</w:t>
            </w:r>
          </w:p>
        </w:tc>
        <w:tc>
          <w:tcPr>
            <w:tcW w:w="2644" w:type="pct"/>
            <w:tcBorders>
              <w:top w:val="single" w:sz="4" w:space="0" w:color="0070C0"/>
              <w:left w:val="single" w:sz="4" w:space="0" w:color="0070C0"/>
              <w:bottom w:val="single" w:sz="4" w:space="0" w:color="0070C0"/>
              <w:right w:val="single" w:sz="4" w:space="0" w:color="0070C0"/>
            </w:tcBorders>
          </w:tcPr>
          <w:p w14:paraId="16E76C93" w14:textId="77777777" w:rsidR="00350F25" w:rsidRPr="004739E4" w:rsidRDefault="00350F25" w:rsidP="00350F25">
            <w:pPr>
              <w:pStyle w:val="TableCellText"/>
            </w:pPr>
            <w:r>
              <w:t xml:space="preserve">For this scenario, </w:t>
            </w:r>
            <w:r w:rsidRPr="00140664">
              <w:t xml:space="preserve">combination </w:t>
            </w:r>
            <w:r>
              <w:t xml:space="preserve">short haul trucks are selected </w:t>
            </w:r>
            <w:r w:rsidRPr="00140664">
              <w:t>as they will operate within the metropolitan region.</w:t>
            </w:r>
          </w:p>
        </w:tc>
      </w:tr>
      <w:tr w:rsidR="00350F25" w:rsidRPr="00CC451D" w14:paraId="6E591B56" w14:textId="77777777" w:rsidTr="00350F25">
        <w:trPr>
          <w:trHeight w:val="24"/>
        </w:trPr>
        <w:tc>
          <w:tcPr>
            <w:tcW w:w="1345" w:type="pct"/>
            <w:tcBorders>
              <w:top w:val="single" w:sz="4" w:space="0" w:color="0070C0"/>
              <w:left w:val="single" w:sz="4" w:space="0" w:color="0070C0"/>
              <w:bottom w:val="single" w:sz="4" w:space="0" w:color="0070C0"/>
              <w:right w:val="single" w:sz="4" w:space="0" w:color="0070C0"/>
            </w:tcBorders>
            <w:noWrap/>
          </w:tcPr>
          <w:p w14:paraId="0BF9E355" w14:textId="77777777" w:rsidR="00350F25" w:rsidRDefault="00350F25" w:rsidP="00350F25">
            <w:pPr>
              <w:pStyle w:val="TableCellText"/>
            </w:pPr>
            <w:r>
              <w:t>Type of Modification</w:t>
            </w:r>
          </w:p>
        </w:tc>
        <w:tc>
          <w:tcPr>
            <w:tcW w:w="1011" w:type="pct"/>
            <w:tcBorders>
              <w:top w:val="single" w:sz="4" w:space="0" w:color="0070C0"/>
              <w:left w:val="single" w:sz="4" w:space="0" w:color="0070C0"/>
              <w:bottom w:val="single" w:sz="4" w:space="0" w:color="0070C0"/>
              <w:right w:val="single" w:sz="4" w:space="0" w:color="0070C0"/>
            </w:tcBorders>
          </w:tcPr>
          <w:p w14:paraId="0C92E808" w14:textId="77777777" w:rsidR="00350F25" w:rsidRDefault="00350F25" w:rsidP="00350F25">
            <w:pPr>
              <w:pStyle w:val="TableCellText"/>
            </w:pPr>
            <w:r>
              <w:t>Accelerated Retirement</w:t>
            </w:r>
          </w:p>
        </w:tc>
        <w:tc>
          <w:tcPr>
            <w:tcW w:w="2644" w:type="pct"/>
            <w:tcBorders>
              <w:top w:val="single" w:sz="4" w:space="0" w:color="0070C0"/>
              <w:left w:val="single" w:sz="4" w:space="0" w:color="0070C0"/>
              <w:bottom w:val="single" w:sz="4" w:space="0" w:color="0070C0"/>
              <w:right w:val="single" w:sz="4" w:space="0" w:color="0070C0"/>
            </w:tcBorders>
          </w:tcPr>
          <w:p w14:paraId="7ADC3E90" w14:textId="77777777" w:rsidR="00350F25" w:rsidRPr="004739E4" w:rsidRDefault="00350F25" w:rsidP="00350F25">
            <w:pPr>
              <w:pStyle w:val="TableCellText"/>
            </w:pPr>
            <w:r>
              <w:t>This selection assumes trucks of older model years (selected on the Vehicle Data page) will be replaced with trucks of later model years.</w:t>
            </w:r>
          </w:p>
        </w:tc>
      </w:tr>
      <w:tr w:rsidR="00350F25" w:rsidRPr="00CC451D" w14:paraId="5BE61F20"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6B7AAA5A" w14:textId="77777777" w:rsidR="00350F25" w:rsidRPr="004739E4" w:rsidRDefault="00350F25" w:rsidP="00350F25">
            <w:pPr>
              <w:pStyle w:val="TableCellText"/>
              <w:keepNext/>
            </w:pPr>
            <w:r w:rsidRPr="00447743">
              <w:rPr>
                <w:b/>
              </w:rPr>
              <w:lastRenderedPageBreak/>
              <w:t>Vehicle Data</w:t>
            </w:r>
          </w:p>
        </w:tc>
      </w:tr>
      <w:tr w:rsidR="00350F25" w:rsidRPr="00CC451D" w14:paraId="3343CE39" w14:textId="77777777" w:rsidTr="00350F25">
        <w:trPr>
          <w:trHeight w:val="24"/>
        </w:trPr>
        <w:tc>
          <w:tcPr>
            <w:tcW w:w="1345" w:type="pct"/>
            <w:tcBorders>
              <w:top w:val="single" w:sz="4" w:space="0" w:color="0070C0"/>
              <w:left w:val="single" w:sz="4" w:space="0" w:color="0070C0"/>
              <w:bottom w:val="single" w:sz="4" w:space="0" w:color="0070C0"/>
              <w:right w:val="single" w:sz="4" w:space="0" w:color="0070C0"/>
            </w:tcBorders>
            <w:noWrap/>
          </w:tcPr>
          <w:p w14:paraId="26450623" w14:textId="77777777" w:rsidR="00350F25" w:rsidRDefault="00350F25" w:rsidP="00350F25">
            <w:pPr>
              <w:pStyle w:val="TableCellText"/>
              <w:keepNext/>
            </w:pPr>
            <w:r>
              <w:t>Number of Trucks to Be Replaced</w:t>
            </w:r>
          </w:p>
        </w:tc>
        <w:tc>
          <w:tcPr>
            <w:tcW w:w="1011" w:type="pct"/>
            <w:tcBorders>
              <w:top w:val="single" w:sz="4" w:space="0" w:color="0070C0"/>
              <w:left w:val="single" w:sz="4" w:space="0" w:color="0070C0"/>
              <w:bottom w:val="single" w:sz="4" w:space="0" w:color="0070C0"/>
              <w:right w:val="single" w:sz="4" w:space="0" w:color="0070C0"/>
            </w:tcBorders>
          </w:tcPr>
          <w:p w14:paraId="41093BB1" w14:textId="77777777" w:rsidR="00350F25" w:rsidRDefault="00350F25" w:rsidP="00350F25">
            <w:pPr>
              <w:pStyle w:val="TableCellText"/>
              <w:keepNext/>
            </w:pPr>
            <w:r>
              <w:t>100</w:t>
            </w:r>
          </w:p>
        </w:tc>
        <w:tc>
          <w:tcPr>
            <w:tcW w:w="2644" w:type="pct"/>
            <w:tcBorders>
              <w:top w:val="single" w:sz="4" w:space="0" w:color="0070C0"/>
              <w:left w:val="single" w:sz="4" w:space="0" w:color="0070C0"/>
              <w:bottom w:val="single" w:sz="4" w:space="0" w:color="0070C0"/>
              <w:right w:val="single" w:sz="4" w:space="0" w:color="0070C0"/>
            </w:tcBorders>
          </w:tcPr>
          <w:p w14:paraId="1A43BA03" w14:textId="77777777" w:rsidR="00350F25" w:rsidRPr="004739E4" w:rsidRDefault="00350F25" w:rsidP="00350F25">
            <w:pPr>
              <w:pStyle w:val="TableCellText"/>
              <w:keepNext/>
            </w:pPr>
            <w:r>
              <w:t>The results can be divided by 100 to calculate the per-truck impacts.</w:t>
            </w:r>
          </w:p>
        </w:tc>
      </w:tr>
      <w:tr w:rsidR="00350F25" w:rsidRPr="00CC451D" w14:paraId="281375B8" w14:textId="77777777" w:rsidTr="00350F25">
        <w:trPr>
          <w:trHeight w:val="24"/>
        </w:trPr>
        <w:tc>
          <w:tcPr>
            <w:tcW w:w="1345" w:type="pct"/>
            <w:tcBorders>
              <w:top w:val="single" w:sz="4" w:space="0" w:color="0070C0"/>
              <w:left w:val="single" w:sz="4" w:space="0" w:color="0070C0"/>
              <w:bottom w:val="single" w:sz="4" w:space="0" w:color="0070C0"/>
              <w:right w:val="single" w:sz="4" w:space="0" w:color="0070C0"/>
            </w:tcBorders>
            <w:noWrap/>
          </w:tcPr>
          <w:p w14:paraId="4B4B1EF9" w14:textId="77777777" w:rsidR="00350F25" w:rsidRDefault="00350F25" w:rsidP="00350F25">
            <w:pPr>
              <w:pStyle w:val="TableCellText"/>
            </w:pPr>
            <w:r>
              <w:t>Average Annual Mileage Accumulation</w:t>
            </w:r>
          </w:p>
        </w:tc>
        <w:tc>
          <w:tcPr>
            <w:tcW w:w="1011" w:type="pct"/>
            <w:tcBorders>
              <w:top w:val="single" w:sz="4" w:space="0" w:color="0070C0"/>
              <w:left w:val="single" w:sz="4" w:space="0" w:color="0070C0"/>
              <w:bottom w:val="single" w:sz="4" w:space="0" w:color="0070C0"/>
              <w:right w:val="single" w:sz="4" w:space="0" w:color="0070C0"/>
            </w:tcBorders>
          </w:tcPr>
          <w:p w14:paraId="1BF00E20" w14:textId="77777777" w:rsidR="00350F25" w:rsidRDefault="00350F25" w:rsidP="00350F25">
            <w:pPr>
              <w:pStyle w:val="TableCellText"/>
            </w:pPr>
            <w:r>
              <w:t>Leave default values</w:t>
            </w:r>
          </w:p>
        </w:tc>
        <w:tc>
          <w:tcPr>
            <w:tcW w:w="2644" w:type="pct"/>
            <w:tcBorders>
              <w:top w:val="single" w:sz="4" w:space="0" w:color="0070C0"/>
              <w:left w:val="single" w:sz="4" w:space="0" w:color="0070C0"/>
              <w:bottom w:val="single" w:sz="4" w:space="0" w:color="0070C0"/>
              <w:right w:val="single" w:sz="4" w:space="0" w:color="0070C0"/>
            </w:tcBorders>
          </w:tcPr>
          <w:p w14:paraId="635AA908" w14:textId="77777777" w:rsidR="00350F25" w:rsidRPr="004739E4" w:rsidRDefault="00350F25" w:rsidP="00350F25">
            <w:pPr>
              <w:pStyle w:val="TableCellText"/>
            </w:pPr>
            <w:r>
              <w:t>The</w:t>
            </w:r>
            <w:r w:rsidRPr="0050596A">
              <w:t xml:space="preserve"> default </w:t>
            </w:r>
            <w:r>
              <w:t>values come</w:t>
            </w:r>
            <w:r w:rsidRPr="0050596A">
              <w:t xml:space="preserve"> from </w:t>
            </w:r>
            <w:r>
              <w:t xml:space="preserve">the </w:t>
            </w:r>
            <w:r w:rsidRPr="0050596A">
              <w:t>MOVES</w:t>
            </w:r>
            <w:r>
              <w:t xml:space="preserve"> model</w:t>
            </w:r>
            <w:r w:rsidRPr="0050596A">
              <w:t xml:space="preserve">. </w:t>
            </w:r>
            <w:r>
              <w:t>M</w:t>
            </w:r>
            <w:r w:rsidRPr="0050596A">
              <w:t xml:space="preserve">ore annual miles </w:t>
            </w:r>
            <w:r>
              <w:t>will result in</w:t>
            </w:r>
            <w:r w:rsidRPr="0050596A">
              <w:t xml:space="preserve"> more emissions benefits</w:t>
            </w:r>
            <w:r>
              <w:t>.</w:t>
            </w:r>
          </w:p>
        </w:tc>
      </w:tr>
      <w:tr w:rsidR="00350F25" w:rsidRPr="00CC451D" w14:paraId="09A49B31" w14:textId="77777777" w:rsidTr="00350F25">
        <w:trPr>
          <w:trHeight w:val="24"/>
        </w:trPr>
        <w:tc>
          <w:tcPr>
            <w:tcW w:w="1345" w:type="pct"/>
            <w:tcBorders>
              <w:top w:val="single" w:sz="4" w:space="0" w:color="0070C0"/>
              <w:left w:val="single" w:sz="4" w:space="0" w:color="0070C0"/>
              <w:bottom w:val="single" w:sz="4" w:space="0" w:color="0070C0"/>
              <w:right w:val="single" w:sz="4" w:space="0" w:color="0070C0"/>
            </w:tcBorders>
            <w:noWrap/>
          </w:tcPr>
          <w:p w14:paraId="0D97D735" w14:textId="77777777" w:rsidR="00350F25" w:rsidRDefault="00350F25" w:rsidP="00350F25">
            <w:pPr>
              <w:pStyle w:val="TableCellText"/>
            </w:pPr>
            <w:r>
              <w:t>Range of Model Years to Modify/Scrap (inclusive)</w:t>
            </w:r>
          </w:p>
        </w:tc>
        <w:tc>
          <w:tcPr>
            <w:tcW w:w="1011" w:type="pct"/>
            <w:tcBorders>
              <w:top w:val="single" w:sz="4" w:space="0" w:color="0070C0"/>
              <w:left w:val="single" w:sz="4" w:space="0" w:color="0070C0"/>
              <w:bottom w:val="single" w:sz="4" w:space="0" w:color="0070C0"/>
              <w:right w:val="single" w:sz="4" w:space="0" w:color="0070C0"/>
            </w:tcBorders>
          </w:tcPr>
          <w:p w14:paraId="1527CB0C" w14:textId="77777777" w:rsidR="00350F25" w:rsidRDefault="00350F25" w:rsidP="00350F25">
            <w:pPr>
              <w:pStyle w:val="TableCellText"/>
            </w:pPr>
            <w:r>
              <w:t>2000-2017</w:t>
            </w:r>
          </w:p>
        </w:tc>
        <w:tc>
          <w:tcPr>
            <w:tcW w:w="2644" w:type="pct"/>
            <w:tcBorders>
              <w:top w:val="single" w:sz="4" w:space="0" w:color="0070C0"/>
              <w:left w:val="single" w:sz="4" w:space="0" w:color="0070C0"/>
              <w:bottom w:val="single" w:sz="4" w:space="0" w:color="0070C0"/>
              <w:right w:val="single" w:sz="4" w:space="0" w:color="0070C0"/>
            </w:tcBorders>
          </w:tcPr>
          <w:p w14:paraId="32A54714" w14:textId="77777777" w:rsidR="00350F25" w:rsidRPr="004739E4" w:rsidRDefault="00350F25" w:rsidP="00350F25">
            <w:pPr>
              <w:pStyle w:val="TableCellText"/>
            </w:pPr>
            <w:r>
              <w:t>This range is based on replacing pre-2018 trucks since the Heavy-Duty GHG Phase 1</w:t>
            </w:r>
            <w:r w:rsidRPr="00140664">
              <w:t xml:space="preserve"> rule would have been fully phased in by 201</w:t>
            </w:r>
            <w:r>
              <w:t>8, and the Phase 2 regulations begin.</w:t>
            </w:r>
          </w:p>
        </w:tc>
      </w:tr>
      <w:tr w:rsidR="00350F25" w:rsidRPr="00CC451D" w14:paraId="41E108D5" w14:textId="77777777" w:rsidTr="00350F25">
        <w:trPr>
          <w:trHeight w:val="24"/>
        </w:trPr>
        <w:tc>
          <w:tcPr>
            <w:tcW w:w="1345" w:type="pct"/>
            <w:tcBorders>
              <w:top w:val="single" w:sz="4" w:space="0" w:color="0070C0"/>
              <w:left w:val="single" w:sz="4" w:space="0" w:color="0070C0"/>
              <w:bottom w:val="single" w:sz="4" w:space="0" w:color="0070C0"/>
              <w:right w:val="single" w:sz="4" w:space="0" w:color="0070C0"/>
            </w:tcBorders>
            <w:noWrap/>
          </w:tcPr>
          <w:p w14:paraId="0AE260E0" w14:textId="39769705" w:rsidR="00350F25" w:rsidRDefault="006771E4" w:rsidP="00350F25">
            <w:pPr>
              <w:pStyle w:val="TableCellText"/>
            </w:pPr>
            <w:r>
              <w:t>Long haul</w:t>
            </w:r>
            <w:r w:rsidR="00350F25">
              <w:t xml:space="preserve"> Annual Idle Hours</w:t>
            </w:r>
          </w:p>
        </w:tc>
        <w:tc>
          <w:tcPr>
            <w:tcW w:w="1011" w:type="pct"/>
            <w:tcBorders>
              <w:top w:val="single" w:sz="4" w:space="0" w:color="0070C0"/>
              <w:left w:val="single" w:sz="4" w:space="0" w:color="0070C0"/>
              <w:bottom w:val="single" w:sz="4" w:space="0" w:color="0070C0"/>
              <w:right w:val="single" w:sz="4" w:space="0" w:color="0070C0"/>
            </w:tcBorders>
          </w:tcPr>
          <w:p w14:paraId="29AB1C16" w14:textId="77777777" w:rsidR="00350F25" w:rsidRDefault="00350F25" w:rsidP="00350F25">
            <w:pPr>
              <w:pStyle w:val="TableCellText"/>
            </w:pPr>
            <w:r>
              <w:t>n/a</w:t>
            </w:r>
          </w:p>
        </w:tc>
        <w:tc>
          <w:tcPr>
            <w:tcW w:w="2644" w:type="pct"/>
            <w:tcBorders>
              <w:top w:val="single" w:sz="4" w:space="0" w:color="0070C0"/>
              <w:left w:val="single" w:sz="4" w:space="0" w:color="0070C0"/>
              <w:bottom w:val="single" w:sz="4" w:space="0" w:color="0070C0"/>
              <w:right w:val="single" w:sz="4" w:space="0" w:color="0070C0"/>
            </w:tcBorders>
          </w:tcPr>
          <w:p w14:paraId="24614000" w14:textId="158C6B4B" w:rsidR="00350F25" w:rsidRPr="004739E4" w:rsidRDefault="00350F25" w:rsidP="00350F25">
            <w:pPr>
              <w:pStyle w:val="TableCellText"/>
            </w:pPr>
            <w:r>
              <w:t xml:space="preserve">Only applicable for strategies involving combo unit </w:t>
            </w:r>
            <w:r w:rsidR="006771E4">
              <w:t>long haul</w:t>
            </w:r>
            <w:r>
              <w:t xml:space="preserve"> trucks.</w:t>
            </w:r>
          </w:p>
        </w:tc>
      </w:tr>
      <w:tr w:rsidR="00350F25" w:rsidRPr="00CC451D" w14:paraId="719EAC80"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711C9C22" w14:textId="77777777" w:rsidR="00350F25" w:rsidRPr="004739E4" w:rsidRDefault="00350F25" w:rsidP="00350F25">
            <w:pPr>
              <w:pStyle w:val="TableCellText"/>
            </w:pPr>
            <w:r w:rsidRPr="00447743">
              <w:rPr>
                <w:b/>
              </w:rPr>
              <w:t>Fuel Costs</w:t>
            </w:r>
          </w:p>
        </w:tc>
      </w:tr>
      <w:tr w:rsidR="00350F25" w:rsidRPr="00CC451D" w14:paraId="11FBC55A" w14:textId="77777777" w:rsidTr="00350F25">
        <w:trPr>
          <w:trHeight w:val="24"/>
        </w:trPr>
        <w:tc>
          <w:tcPr>
            <w:tcW w:w="1345" w:type="pct"/>
            <w:tcBorders>
              <w:top w:val="single" w:sz="4" w:space="0" w:color="0070C0"/>
              <w:left w:val="single" w:sz="4" w:space="0" w:color="0070C0"/>
              <w:bottom w:val="single" w:sz="4" w:space="0" w:color="0070C0"/>
              <w:right w:val="single" w:sz="4" w:space="0" w:color="0070C0"/>
            </w:tcBorders>
            <w:noWrap/>
          </w:tcPr>
          <w:p w14:paraId="6F4C96EB" w14:textId="77777777" w:rsidR="00350F25" w:rsidRDefault="00350F25" w:rsidP="00350F25">
            <w:pPr>
              <w:pStyle w:val="TableCellText"/>
            </w:pPr>
            <w:r>
              <w:t>Cost per Unit</w:t>
            </w:r>
          </w:p>
        </w:tc>
        <w:tc>
          <w:tcPr>
            <w:tcW w:w="1011" w:type="pct"/>
            <w:tcBorders>
              <w:top w:val="single" w:sz="4" w:space="0" w:color="0070C0"/>
              <w:left w:val="single" w:sz="4" w:space="0" w:color="0070C0"/>
              <w:bottom w:val="single" w:sz="4" w:space="0" w:color="0070C0"/>
              <w:right w:val="single" w:sz="4" w:space="0" w:color="0070C0"/>
            </w:tcBorders>
          </w:tcPr>
          <w:p w14:paraId="6846AF47" w14:textId="77777777" w:rsidR="00350F25" w:rsidRDefault="00350F25" w:rsidP="00350F25">
            <w:pPr>
              <w:pStyle w:val="TableCellText"/>
            </w:pPr>
            <w:r>
              <w:t>Leave default values</w:t>
            </w:r>
          </w:p>
        </w:tc>
        <w:tc>
          <w:tcPr>
            <w:tcW w:w="2644" w:type="pct"/>
            <w:tcBorders>
              <w:top w:val="single" w:sz="4" w:space="0" w:color="0070C0"/>
              <w:left w:val="single" w:sz="4" w:space="0" w:color="0070C0"/>
              <w:bottom w:val="single" w:sz="4" w:space="0" w:color="0070C0"/>
              <w:right w:val="single" w:sz="4" w:space="0" w:color="0070C0"/>
            </w:tcBorders>
          </w:tcPr>
          <w:p w14:paraId="7ABF2502" w14:textId="77777777" w:rsidR="00350F25" w:rsidRPr="004739E4" w:rsidRDefault="00350F25" w:rsidP="00350F25">
            <w:pPr>
              <w:pStyle w:val="TableCellText"/>
            </w:pPr>
            <w:r>
              <w:t xml:space="preserve">Default values are national averages; more up-to-date and regional fuel prices can be found at the Alternative Fuels Data Center’s </w:t>
            </w:r>
            <w:hyperlink r:id="rId81" w:history="1">
              <w:r w:rsidRPr="009E5B70">
                <w:rPr>
                  <w:rStyle w:val="Hyperlink"/>
                </w:rPr>
                <w:t>Fuel Prices webpage</w:t>
              </w:r>
            </w:hyperlink>
            <w:r>
              <w:t>.</w:t>
            </w:r>
          </w:p>
        </w:tc>
      </w:tr>
      <w:tr w:rsidR="00350F25" w:rsidRPr="00CC451D" w14:paraId="33D120F1" w14:textId="77777777" w:rsidTr="00350F25">
        <w:trPr>
          <w:trHeight w:val="24"/>
        </w:trPr>
        <w:tc>
          <w:tcPr>
            <w:tcW w:w="1345" w:type="pct"/>
            <w:tcBorders>
              <w:top w:val="single" w:sz="4" w:space="0" w:color="0070C0"/>
              <w:left w:val="single" w:sz="4" w:space="0" w:color="0070C0"/>
              <w:bottom w:val="single" w:sz="4" w:space="0" w:color="0070C0"/>
              <w:right w:val="single" w:sz="4" w:space="0" w:color="0070C0"/>
            </w:tcBorders>
            <w:noWrap/>
          </w:tcPr>
          <w:p w14:paraId="02CEB87C" w14:textId="77777777" w:rsidR="00350F25" w:rsidRDefault="00350F25" w:rsidP="00350F25">
            <w:pPr>
              <w:pStyle w:val="TableCellText"/>
            </w:pPr>
            <w:r>
              <w:t>Regional Mix</w:t>
            </w:r>
          </w:p>
        </w:tc>
        <w:tc>
          <w:tcPr>
            <w:tcW w:w="1011" w:type="pct"/>
            <w:tcBorders>
              <w:top w:val="single" w:sz="4" w:space="0" w:color="0070C0"/>
              <w:left w:val="single" w:sz="4" w:space="0" w:color="0070C0"/>
              <w:bottom w:val="single" w:sz="4" w:space="0" w:color="0070C0"/>
              <w:right w:val="single" w:sz="4" w:space="0" w:color="0070C0"/>
            </w:tcBorders>
          </w:tcPr>
          <w:p w14:paraId="4F8815A8" w14:textId="77777777" w:rsidR="00350F25" w:rsidRDefault="00350F25" w:rsidP="00350F25">
            <w:pPr>
              <w:pStyle w:val="TableCellText"/>
            </w:pPr>
            <w:r>
              <w:t>n/a</w:t>
            </w:r>
          </w:p>
        </w:tc>
        <w:tc>
          <w:tcPr>
            <w:tcW w:w="2644" w:type="pct"/>
            <w:tcBorders>
              <w:top w:val="single" w:sz="4" w:space="0" w:color="0070C0"/>
              <w:left w:val="single" w:sz="4" w:space="0" w:color="0070C0"/>
              <w:bottom w:val="single" w:sz="4" w:space="0" w:color="0070C0"/>
              <w:right w:val="single" w:sz="4" w:space="0" w:color="0070C0"/>
            </w:tcBorders>
          </w:tcPr>
          <w:p w14:paraId="32B3B91B" w14:textId="77777777" w:rsidR="00350F25" w:rsidRPr="004739E4" w:rsidRDefault="00350F25" w:rsidP="00350F25">
            <w:pPr>
              <w:pStyle w:val="TableCellText"/>
            </w:pPr>
            <w:r>
              <w:t>This selection does not apply because accelerated retirement assumes replacement with new gasoline or diesel trucks, not electric trucks.</w:t>
            </w:r>
          </w:p>
        </w:tc>
      </w:tr>
      <w:tr w:rsidR="00350F25" w:rsidRPr="00CC451D" w14:paraId="744D6516" w14:textId="77777777" w:rsidTr="00350F25">
        <w:trPr>
          <w:trHeight w:val="24"/>
        </w:trPr>
        <w:tc>
          <w:tcPr>
            <w:tcW w:w="1345" w:type="pct"/>
            <w:tcBorders>
              <w:top w:val="single" w:sz="4" w:space="0" w:color="0070C0"/>
              <w:left w:val="single" w:sz="4" w:space="0" w:color="0070C0"/>
              <w:bottom w:val="single" w:sz="4" w:space="0" w:color="0070C0"/>
              <w:right w:val="single" w:sz="4" w:space="0" w:color="0070C0"/>
            </w:tcBorders>
            <w:noWrap/>
          </w:tcPr>
          <w:p w14:paraId="78E9991C" w14:textId="77777777" w:rsidR="00350F25" w:rsidRDefault="00350F25" w:rsidP="00350F25">
            <w:pPr>
              <w:pStyle w:val="TableCellText"/>
            </w:pPr>
            <w:r>
              <w:t>CO</w:t>
            </w:r>
            <w:r w:rsidRPr="00F6465A">
              <w:rPr>
                <w:vertAlign w:val="subscript"/>
              </w:rPr>
              <w:t>2</w:t>
            </w:r>
          </w:p>
        </w:tc>
        <w:tc>
          <w:tcPr>
            <w:tcW w:w="1011" w:type="pct"/>
            <w:tcBorders>
              <w:top w:val="single" w:sz="4" w:space="0" w:color="0070C0"/>
              <w:left w:val="single" w:sz="4" w:space="0" w:color="0070C0"/>
              <w:bottom w:val="single" w:sz="4" w:space="0" w:color="0070C0"/>
              <w:right w:val="single" w:sz="4" w:space="0" w:color="0070C0"/>
            </w:tcBorders>
          </w:tcPr>
          <w:p w14:paraId="34A3C607" w14:textId="77777777" w:rsidR="00350F25" w:rsidRDefault="00350F25" w:rsidP="00350F25">
            <w:pPr>
              <w:pStyle w:val="TableCellText"/>
            </w:pPr>
            <w:r>
              <w:t>n/a</w:t>
            </w:r>
          </w:p>
        </w:tc>
        <w:tc>
          <w:tcPr>
            <w:tcW w:w="2644" w:type="pct"/>
            <w:tcBorders>
              <w:top w:val="single" w:sz="4" w:space="0" w:color="0070C0"/>
              <w:left w:val="single" w:sz="4" w:space="0" w:color="0070C0"/>
              <w:bottom w:val="single" w:sz="4" w:space="0" w:color="0070C0"/>
              <w:right w:val="single" w:sz="4" w:space="0" w:color="0070C0"/>
            </w:tcBorders>
          </w:tcPr>
          <w:p w14:paraId="09F0C1F4" w14:textId="77777777" w:rsidR="00350F25" w:rsidRPr="004739E4" w:rsidRDefault="00350F25" w:rsidP="00350F25">
            <w:pPr>
              <w:pStyle w:val="TableCellText"/>
            </w:pPr>
            <w:r>
              <w:t>This selection does not apply for accelerated retirement.</w:t>
            </w:r>
          </w:p>
        </w:tc>
      </w:tr>
      <w:tr w:rsidR="00350F25" w:rsidRPr="00CC451D" w14:paraId="273EDFB6"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582BE6B7" w14:textId="77777777" w:rsidR="00350F25" w:rsidRPr="004739E4" w:rsidRDefault="00350F25" w:rsidP="00350F25">
            <w:pPr>
              <w:pStyle w:val="TableCellText"/>
            </w:pPr>
            <w:r w:rsidRPr="00447743">
              <w:rPr>
                <w:b/>
              </w:rPr>
              <w:t>Capital Costs</w:t>
            </w:r>
          </w:p>
        </w:tc>
      </w:tr>
      <w:tr w:rsidR="00350F25" w:rsidRPr="00CC451D" w14:paraId="44CC83BB" w14:textId="77777777" w:rsidTr="00350F25">
        <w:trPr>
          <w:trHeight w:val="24"/>
        </w:trPr>
        <w:tc>
          <w:tcPr>
            <w:tcW w:w="1345" w:type="pct"/>
            <w:tcBorders>
              <w:top w:val="single" w:sz="4" w:space="0" w:color="0070C0"/>
              <w:left w:val="single" w:sz="4" w:space="0" w:color="0070C0"/>
              <w:bottom w:val="single" w:sz="4" w:space="0" w:color="0070C0"/>
              <w:right w:val="single" w:sz="4" w:space="0" w:color="0070C0"/>
            </w:tcBorders>
            <w:noWrap/>
          </w:tcPr>
          <w:p w14:paraId="32190BCE" w14:textId="77777777" w:rsidR="00350F25" w:rsidRDefault="00350F25" w:rsidP="00350F25">
            <w:pPr>
              <w:pStyle w:val="TableCellText"/>
            </w:pPr>
            <w:r>
              <w:t>Cost</w:t>
            </w:r>
          </w:p>
        </w:tc>
        <w:tc>
          <w:tcPr>
            <w:tcW w:w="1011" w:type="pct"/>
            <w:tcBorders>
              <w:top w:val="single" w:sz="4" w:space="0" w:color="0070C0"/>
              <w:left w:val="single" w:sz="4" w:space="0" w:color="0070C0"/>
              <w:bottom w:val="single" w:sz="4" w:space="0" w:color="0070C0"/>
              <w:right w:val="single" w:sz="4" w:space="0" w:color="0070C0"/>
            </w:tcBorders>
          </w:tcPr>
          <w:p w14:paraId="05E6AAA4" w14:textId="77777777" w:rsidR="00350F25" w:rsidRDefault="00350F25" w:rsidP="00350F25">
            <w:pPr>
              <w:pStyle w:val="TableCellText"/>
            </w:pPr>
            <w:r>
              <w:t>Leave default value</w:t>
            </w:r>
          </w:p>
        </w:tc>
        <w:tc>
          <w:tcPr>
            <w:tcW w:w="2644" w:type="pct"/>
            <w:tcBorders>
              <w:top w:val="single" w:sz="4" w:space="0" w:color="0070C0"/>
              <w:left w:val="single" w:sz="4" w:space="0" w:color="0070C0"/>
              <w:bottom w:val="single" w:sz="4" w:space="0" w:color="0070C0"/>
              <w:right w:val="single" w:sz="4" w:space="0" w:color="0070C0"/>
            </w:tcBorders>
          </w:tcPr>
          <w:p w14:paraId="7D2D1005" w14:textId="77777777" w:rsidR="00350F25" w:rsidRPr="004739E4" w:rsidRDefault="00350F25" w:rsidP="00350F25">
            <w:pPr>
              <w:pStyle w:val="TableCellText"/>
            </w:pPr>
            <w:r>
              <w:t>Default value is based on recent (2015) estimates. Replacing default with more up-to-date or local averages will improve cost and cost effectiveness estimates in the results.</w:t>
            </w:r>
          </w:p>
        </w:tc>
      </w:tr>
    </w:tbl>
    <w:p w14:paraId="74E676C5" w14:textId="77777777" w:rsidR="00350F25" w:rsidRPr="007C1471" w:rsidRDefault="00350F25" w:rsidP="00350F25">
      <w:pPr>
        <w:pStyle w:val="BodyText"/>
        <w:rPr>
          <w:iCs/>
        </w:rPr>
      </w:pPr>
    </w:p>
    <w:p w14:paraId="48675B9A" w14:textId="77777777" w:rsidR="00350F25" w:rsidRPr="007C1471" w:rsidRDefault="00350F25" w:rsidP="00350F25">
      <w:pPr>
        <w:pStyle w:val="BodyText"/>
        <w:rPr>
          <w:iCs/>
        </w:rPr>
      </w:pPr>
      <w:r w:rsidRPr="007C1471">
        <w:rPr>
          <w:b/>
          <w:iCs/>
        </w:rPr>
        <w:t>Results</w:t>
      </w:r>
    </w:p>
    <w:p w14:paraId="4031FC7C" w14:textId="77777777" w:rsidR="00350F25" w:rsidRDefault="00350F25" w:rsidP="00350F25">
      <w:pPr>
        <w:pStyle w:val="BodyText"/>
        <w:rPr>
          <w:iCs/>
        </w:rPr>
      </w:pPr>
      <w:r>
        <w:rPr>
          <w:iCs/>
        </w:rPr>
        <w:t>The table below shows the CO</w:t>
      </w:r>
      <w:r w:rsidRPr="00186B15">
        <w:rPr>
          <w:iCs/>
          <w:vertAlign w:val="subscript"/>
        </w:rPr>
        <w:t>2</w:t>
      </w:r>
      <w:r>
        <w:rPr>
          <w:iCs/>
        </w:rPr>
        <w:t xml:space="preserve"> emissions benefit of replacing 100 older diesel trucks with new models.</w:t>
      </w:r>
    </w:p>
    <w:tbl>
      <w:tblPr>
        <w:tblStyle w:val="TableGrid"/>
        <w:tblW w:w="0" w:type="auto"/>
        <w:tblLook w:val="04A0" w:firstRow="1" w:lastRow="0" w:firstColumn="1" w:lastColumn="0" w:noHBand="0" w:noVBand="1"/>
      </w:tblPr>
      <w:tblGrid>
        <w:gridCol w:w="2400"/>
        <w:gridCol w:w="2016"/>
        <w:gridCol w:w="1872"/>
      </w:tblGrid>
      <w:tr w:rsidR="00350F25" w:rsidRPr="00BB5C1C" w14:paraId="60F53051" w14:textId="77777777" w:rsidTr="00350F25">
        <w:trPr>
          <w:trHeight w:val="600"/>
        </w:trPr>
        <w:tc>
          <w:tcPr>
            <w:tcW w:w="2400" w:type="dxa"/>
            <w:tcBorders>
              <w:bottom w:val="single" w:sz="4" w:space="0" w:color="0067AB"/>
              <w:right w:val="single" w:sz="4" w:space="0" w:color="FFFFFF" w:themeColor="background1"/>
            </w:tcBorders>
            <w:shd w:val="clear" w:color="auto" w:fill="0067AB"/>
            <w:vAlign w:val="bottom"/>
            <w:hideMark/>
          </w:tcPr>
          <w:p w14:paraId="58AFFD35" w14:textId="77777777" w:rsidR="00350F25" w:rsidRPr="00350F25" w:rsidRDefault="00350F25" w:rsidP="00350F25">
            <w:pPr>
              <w:pStyle w:val="BodyText"/>
              <w:spacing w:after="0"/>
              <w:jc w:val="center"/>
              <w:rPr>
                <w:b/>
                <w:bCs/>
                <w:iCs/>
                <w:color w:val="FFFFFF" w:themeColor="background1"/>
                <w:sz w:val="20"/>
                <w:szCs w:val="20"/>
              </w:rPr>
            </w:pPr>
            <w:r w:rsidRPr="00350F25">
              <w:rPr>
                <w:b/>
                <w:bCs/>
                <w:iCs/>
                <w:color w:val="FFFFFF" w:themeColor="background1"/>
                <w:sz w:val="20"/>
                <w:szCs w:val="20"/>
              </w:rPr>
              <w:t>Modification</w:t>
            </w:r>
          </w:p>
        </w:tc>
        <w:tc>
          <w:tcPr>
            <w:tcW w:w="2016" w:type="dxa"/>
            <w:tcBorders>
              <w:left w:val="single" w:sz="4" w:space="0" w:color="FFFFFF" w:themeColor="background1"/>
              <w:bottom w:val="single" w:sz="4" w:space="0" w:color="0067AB"/>
              <w:right w:val="single" w:sz="4" w:space="0" w:color="FFFFFF" w:themeColor="background1"/>
            </w:tcBorders>
            <w:shd w:val="clear" w:color="auto" w:fill="0067AB"/>
            <w:vAlign w:val="bottom"/>
            <w:hideMark/>
          </w:tcPr>
          <w:p w14:paraId="7291C420" w14:textId="77777777" w:rsidR="00350F25" w:rsidRPr="00350F25" w:rsidRDefault="00350F25" w:rsidP="00350F25">
            <w:pPr>
              <w:pStyle w:val="BodyText"/>
              <w:spacing w:after="0"/>
              <w:jc w:val="center"/>
              <w:rPr>
                <w:b/>
                <w:bCs/>
                <w:iCs/>
                <w:color w:val="FFFFFF" w:themeColor="background1"/>
                <w:sz w:val="20"/>
                <w:szCs w:val="20"/>
              </w:rPr>
            </w:pPr>
            <w:r w:rsidRPr="00350F25">
              <w:rPr>
                <w:b/>
                <w:bCs/>
                <w:iCs/>
                <w:color w:val="FFFFFF" w:themeColor="background1"/>
                <w:sz w:val="20"/>
                <w:szCs w:val="20"/>
              </w:rPr>
              <w:t xml:space="preserve">Annual </w:t>
            </w:r>
            <w:r w:rsidRPr="00350F25">
              <w:rPr>
                <w:b/>
                <w:iCs/>
                <w:color w:val="FFFFFF" w:themeColor="background1"/>
                <w:sz w:val="20"/>
                <w:szCs w:val="20"/>
              </w:rPr>
              <w:t>CO</w:t>
            </w:r>
            <w:r w:rsidRPr="00350F25">
              <w:rPr>
                <w:b/>
                <w:iCs/>
                <w:color w:val="FFFFFF" w:themeColor="background1"/>
                <w:sz w:val="20"/>
                <w:szCs w:val="20"/>
                <w:vertAlign w:val="subscript"/>
              </w:rPr>
              <w:t>2</w:t>
            </w:r>
            <w:r w:rsidRPr="00350F25">
              <w:rPr>
                <w:b/>
                <w:bCs/>
                <w:iCs/>
                <w:color w:val="FFFFFF" w:themeColor="background1"/>
                <w:sz w:val="20"/>
                <w:szCs w:val="20"/>
              </w:rPr>
              <w:t xml:space="preserve"> Emissions Reduced (tons)</w:t>
            </w:r>
          </w:p>
        </w:tc>
        <w:tc>
          <w:tcPr>
            <w:tcW w:w="1872" w:type="dxa"/>
            <w:tcBorders>
              <w:left w:val="single" w:sz="4" w:space="0" w:color="FFFFFF" w:themeColor="background1"/>
              <w:bottom w:val="single" w:sz="4" w:space="0" w:color="0067AB"/>
            </w:tcBorders>
            <w:shd w:val="clear" w:color="auto" w:fill="0067AB"/>
            <w:vAlign w:val="bottom"/>
            <w:hideMark/>
          </w:tcPr>
          <w:p w14:paraId="5D1DF2B7" w14:textId="77777777" w:rsidR="00350F25" w:rsidRPr="00350F25" w:rsidRDefault="00350F25" w:rsidP="00350F25">
            <w:pPr>
              <w:pStyle w:val="BodyText"/>
              <w:spacing w:after="0"/>
              <w:jc w:val="center"/>
              <w:rPr>
                <w:b/>
                <w:bCs/>
                <w:iCs/>
                <w:color w:val="FFFFFF" w:themeColor="background1"/>
                <w:sz w:val="20"/>
                <w:szCs w:val="20"/>
              </w:rPr>
            </w:pPr>
            <w:r w:rsidRPr="00350F25">
              <w:rPr>
                <w:b/>
                <w:bCs/>
                <w:iCs/>
                <w:color w:val="FFFFFF" w:themeColor="background1"/>
                <w:sz w:val="20"/>
                <w:szCs w:val="20"/>
              </w:rPr>
              <w:t>Cost Effectiveness ($/ton)</w:t>
            </w:r>
          </w:p>
        </w:tc>
      </w:tr>
      <w:tr w:rsidR="00350F25" w:rsidRPr="00BB5C1C" w14:paraId="5231BFA4" w14:textId="77777777" w:rsidTr="00350F25">
        <w:trPr>
          <w:trHeight w:val="300"/>
        </w:trPr>
        <w:tc>
          <w:tcPr>
            <w:tcW w:w="2400" w:type="dxa"/>
            <w:tcBorders>
              <w:top w:val="single" w:sz="4" w:space="0" w:color="0067AB"/>
              <w:left w:val="single" w:sz="4" w:space="0" w:color="0067AB"/>
              <w:bottom w:val="single" w:sz="4" w:space="0" w:color="0067AB"/>
              <w:right w:val="single" w:sz="4" w:space="0" w:color="0067AB"/>
            </w:tcBorders>
            <w:noWrap/>
            <w:hideMark/>
          </w:tcPr>
          <w:p w14:paraId="394B8B76" w14:textId="77777777" w:rsidR="00350F25" w:rsidRPr="00350F25" w:rsidRDefault="00350F25" w:rsidP="00350F25">
            <w:pPr>
              <w:pStyle w:val="BodyText"/>
              <w:spacing w:after="0"/>
              <w:rPr>
                <w:iCs/>
                <w:sz w:val="20"/>
                <w:szCs w:val="20"/>
              </w:rPr>
            </w:pPr>
            <w:r w:rsidRPr="00350F25">
              <w:rPr>
                <w:iCs/>
                <w:sz w:val="20"/>
                <w:szCs w:val="20"/>
              </w:rPr>
              <w:t>Accelerated Retirement</w:t>
            </w:r>
          </w:p>
        </w:tc>
        <w:tc>
          <w:tcPr>
            <w:tcW w:w="2016" w:type="dxa"/>
            <w:tcBorders>
              <w:top w:val="single" w:sz="4" w:space="0" w:color="0067AB"/>
              <w:left w:val="single" w:sz="4" w:space="0" w:color="0067AB"/>
              <w:bottom w:val="single" w:sz="4" w:space="0" w:color="0067AB"/>
              <w:right w:val="single" w:sz="4" w:space="0" w:color="0067AB"/>
            </w:tcBorders>
            <w:noWrap/>
            <w:hideMark/>
          </w:tcPr>
          <w:p w14:paraId="22320742" w14:textId="77777777" w:rsidR="00350F25" w:rsidRPr="00350F25" w:rsidRDefault="00350F25" w:rsidP="00350F25">
            <w:pPr>
              <w:pStyle w:val="BodyText"/>
              <w:spacing w:after="0"/>
              <w:jc w:val="center"/>
              <w:rPr>
                <w:iCs/>
                <w:sz w:val="20"/>
                <w:szCs w:val="20"/>
              </w:rPr>
            </w:pPr>
            <w:r w:rsidRPr="00350F25">
              <w:rPr>
                <w:sz w:val="20"/>
                <w:szCs w:val="20"/>
              </w:rPr>
              <w:t>433</w:t>
            </w:r>
          </w:p>
        </w:tc>
        <w:tc>
          <w:tcPr>
            <w:tcW w:w="1872" w:type="dxa"/>
            <w:tcBorders>
              <w:top w:val="single" w:sz="4" w:space="0" w:color="0067AB"/>
              <w:left w:val="single" w:sz="4" w:space="0" w:color="0067AB"/>
              <w:bottom w:val="single" w:sz="4" w:space="0" w:color="0067AB"/>
              <w:right w:val="single" w:sz="4" w:space="0" w:color="0067AB"/>
            </w:tcBorders>
            <w:noWrap/>
            <w:hideMark/>
          </w:tcPr>
          <w:p w14:paraId="744D3D33" w14:textId="77777777" w:rsidR="00350F25" w:rsidRPr="00350F25" w:rsidRDefault="00350F25" w:rsidP="00350F25">
            <w:pPr>
              <w:pStyle w:val="BodyText"/>
              <w:spacing w:after="0"/>
              <w:jc w:val="center"/>
              <w:rPr>
                <w:iCs/>
                <w:sz w:val="20"/>
                <w:szCs w:val="20"/>
              </w:rPr>
            </w:pPr>
            <w:r w:rsidRPr="00350F25">
              <w:rPr>
                <w:sz w:val="20"/>
                <w:szCs w:val="20"/>
              </w:rPr>
              <w:t xml:space="preserve"> $2,187 </w:t>
            </w:r>
          </w:p>
        </w:tc>
      </w:tr>
    </w:tbl>
    <w:p w14:paraId="5991E8FE" w14:textId="77777777" w:rsidR="00350F25" w:rsidRDefault="00350F25" w:rsidP="00350F25">
      <w:pPr>
        <w:pStyle w:val="BodyText"/>
        <w:rPr>
          <w:iCs/>
        </w:rPr>
      </w:pPr>
    </w:p>
    <w:p w14:paraId="4DA44020" w14:textId="77777777" w:rsidR="00350F25" w:rsidRDefault="00350F25" w:rsidP="00350F25">
      <w:pPr>
        <w:pStyle w:val="BodyText"/>
        <w:rPr>
          <w:iCs/>
        </w:rPr>
      </w:pPr>
      <w:r>
        <w:rPr>
          <w:iCs/>
        </w:rPr>
        <w:t>The CO</w:t>
      </w:r>
      <w:r w:rsidRPr="00186B15">
        <w:rPr>
          <w:iCs/>
          <w:vertAlign w:val="subscript"/>
        </w:rPr>
        <w:t>2</w:t>
      </w:r>
      <w:r>
        <w:rPr>
          <w:iCs/>
        </w:rPr>
        <w:t xml:space="preserve"> emission reductions are significantly smaller than reductions from alternative fuel options, with alternative fuel reductions two to ten times higher than replacing old trucks with newer models. The smaller CO</w:t>
      </w:r>
      <w:r w:rsidRPr="00186B15">
        <w:rPr>
          <w:iCs/>
          <w:vertAlign w:val="subscript"/>
        </w:rPr>
        <w:t>2</w:t>
      </w:r>
      <w:r>
        <w:rPr>
          <w:iCs/>
        </w:rPr>
        <w:t xml:space="preserve"> reductions paired with the high cost of replacing trucks also makes this strategy less cost effective than the alternative fuel options. Even though many of the alternative fuel options also include replacing old trucks with expensive advanced technology trucks, their high emission reductions keep their cost effectiveness better than in this strategy.</w:t>
      </w:r>
    </w:p>
    <w:p w14:paraId="313CDC06" w14:textId="77777777" w:rsidR="00350F25" w:rsidRDefault="00350F25" w:rsidP="00350F25">
      <w:pPr>
        <w:pStyle w:val="BodyText"/>
        <w:rPr>
          <w:iCs/>
        </w:rPr>
      </w:pPr>
      <w:r>
        <w:rPr>
          <w:iCs/>
        </w:rPr>
        <w:t>Thus, in terms of both CO</w:t>
      </w:r>
      <w:r w:rsidRPr="00186B15">
        <w:rPr>
          <w:iCs/>
          <w:vertAlign w:val="subscript"/>
        </w:rPr>
        <w:t>2</w:t>
      </w:r>
      <w:r>
        <w:rPr>
          <w:iCs/>
        </w:rPr>
        <w:t xml:space="preserve"> reductions and cost effectiveness, the alternative fuel strategies are better than accelerated retirement with new diesel trucks, with electric trucks offering the greatest CO</w:t>
      </w:r>
      <w:r w:rsidRPr="00186B15">
        <w:rPr>
          <w:iCs/>
          <w:vertAlign w:val="subscript"/>
        </w:rPr>
        <w:t>2</w:t>
      </w:r>
      <w:r>
        <w:rPr>
          <w:iCs/>
        </w:rPr>
        <w:t xml:space="preserve"> benefits and the drop-in fuels being most cost effective. However, the selection of one of these </w:t>
      </w:r>
      <w:r>
        <w:rPr>
          <w:iCs/>
        </w:rPr>
        <w:lastRenderedPageBreak/>
        <w:t>strategies for a clean trucks program will depend heavily on vehicle and fuel availability and actual market prices. For example, electric trucks may not be widely available at the time of an incentive program, or there may not be enough charging or fueling infrastructure to support expansion of alternative fuel trucks; diesel trucks do not face the same uncertainty, with CO</w:t>
      </w:r>
      <w:r w:rsidRPr="00186B15">
        <w:rPr>
          <w:iCs/>
          <w:vertAlign w:val="subscript"/>
        </w:rPr>
        <w:t>2</w:t>
      </w:r>
      <w:r>
        <w:rPr>
          <w:iCs/>
        </w:rPr>
        <w:t xml:space="preserve"> emission rates largely guided by the federal fuel efficiency standards and infrastructure plentiful, but there is significant uncertainty in diesel prices that could impact cost effectiveness. </w:t>
      </w:r>
    </w:p>
    <w:p w14:paraId="06D1A834" w14:textId="77777777" w:rsidR="00350F25" w:rsidRPr="00140664" w:rsidRDefault="00350F25" w:rsidP="00350F25">
      <w:pPr>
        <w:pStyle w:val="Heading3"/>
      </w:pPr>
      <w:bookmarkStart w:id="109" w:name="_Toc482973572"/>
      <w:r>
        <w:t>Funding Impact</w:t>
      </w:r>
      <w:r w:rsidRPr="00140664">
        <w:t xml:space="preserve"> Analysis</w:t>
      </w:r>
      <w:bookmarkEnd w:id="109"/>
    </w:p>
    <w:p w14:paraId="342E7416" w14:textId="77777777" w:rsidR="00350F25" w:rsidRPr="008F4F58" w:rsidRDefault="00350F25" w:rsidP="00350F25">
      <w:pPr>
        <w:pStyle w:val="BodyText"/>
      </w:pPr>
      <w:r>
        <w:rPr>
          <w:iCs/>
        </w:rPr>
        <w:t>The Funding Impact Analysis</w:t>
      </w:r>
      <w:r w:rsidRPr="00854C71">
        <w:rPr>
          <w:iCs/>
        </w:rPr>
        <w:t xml:space="preserve"> assumes </w:t>
      </w:r>
      <w:r>
        <w:rPr>
          <w:iCs/>
        </w:rPr>
        <w:t>the user</w:t>
      </w:r>
      <w:r w:rsidRPr="00854C71">
        <w:rPr>
          <w:iCs/>
        </w:rPr>
        <w:t xml:space="preserve"> know</w:t>
      </w:r>
      <w:r>
        <w:rPr>
          <w:iCs/>
        </w:rPr>
        <w:t>s</w:t>
      </w:r>
      <w:r w:rsidRPr="00854C71">
        <w:rPr>
          <w:iCs/>
        </w:rPr>
        <w:t xml:space="preserve"> the amount of funding </w:t>
      </w:r>
      <w:r>
        <w:rPr>
          <w:iCs/>
        </w:rPr>
        <w:t xml:space="preserve">available or being requested </w:t>
      </w:r>
      <w:r w:rsidRPr="00854C71">
        <w:rPr>
          <w:iCs/>
        </w:rPr>
        <w:t xml:space="preserve">to invest in clean truck strategies. </w:t>
      </w:r>
      <w:r>
        <w:t>For each input option, enter the selections presented in the table below.</w:t>
      </w:r>
    </w:p>
    <w:tbl>
      <w:tblPr>
        <w:tblStyle w:val="TemplateTable"/>
        <w:tblW w:w="5000" w:type="pct"/>
        <w:tblLayout w:type="fixed"/>
        <w:tblCellMar>
          <w:top w:w="0" w:type="dxa"/>
          <w:bottom w:w="0" w:type="dxa"/>
        </w:tblCellMar>
        <w:tblLook w:val="04A0" w:firstRow="1" w:lastRow="0" w:firstColumn="1" w:lastColumn="0" w:noHBand="0" w:noVBand="1"/>
      </w:tblPr>
      <w:tblGrid>
        <w:gridCol w:w="2425"/>
        <w:gridCol w:w="1801"/>
        <w:gridCol w:w="5124"/>
      </w:tblGrid>
      <w:tr w:rsidR="00350F25" w:rsidRPr="00CC451D" w14:paraId="6BD56D46" w14:textId="77777777" w:rsidTr="00350F25">
        <w:trPr>
          <w:cnfStyle w:val="100000000000" w:firstRow="1" w:lastRow="0" w:firstColumn="0" w:lastColumn="0" w:oddVBand="0" w:evenVBand="0" w:oddHBand="0" w:evenHBand="0" w:firstRowFirstColumn="0" w:firstRowLastColumn="0" w:lastRowFirstColumn="0" w:lastRowLastColumn="0"/>
          <w:trHeight w:val="24"/>
        </w:trPr>
        <w:tc>
          <w:tcPr>
            <w:tcW w:w="1297" w:type="pct"/>
            <w:tcBorders>
              <w:bottom w:val="single" w:sz="4" w:space="0" w:color="0070C0"/>
            </w:tcBorders>
            <w:noWrap/>
            <w:vAlign w:val="bottom"/>
          </w:tcPr>
          <w:p w14:paraId="7528355F" w14:textId="77777777" w:rsidR="00350F25" w:rsidRPr="004739E4" w:rsidRDefault="00350F25" w:rsidP="00350F25">
            <w:pPr>
              <w:pStyle w:val="TableColumnHeading"/>
            </w:pPr>
            <w:r>
              <w:t>Category</w:t>
            </w:r>
          </w:p>
        </w:tc>
        <w:tc>
          <w:tcPr>
            <w:tcW w:w="963" w:type="pct"/>
            <w:tcBorders>
              <w:bottom w:val="single" w:sz="4" w:space="0" w:color="0070C0"/>
            </w:tcBorders>
            <w:vAlign w:val="bottom"/>
          </w:tcPr>
          <w:p w14:paraId="2294855C" w14:textId="77777777" w:rsidR="00350F25" w:rsidRPr="004739E4" w:rsidRDefault="00350F25" w:rsidP="00350F25">
            <w:pPr>
              <w:pStyle w:val="TableColumnHeading"/>
            </w:pPr>
            <w:r>
              <w:t>Selection</w:t>
            </w:r>
          </w:p>
        </w:tc>
        <w:tc>
          <w:tcPr>
            <w:tcW w:w="2740" w:type="pct"/>
            <w:tcBorders>
              <w:bottom w:val="single" w:sz="4" w:space="0" w:color="0070C0"/>
            </w:tcBorders>
            <w:vAlign w:val="bottom"/>
          </w:tcPr>
          <w:p w14:paraId="36CCDA09" w14:textId="77777777" w:rsidR="00350F25" w:rsidRPr="004739E4" w:rsidRDefault="00350F25" w:rsidP="00350F25">
            <w:pPr>
              <w:pStyle w:val="TableColumnHeading"/>
            </w:pPr>
            <w:r>
              <w:t>Notes</w:t>
            </w:r>
          </w:p>
        </w:tc>
      </w:tr>
      <w:tr w:rsidR="00350F25" w:rsidRPr="00CC451D" w14:paraId="7BE5B203"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75CE06BF" w14:textId="77777777" w:rsidR="00350F25" w:rsidRPr="004739E4" w:rsidRDefault="00350F25" w:rsidP="00350F25">
            <w:pPr>
              <w:pStyle w:val="TableCellText"/>
            </w:pPr>
            <w:r w:rsidRPr="00F6465A">
              <w:rPr>
                <w:b/>
              </w:rPr>
              <w:t>Analysis</w:t>
            </w:r>
          </w:p>
        </w:tc>
      </w:tr>
      <w:tr w:rsidR="00350F25" w:rsidRPr="00CC451D" w14:paraId="4D660A47" w14:textId="77777777" w:rsidTr="00350F25">
        <w:trPr>
          <w:trHeight w:val="24"/>
        </w:trPr>
        <w:tc>
          <w:tcPr>
            <w:tcW w:w="1297" w:type="pct"/>
            <w:tcBorders>
              <w:top w:val="single" w:sz="4" w:space="0" w:color="0070C0"/>
              <w:left w:val="single" w:sz="4" w:space="0" w:color="0070C0"/>
              <w:bottom w:val="single" w:sz="4" w:space="0" w:color="0070C0"/>
              <w:right w:val="single" w:sz="4" w:space="0" w:color="0070C0"/>
            </w:tcBorders>
            <w:noWrap/>
          </w:tcPr>
          <w:p w14:paraId="35EB1B32" w14:textId="77777777" w:rsidR="00350F25" w:rsidRPr="004739E4" w:rsidRDefault="00350F25" w:rsidP="00350F25">
            <w:pPr>
              <w:pStyle w:val="TableCellText"/>
            </w:pPr>
            <w:r>
              <w:t>Analysis</w:t>
            </w:r>
          </w:p>
        </w:tc>
        <w:tc>
          <w:tcPr>
            <w:tcW w:w="963" w:type="pct"/>
            <w:tcBorders>
              <w:top w:val="single" w:sz="4" w:space="0" w:color="0070C0"/>
              <w:left w:val="single" w:sz="4" w:space="0" w:color="0070C0"/>
              <w:bottom w:val="single" w:sz="4" w:space="0" w:color="0070C0"/>
              <w:right w:val="single" w:sz="4" w:space="0" w:color="0070C0"/>
            </w:tcBorders>
          </w:tcPr>
          <w:p w14:paraId="177F1B9E" w14:textId="77777777" w:rsidR="00350F25" w:rsidRPr="004739E4" w:rsidRDefault="00350F25" w:rsidP="00350F25">
            <w:pPr>
              <w:pStyle w:val="TableCellText"/>
            </w:pPr>
            <w:r>
              <w:t>Funding Impact Analysis</w:t>
            </w:r>
          </w:p>
        </w:tc>
        <w:tc>
          <w:tcPr>
            <w:tcW w:w="2740" w:type="pct"/>
            <w:tcBorders>
              <w:top w:val="single" w:sz="4" w:space="0" w:color="0070C0"/>
              <w:left w:val="single" w:sz="4" w:space="0" w:color="0070C0"/>
              <w:bottom w:val="single" w:sz="4" w:space="0" w:color="0070C0"/>
              <w:right w:val="single" w:sz="4" w:space="0" w:color="0070C0"/>
            </w:tcBorders>
          </w:tcPr>
          <w:p w14:paraId="025336B2" w14:textId="77777777" w:rsidR="00350F25" w:rsidRPr="004739E4" w:rsidRDefault="00350F25" w:rsidP="00350F25">
            <w:pPr>
              <w:pStyle w:val="TableCellText"/>
            </w:pPr>
            <w:r>
              <w:t>This analysis allows the user t</w:t>
            </w:r>
            <w:r w:rsidRPr="00140664">
              <w:t xml:space="preserve">o </w:t>
            </w:r>
            <w:r>
              <w:t>estimate the number of trucks and emissions impacts of implementing various strategies with a known amount of funding.</w:t>
            </w:r>
          </w:p>
        </w:tc>
      </w:tr>
      <w:tr w:rsidR="00350F25" w:rsidRPr="00CC451D" w14:paraId="00F4C46F"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5EA527CD" w14:textId="77777777" w:rsidR="00350F25" w:rsidRPr="004739E4" w:rsidRDefault="00350F25" w:rsidP="00350F25">
            <w:pPr>
              <w:pStyle w:val="TableCellText"/>
            </w:pPr>
            <w:r w:rsidRPr="00447743">
              <w:rPr>
                <w:b/>
              </w:rPr>
              <w:t>Scope</w:t>
            </w:r>
          </w:p>
        </w:tc>
      </w:tr>
      <w:tr w:rsidR="00350F25" w:rsidRPr="00CC451D" w14:paraId="29B5C548" w14:textId="77777777" w:rsidTr="00350F25">
        <w:trPr>
          <w:trHeight w:val="24"/>
        </w:trPr>
        <w:tc>
          <w:tcPr>
            <w:tcW w:w="1297" w:type="pct"/>
            <w:tcBorders>
              <w:top w:val="single" w:sz="4" w:space="0" w:color="0070C0"/>
              <w:left w:val="single" w:sz="4" w:space="0" w:color="0070C0"/>
              <w:bottom w:val="single" w:sz="4" w:space="0" w:color="0070C0"/>
              <w:right w:val="single" w:sz="4" w:space="0" w:color="0070C0"/>
            </w:tcBorders>
            <w:noWrap/>
          </w:tcPr>
          <w:p w14:paraId="49208B73" w14:textId="77777777" w:rsidR="00350F25" w:rsidRDefault="00350F25" w:rsidP="00350F25">
            <w:pPr>
              <w:pStyle w:val="TableCellText"/>
            </w:pPr>
            <w:r>
              <w:t>Year of Modification</w:t>
            </w:r>
          </w:p>
        </w:tc>
        <w:tc>
          <w:tcPr>
            <w:tcW w:w="963" w:type="pct"/>
            <w:tcBorders>
              <w:top w:val="single" w:sz="4" w:space="0" w:color="0070C0"/>
              <w:left w:val="single" w:sz="4" w:space="0" w:color="0070C0"/>
              <w:bottom w:val="single" w:sz="4" w:space="0" w:color="0070C0"/>
              <w:right w:val="single" w:sz="4" w:space="0" w:color="0070C0"/>
            </w:tcBorders>
          </w:tcPr>
          <w:p w14:paraId="00928C4E" w14:textId="77777777" w:rsidR="00350F25" w:rsidRDefault="00350F25" w:rsidP="00350F25">
            <w:pPr>
              <w:pStyle w:val="TableCellText"/>
            </w:pPr>
            <w:r>
              <w:t>2030</w:t>
            </w:r>
          </w:p>
        </w:tc>
        <w:tc>
          <w:tcPr>
            <w:tcW w:w="2740" w:type="pct"/>
            <w:tcBorders>
              <w:top w:val="single" w:sz="4" w:space="0" w:color="0070C0"/>
              <w:left w:val="single" w:sz="4" w:space="0" w:color="0070C0"/>
              <w:bottom w:val="single" w:sz="4" w:space="0" w:color="0070C0"/>
              <w:right w:val="single" w:sz="4" w:space="0" w:color="0070C0"/>
            </w:tcBorders>
          </w:tcPr>
          <w:p w14:paraId="111D3CE5" w14:textId="77777777" w:rsidR="00350F25" w:rsidRPr="004739E4" w:rsidRDefault="00350F25" w:rsidP="00350F25">
            <w:pPr>
              <w:pStyle w:val="TableCellText"/>
            </w:pPr>
            <w:r>
              <w:t>The modification</w:t>
            </w:r>
            <w:r w:rsidRPr="00140664">
              <w:t xml:space="preserve"> year is when the modifications </w:t>
            </w:r>
            <w:r>
              <w:t xml:space="preserve">or replacements </w:t>
            </w:r>
            <w:r w:rsidRPr="00140664">
              <w:t>take place</w:t>
            </w:r>
            <w:r>
              <w:t>. Because the</w:t>
            </w:r>
            <w:r w:rsidRPr="00140664">
              <w:t xml:space="preserve"> </w:t>
            </w:r>
            <w:r>
              <w:t>LRTP goes</w:t>
            </w:r>
            <w:r w:rsidRPr="00140664">
              <w:t xml:space="preserve"> out to 2040</w:t>
            </w:r>
            <w:r>
              <w:t xml:space="preserve"> in this scenario</w:t>
            </w:r>
            <w:r w:rsidRPr="00140664">
              <w:t xml:space="preserve">, </w:t>
            </w:r>
            <w:r>
              <w:t>the user should assume modifications happen sometime</w:t>
            </w:r>
            <w:r w:rsidRPr="00140664">
              <w:t xml:space="preserve"> before that</w:t>
            </w:r>
            <w:r>
              <w:t>. I</w:t>
            </w:r>
            <w:r w:rsidRPr="003103E0">
              <w:t>f 2040</w:t>
            </w:r>
            <w:r>
              <w:t xml:space="preserve"> is selected</w:t>
            </w:r>
            <w:r w:rsidRPr="003103E0">
              <w:t xml:space="preserve">, the Tool assumes </w:t>
            </w:r>
            <w:r>
              <w:t>all changes occur</w:t>
            </w:r>
            <w:r w:rsidRPr="003103E0">
              <w:t xml:space="preserve"> in 2040, and the emissions benefits will be smaller because the </w:t>
            </w:r>
            <w:r>
              <w:t xml:space="preserve">Tool assumes the </w:t>
            </w:r>
            <w:r w:rsidRPr="003103E0">
              <w:t>baseline fleet is cleaner in 2040</w:t>
            </w:r>
            <w:r>
              <w:t>.</w:t>
            </w:r>
          </w:p>
        </w:tc>
      </w:tr>
      <w:tr w:rsidR="00350F25" w:rsidRPr="00CC451D" w14:paraId="125C1E47" w14:textId="77777777" w:rsidTr="00350F25">
        <w:trPr>
          <w:trHeight w:val="24"/>
        </w:trPr>
        <w:tc>
          <w:tcPr>
            <w:tcW w:w="1297" w:type="pct"/>
            <w:tcBorders>
              <w:top w:val="single" w:sz="4" w:space="0" w:color="0070C0"/>
              <w:left w:val="single" w:sz="4" w:space="0" w:color="0070C0"/>
              <w:bottom w:val="single" w:sz="4" w:space="0" w:color="0070C0"/>
              <w:right w:val="single" w:sz="4" w:space="0" w:color="0070C0"/>
            </w:tcBorders>
            <w:noWrap/>
          </w:tcPr>
          <w:p w14:paraId="3D5E20F4" w14:textId="77777777" w:rsidR="00350F25" w:rsidRDefault="00350F25" w:rsidP="00350F25">
            <w:pPr>
              <w:pStyle w:val="TableCellText"/>
            </w:pPr>
            <w:r>
              <w:t>Area of Interest</w:t>
            </w:r>
          </w:p>
        </w:tc>
        <w:tc>
          <w:tcPr>
            <w:tcW w:w="963" w:type="pct"/>
            <w:tcBorders>
              <w:top w:val="single" w:sz="4" w:space="0" w:color="0070C0"/>
              <w:left w:val="single" w:sz="4" w:space="0" w:color="0070C0"/>
              <w:bottom w:val="single" w:sz="4" w:space="0" w:color="0070C0"/>
              <w:right w:val="single" w:sz="4" w:space="0" w:color="0070C0"/>
            </w:tcBorders>
          </w:tcPr>
          <w:p w14:paraId="5F22FEE7" w14:textId="77777777" w:rsidR="00350F25" w:rsidRDefault="00350F25" w:rsidP="00350F25">
            <w:pPr>
              <w:pStyle w:val="TableCellText"/>
            </w:pPr>
            <w:r>
              <w:t>Metropolitan</w:t>
            </w:r>
          </w:p>
        </w:tc>
        <w:tc>
          <w:tcPr>
            <w:tcW w:w="2740" w:type="pct"/>
            <w:tcBorders>
              <w:top w:val="single" w:sz="4" w:space="0" w:color="0070C0"/>
              <w:left w:val="single" w:sz="4" w:space="0" w:color="0070C0"/>
              <w:bottom w:val="single" w:sz="4" w:space="0" w:color="0070C0"/>
              <w:right w:val="single" w:sz="4" w:space="0" w:color="0070C0"/>
            </w:tcBorders>
          </w:tcPr>
          <w:p w14:paraId="5C99C65F" w14:textId="77777777" w:rsidR="00350F25" w:rsidRPr="004739E4" w:rsidRDefault="00350F25" w:rsidP="00350F25">
            <w:pPr>
              <w:pStyle w:val="TableCellText"/>
            </w:pPr>
            <w:r w:rsidRPr="00CE6761">
              <w:t xml:space="preserve">Geographic scale determines the emission factors used in the calculations. The larger the geographic scale </w:t>
            </w:r>
            <w:r>
              <w:t>assume</w:t>
            </w:r>
            <w:r w:rsidRPr="00CE6761">
              <w:t xml:space="preserve"> more freeways </w:t>
            </w:r>
            <w:r>
              <w:t xml:space="preserve">are </w:t>
            </w:r>
            <w:r w:rsidRPr="00CE6761">
              <w:t>used, while the smaller geographic scales have more local roads</w:t>
            </w:r>
            <w:r>
              <w:t xml:space="preserve">. </w:t>
            </w:r>
          </w:p>
        </w:tc>
      </w:tr>
      <w:tr w:rsidR="00350F25" w:rsidRPr="00CC451D" w14:paraId="40DA07B8" w14:textId="77777777" w:rsidTr="00350F25">
        <w:trPr>
          <w:trHeight w:val="24"/>
        </w:trPr>
        <w:tc>
          <w:tcPr>
            <w:tcW w:w="1297" w:type="pct"/>
            <w:tcBorders>
              <w:top w:val="single" w:sz="4" w:space="0" w:color="0070C0"/>
              <w:left w:val="single" w:sz="4" w:space="0" w:color="0070C0"/>
              <w:bottom w:val="single" w:sz="4" w:space="0" w:color="0070C0"/>
              <w:right w:val="single" w:sz="4" w:space="0" w:color="0070C0"/>
            </w:tcBorders>
            <w:noWrap/>
          </w:tcPr>
          <w:p w14:paraId="7302559E" w14:textId="77777777" w:rsidR="00350F25" w:rsidRDefault="00350F25" w:rsidP="00350F25">
            <w:pPr>
              <w:pStyle w:val="TableCellText"/>
            </w:pPr>
            <w:r>
              <w:t>Type of Truck</w:t>
            </w:r>
          </w:p>
        </w:tc>
        <w:tc>
          <w:tcPr>
            <w:tcW w:w="963" w:type="pct"/>
            <w:tcBorders>
              <w:top w:val="single" w:sz="4" w:space="0" w:color="0070C0"/>
              <w:left w:val="single" w:sz="4" w:space="0" w:color="0070C0"/>
              <w:bottom w:val="single" w:sz="4" w:space="0" w:color="0070C0"/>
              <w:right w:val="single" w:sz="4" w:space="0" w:color="0070C0"/>
            </w:tcBorders>
          </w:tcPr>
          <w:p w14:paraId="3B9B87B5" w14:textId="77777777" w:rsidR="00350F25" w:rsidRDefault="00350F25" w:rsidP="00350F25">
            <w:pPr>
              <w:pStyle w:val="TableCellText"/>
            </w:pPr>
            <w:r>
              <w:t>Combo Unit Short Haul</w:t>
            </w:r>
          </w:p>
        </w:tc>
        <w:tc>
          <w:tcPr>
            <w:tcW w:w="2740" w:type="pct"/>
            <w:tcBorders>
              <w:top w:val="single" w:sz="4" w:space="0" w:color="0070C0"/>
              <w:left w:val="single" w:sz="4" w:space="0" w:color="0070C0"/>
              <w:bottom w:val="single" w:sz="4" w:space="0" w:color="0070C0"/>
              <w:right w:val="single" w:sz="4" w:space="0" w:color="0070C0"/>
            </w:tcBorders>
          </w:tcPr>
          <w:p w14:paraId="58B20797" w14:textId="77777777" w:rsidR="00350F25" w:rsidRPr="004739E4" w:rsidRDefault="00350F25" w:rsidP="00350F25">
            <w:pPr>
              <w:pStyle w:val="TableCellText"/>
            </w:pPr>
            <w:r>
              <w:t xml:space="preserve">For this scenario, </w:t>
            </w:r>
            <w:r w:rsidRPr="00140664">
              <w:t xml:space="preserve">combination </w:t>
            </w:r>
            <w:r>
              <w:t xml:space="preserve">short haul trucks are selected </w:t>
            </w:r>
            <w:r w:rsidRPr="00140664">
              <w:t>as they will operate within the metropolitan region.</w:t>
            </w:r>
          </w:p>
        </w:tc>
      </w:tr>
      <w:tr w:rsidR="00350F25" w:rsidRPr="00CC451D" w14:paraId="3CD449FB" w14:textId="77777777" w:rsidTr="00350F25">
        <w:trPr>
          <w:trHeight w:val="24"/>
        </w:trPr>
        <w:tc>
          <w:tcPr>
            <w:tcW w:w="1297" w:type="pct"/>
            <w:tcBorders>
              <w:top w:val="single" w:sz="4" w:space="0" w:color="0070C0"/>
              <w:left w:val="single" w:sz="4" w:space="0" w:color="0070C0"/>
              <w:bottom w:val="single" w:sz="4" w:space="0" w:color="0070C0"/>
              <w:right w:val="single" w:sz="4" w:space="0" w:color="0070C0"/>
            </w:tcBorders>
            <w:noWrap/>
          </w:tcPr>
          <w:p w14:paraId="0766EBD9" w14:textId="77777777" w:rsidR="00350F25" w:rsidRDefault="00350F25" w:rsidP="00350F25">
            <w:pPr>
              <w:pStyle w:val="TableCellText"/>
            </w:pPr>
            <w:r>
              <w:t>Funding Amount</w:t>
            </w:r>
          </w:p>
        </w:tc>
        <w:tc>
          <w:tcPr>
            <w:tcW w:w="963" w:type="pct"/>
            <w:tcBorders>
              <w:top w:val="single" w:sz="4" w:space="0" w:color="0070C0"/>
              <w:left w:val="single" w:sz="4" w:space="0" w:color="0070C0"/>
              <w:bottom w:val="single" w:sz="4" w:space="0" w:color="0070C0"/>
              <w:right w:val="single" w:sz="4" w:space="0" w:color="0070C0"/>
            </w:tcBorders>
          </w:tcPr>
          <w:p w14:paraId="12729AAF" w14:textId="77777777" w:rsidR="00350F25" w:rsidRDefault="00350F25" w:rsidP="00350F25">
            <w:pPr>
              <w:pStyle w:val="TableCellText"/>
            </w:pPr>
            <w:r>
              <w:t>Leave default value ($1,000,000)</w:t>
            </w:r>
          </w:p>
        </w:tc>
        <w:tc>
          <w:tcPr>
            <w:tcW w:w="2740" w:type="pct"/>
            <w:tcBorders>
              <w:top w:val="single" w:sz="4" w:space="0" w:color="0070C0"/>
              <w:left w:val="single" w:sz="4" w:space="0" w:color="0070C0"/>
              <w:bottom w:val="single" w:sz="4" w:space="0" w:color="0070C0"/>
              <w:right w:val="single" w:sz="4" w:space="0" w:color="0070C0"/>
            </w:tcBorders>
          </w:tcPr>
          <w:p w14:paraId="51A4DD8D" w14:textId="77777777" w:rsidR="00350F25" w:rsidRPr="004739E4" w:rsidRDefault="00350F25" w:rsidP="00350F25">
            <w:pPr>
              <w:pStyle w:val="TableCellText"/>
            </w:pPr>
          </w:p>
        </w:tc>
      </w:tr>
      <w:tr w:rsidR="00350F25" w:rsidRPr="00CC451D" w14:paraId="6E687ACC"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37270145" w14:textId="77777777" w:rsidR="00350F25" w:rsidRPr="004739E4" w:rsidRDefault="00350F25" w:rsidP="00350F25">
            <w:pPr>
              <w:pStyle w:val="TableCellText"/>
            </w:pPr>
            <w:r w:rsidRPr="00447743">
              <w:rPr>
                <w:b/>
              </w:rPr>
              <w:t>Vehicle Data</w:t>
            </w:r>
          </w:p>
        </w:tc>
      </w:tr>
      <w:tr w:rsidR="00350F25" w:rsidRPr="00CC451D" w14:paraId="19D863E7" w14:textId="77777777" w:rsidTr="00350F25">
        <w:trPr>
          <w:trHeight w:val="24"/>
        </w:trPr>
        <w:tc>
          <w:tcPr>
            <w:tcW w:w="1297" w:type="pct"/>
            <w:tcBorders>
              <w:top w:val="single" w:sz="4" w:space="0" w:color="0070C0"/>
              <w:left w:val="single" w:sz="4" w:space="0" w:color="0070C0"/>
              <w:bottom w:val="single" w:sz="4" w:space="0" w:color="0070C0"/>
              <w:right w:val="single" w:sz="4" w:space="0" w:color="0070C0"/>
            </w:tcBorders>
            <w:noWrap/>
          </w:tcPr>
          <w:p w14:paraId="393BCFEF" w14:textId="77777777" w:rsidR="00350F25" w:rsidRDefault="00350F25" w:rsidP="00350F25">
            <w:pPr>
              <w:pStyle w:val="TableCellText"/>
            </w:pPr>
            <w:r>
              <w:t>Average Annual Mileage Accumulation</w:t>
            </w:r>
          </w:p>
        </w:tc>
        <w:tc>
          <w:tcPr>
            <w:tcW w:w="963" w:type="pct"/>
            <w:tcBorders>
              <w:top w:val="single" w:sz="4" w:space="0" w:color="0070C0"/>
              <w:left w:val="single" w:sz="4" w:space="0" w:color="0070C0"/>
              <w:bottom w:val="single" w:sz="4" w:space="0" w:color="0070C0"/>
              <w:right w:val="single" w:sz="4" w:space="0" w:color="0070C0"/>
            </w:tcBorders>
          </w:tcPr>
          <w:p w14:paraId="46A4C5FC" w14:textId="77777777" w:rsidR="00350F25" w:rsidRDefault="00350F25" w:rsidP="00350F25">
            <w:pPr>
              <w:pStyle w:val="TableCellText"/>
            </w:pPr>
            <w:r>
              <w:t>Leave default values</w:t>
            </w:r>
          </w:p>
        </w:tc>
        <w:tc>
          <w:tcPr>
            <w:tcW w:w="2740" w:type="pct"/>
            <w:tcBorders>
              <w:top w:val="single" w:sz="4" w:space="0" w:color="0070C0"/>
              <w:left w:val="single" w:sz="4" w:space="0" w:color="0070C0"/>
              <w:bottom w:val="single" w:sz="4" w:space="0" w:color="0070C0"/>
              <w:right w:val="single" w:sz="4" w:space="0" w:color="0070C0"/>
            </w:tcBorders>
          </w:tcPr>
          <w:p w14:paraId="3A4C3D4C" w14:textId="77777777" w:rsidR="00350F25" w:rsidRPr="004739E4" w:rsidRDefault="00350F25" w:rsidP="00350F25">
            <w:pPr>
              <w:pStyle w:val="TableCellText"/>
            </w:pPr>
            <w:r>
              <w:t>The</w:t>
            </w:r>
            <w:r w:rsidRPr="0050596A">
              <w:t xml:space="preserve"> default </w:t>
            </w:r>
            <w:r>
              <w:t>values come</w:t>
            </w:r>
            <w:r w:rsidRPr="0050596A">
              <w:t xml:space="preserve"> from </w:t>
            </w:r>
            <w:r>
              <w:t xml:space="preserve">the </w:t>
            </w:r>
            <w:r w:rsidRPr="0050596A">
              <w:t>MOVES</w:t>
            </w:r>
            <w:r>
              <w:t xml:space="preserve"> model</w:t>
            </w:r>
            <w:r w:rsidRPr="0050596A">
              <w:t xml:space="preserve">. </w:t>
            </w:r>
            <w:r>
              <w:t>M</w:t>
            </w:r>
            <w:r w:rsidRPr="0050596A">
              <w:t xml:space="preserve">ore annual miles </w:t>
            </w:r>
            <w:r>
              <w:t>will result in</w:t>
            </w:r>
            <w:r w:rsidRPr="0050596A">
              <w:t xml:space="preserve"> more emissions benefits</w:t>
            </w:r>
            <w:r>
              <w:t>.</w:t>
            </w:r>
          </w:p>
        </w:tc>
      </w:tr>
      <w:tr w:rsidR="00350F25" w:rsidRPr="00CC451D" w14:paraId="39BB9D30" w14:textId="77777777" w:rsidTr="00350F25">
        <w:trPr>
          <w:trHeight w:val="24"/>
        </w:trPr>
        <w:tc>
          <w:tcPr>
            <w:tcW w:w="1297" w:type="pct"/>
            <w:tcBorders>
              <w:top w:val="single" w:sz="4" w:space="0" w:color="0070C0"/>
              <w:left w:val="single" w:sz="4" w:space="0" w:color="0070C0"/>
              <w:bottom w:val="single" w:sz="4" w:space="0" w:color="0070C0"/>
              <w:right w:val="single" w:sz="4" w:space="0" w:color="0070C0"/>
            </w:tcBorders>
            <w:noWrap/>
          </w:tcPr>
          <w:p w14:paraId="1D7D5FD9" w14:textId="77777777" w:rsidR="00350F25" w:rsidRDefault="00350F25" w:rsidP="00350F25">
            <w:pPr>
              <w:pStyle w:val="TableCellText"/>
            </w:pPr>
            <w:r>
              <w:t>Range of Model Years to Modify/Scrap (inclusive)</w:t>
            </w:r>
          </w:p>
        </w:tc>
        <w:tc>
          <w:tcPr>
            <w:tcW w:w="963" w:type="pct"/>
            <w:tcBorders>
              <w:top w:val="single" w:sz="4" w:space="0" w:color="0070C0"/>
              <w:left w:val="single" w:sz="4" w:space="0" w:color="0070C0"/>
              <w:bottom w:val="single" w:sz="4" w:space="0" w:color="0070C0"/>
              <w:right w:val="single" w:sz="4" w:space="0" w:color="0070C0"/>
            </w:tcBorders>
          </w:tcPr>
          <w:p w14:paraId="6DD2D3E2" w14:textId="77777777" w:rsidR="00350F25" w:rsidRDefault="00350F25" w:rsidP="00350F25">
            <w:pPr>
              <w:pStyle w:val="TableCellText"/>
            </w:pPr>
            <w:r>
              <w:t>2000-2017</w:t>
            </w:r>
          </w:p>
        </w:tc>
        <w:tc>
          <w:tcPr>
            <w:tcW w:w="2740" w:type="pct"/>
            <w:tcBorders>
              <w:top w:val="single" w:sz="4" w:space="0" w:color="0070C0"/>
              <w:left w:val="single" w:sz="4" w:space="0" w:color="0070C0"/>
              <w:bottom w:val="single" w:sz="4" w:space="0" w:color="0070C0"/>
              <w:right w:val="single" w:sz="4" w:space="0" w:color="0070C0"/>
            </w:tcBorders>
          </w:tcPr>
          <w:p w14:paraId="4C176CF4" w14:textId="77777777" w:rsidR="00350F25" w:rsidRPr="004739E4" w:rsidRDefault="00350F25" w:rsidP="00350F25">
            <w:pPr>
              <w:pStyle w:val="TableCellText"/>
            </w:pPr>
            <w:r>
              <w:t>This range is based on replacing pre-2018 trucks since the Heavy-Duty GHG Phase 1</w:t>
            </w:r>
            <w:r w:rsidRPr="00140664">
              <w:t xml:space="preserve"> rule would have been fully phased in by 201</w:t>
            </w:r>
            <w:r>
              <w:t>8, and the Phase 2 regulations begin.</w:t>
            </w:r>
          </w:p>
        </w:tc>
      </w:tr>
      <w:tr w:rsidR="00350F25" w:rsidRPr="00CC451D" w14:paraId="217D443C" w14:textId="77777777" w:rsidTr="00350F25">
        <w:trPr>
          <w:trHeight w:val="24"/>
        </w:trPr>
        <w:tc>
          <w:tcPr>
            <w:tcW w:w="1297" w:type="pct"/>
            <w:tcBorders>
              <w:top w:val="single" w:sz="4" w:space="0" w:color="0070C0"/>
              <w:left w:val="single" w:sz="4" w:space="0" w:color="0070C0"/>
              <w:bottom w:val="single" w:sz="4" w:space="0" w:color="0070C0"/>
              <w:right w:val="single" w:sz="4" w:space="0" w:color="0070C0"/>
            </w:tcBorders>
            <w:noWrap/>
          </w:tcPr>
          <w:p w14:paraId="6D8A1E64" w14:textId="46FCD2DE" w:rsidR="00350F25" w:rsidRDefault="006771E4" w:rsidP="00350F25">
            <w:pPr>
              <w:pStyle w:val="TableCellText"/>
            </w:pPr>
            <w:r>
              <w:t>Long haul</w:t>
            </w:r>
            <w:r w:rsidR="00350F25">
              <w:t xml:space="preserve"> Annual Idle Hours</w:t>
            </w:r>
          </w:p>
        </w:tc>
        <w:tc>
          <w:tcPr>
            <w:tcW w:w="963" w:type="pct"/>
            <w:tcBorders>
              <w:top w:val="single" w:sz="4" w:space="0" w:color="0070C0"/>
              <w:left w:val="single" w:sz="4" w:space="0" w:color="0070C0"/>
              <w:bottom w:val="single" w:sz="4" w:space="0" w:color="0070C0"/>
              <w:right w:val="single" w:sz="4" w:space="0" w:color="0070C0"/>
            </w:tcBorders>
          </w:tcPr>
          <w:p w14:paraId="66BCC801" w14:textId="77777777" w:rsidR="00350F25" w:rsidRDefault="00350F25" w:rsidP="00350F25">
            <w:pPr>
              <w:pStyle w:val="TableCellText"/>
            </w:pPr>
            <w:r>
              <w:t>n/a</w:t>
            </w:r>
          </w:p>
        </w:tc>
        <w:tc>
          <w:tcPr>
            <w:tcW w:w="2740" w:type="pct"/>
            <w:tcBorders>
              <w:top w:val="single" w:sz="4" w:space="0" w:color="0070C0"/>
              <w:left w:val="single" w:sz="4" w:space="0" w:color="0070C0"/>
              <w:bottom w:val="single" w:sz="4" w:space="0" w:color="0070C0"/>
              <w:right w:val="single" w:sz="4" w:space="0" w:color="0070C0"/>
            </w:tcBorders>
          </w:tcPr>
          <w:p w14:paraId="7351BAEE" w14:textId="6C327872" w:rsidR="00350F25" w:rsidRPr="004739E4" w:rsidRDefault="00350F25" w:rsidP="00350F25">
            <w:pPr>
              <w:pStyle w:val="TableCellText"/>
            </w:pPr>
            <w:r>
              <w:t xml:space="preserve">Only applicable for strategies involving combo unit </w:t>
            </w:r>
            <w:r w:rsidR="006771E4">
              <w:t>long haul</w:t>
            </w:r>
            <w:r>
              <w:t xml:space="preserve"> trucks.</w:t>
            </w:r>
          </w:p>
        </w:tc>
      </w:tr>
      <w:tr w:rsidR="00350F25" w:rsidRPr="00CC451D" w14:paraId="2D90774F"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5DAF6A5E" w14:textId="77777777" w:rsidR="00350F25" w:rsidRPr="004739E4" w:rsidRDefault="00350F25" w:rsidP="00350F25">
            <w:pPr>
              <w:pStyle w:val="TableCellText"/>
              <w:keepNext/>
            </w:pPr>
            <w:r w:rsidRPr="00447743">
              <w:rPr>
                <w:b/>
              </w:rPr>
              <w:lastRenderedPageBreak/>
              <w:t>Fuel Costs</w:t>
            </w:r>
          </w:p>
        </w:tc>
      </w:tr>
      <w:tr w:rsidR="00350F25" w:rsidRPr="00CC451D" w14:paraId="3DD9E473" w14:textId="77777777" w:rsidTr="00350F25">
        <w:trPr>
          <w:trHeight w:val="24"/>
        </w:trPr>
        <w:tc>
          <w:tcPr>
            <w:tcW w:w="1297" w:type="pct"/>
            <w:tcBorders>
              <w:top w:val="single" w:sz="4" w:space="0" w:color="0070C0"/>
              <w:left w:val="single" w:sz="4" w:space="0" w:color="0070C0"/>
              <w:bottom w:val="single" w:sz="4" w:space="0" w:color="0070C0"/>
              <w:right w:val="single" w:sz="4" w:space="0" w:color="0070C0"/>
            </w:tcBorders>
            <w:noWrap/>
          </w:tcPr>
          <w:p w14:paraId="1A3DDF67" w14:textId="77777777" w:rsidR="00350F25" w:rsidRDefault="00350F25" w:rsidP="00350F25">
            <w:pPr>
              <w:pStyle w:val="TableCellText"/>
              <w:keepNext/>
            </w:pPr>
            <w:r>
              <w:t>Cost per Unit</w:t>
            </w:r>
          </w:p>
        </w:tc>
        <w:tc>
          <w:tcPr>
            <w:tcW w:w="963" w:type="pct"/>
            <w:tcBorders>
              <w:top w:val="single" w:sz="4" w:space="0" w:color="0070C0"/>
              <w:left w:val="single" w:sz="4" w:space="0" w:color="0070C0"/>
              <w:bottom w:val="single" w:sz="4" w:space="0" w:color="0070C0"/>
              <w:right w:val="single" w:sz="4" w:space="0" w:color="0070C0"/>
            </w:tcBorders>
          </w:tcPr>
          <w:p w14:paraId="52B033C1" w14:textId="77777777" w:rsidR="00350F25" w:rsidRDefault="00350F25" w:rsidP="00350F25">
            <w:pPr>
              <w:pStyle w:val="TableCellText"/>
              <w:keepNext/>
            </w:pPr>
            <w:r>
              <w:t>Leave default values</w:t>
            </w:r>
          </w:p>
        </w:tc>
        <w:tc>
          <w:tcPr>
            <w:tcW w:w="2740" w:type="pct"/>
            <w:tcBorders>
              <w:top w:val="single" w:sz="4" w:space="0" w:color="0070C0"/>
              <w:left w:val="single" w:sz="4" w:space="0" w:color="0070C0"/>
              <w:bottom w:val="single" w:sz="4" w:space="0" w:color="0070C0"/>
              <w:right w:val="single" w:sz="4" w:space="0" w:color="0070C0"/>
            </w:tcBorders>
          </w:tcPr>
          <w:p w14:paraId="4CBE5BF0" w14:textId="77777777" w:rsidR="00350F25" w:rsidRPr="004739E4" w:rsidRDefault="00350F25" w:rsidP="00350F25">
            <w:pPr>
              <w:pStyle w:val="TableCellText"/>
              <w:keepNext/>
            </w:pPr>
            <w:r>
              <w:t xml:space="preserve">Default values are national averages; more up-to-date and regional fuel prices can be found at the Alternative Fuels Data Center’s </w:t>
            </w:r>
            <w:hyperlink r:id="rId82" w:history="1">
              <w:r w:rsidRPr="009E5B70">
                <w:rPr>
                  <w:rStyle w:val="Hyperlink"/>
                </w:rPr>
                <w:t>Fuel Prices webpage</w:t>
              </w:r>
            </w:hyperlink>
            <w:r>
              <w:t>.</w:t>
            </w:r>
          </w:p>
        </w:tc>
      </w:tr>
      <w:tr w:rsidR="00350F25" w:rsidRPr="00CC451D" w14:paraId="7BC8A841" w14:textId="77777777" w:rsidTr="00350F25">
        <w:trPr>
          <w:trHeight w:val="24"/>
        </w:trPr>
        <w:tc>
          <w:tcPr>
            <w:tcW w:w="1297" w:type="pct"/>
            <w:tcBorders>
              <w:top w:val="single" w:sz="4" w:space="0" w:color="0070C0"/>
              <w:left w:val="single" w:sz="4" w:space="0" w:color="0070C0"/>
              <w:bottom w:val="single" w:sz="4" w:space="0" w:color="0070C0"/>
              <w:right w:val="single" w:sz="4" w:space="0" w:color="0070C0"/>
            </w:tcBorders>
            <w:noWrap/>
          </w:tcPr>
          <w:p w14:paraId="6B1DD695" w14:textId="77777777" w:rsidR="00350F25" w:rsidRDefault="00350F25" w:rsidP="00350F25">
            <w:pPr>
              <w:pStyle w:val="TableCellText"/>
              <w:keepNext/>
            </w:pPr>
            <w:r>
              <w:t>Electricity Generation Region</w:t>
            </w:r>
          </w:p>
        </w:tc>
        <w:tc>
          <w:tcPr>
            <w:tcW w:w="963" w:type="pct"/>
            <w:tcBorders>
              <w:top w:val="single" w:sz="4" w:space="0" w:color="0070C0"/>
              <w:left w:val="single" w:sz="4" w:space="0" w:color="0070C0"/>
              <w:bottom w:val="single" w:sz="4" w:space="0" w:color="0070C0"/>
              <w:right w:val="single" w:sz="4" w:space="0" w:color="0070C0"/>
            </w:tcBorders>
          </w:tcPr>
          <w:p w14:paraId="72BE04EB" w14:textId="77777777" w:rsidR="00350F25" w:rsidRDefault="00350F25" w:rsidP="00350F25">
            <w:pPr>
              <w:pStyle w:val="TableCellText"/>
              <w:keepNext/>
            </w:pPr>
            <w:r>
              <w:t>NPCC</w:t>
            </w:r>
          </w:p>
        </w:tc>
        <w:tc>
          <w:tcPr>
            <w:tcW w:w="2740" w:type="pct"/>
            <w:tcBorders>
              <w:top w:val="single" w:sz="4" w:space="0" w:color="0070C0"/>
              <w:left w:val="single" w:sz="4" w:space="0" w:color="0070C0"/>
              <w:bottom w:val="single" w:sz="4" w:space="0" w:color="0070C0"/>
              <w:right w:val="single" w:sz="4" w:space="0" w:color="0070C0"/>
            </w:tcBorders>
          </w:tcPr>
          <w:p w14:paraId="7ECF8FB2" w14:textId="77777777" w:rsidR="00350F25" w:rsidRPr="004739E4" w:rsidRDefault="00350F25" w:rsidP="00350F25">
            <w:pPr>
              <w:pStyle w:val="TableCellText"/>
              <w:keepNext/>
            </w:pPr>
            <w:r>
              <w:t>This electricity region includes New York.</w:t>
            </w:r>
          </w:p>
        </w:tc>
      </w:tr>
      <w:tr w:rsidR="00350F25" w:rsidRPr="00CC451D" w14:paraId="7A221882" w14:textId="77777777" w:rsidTr="00350F25">
        <w:trPr>
          <w:trHeight w:val="24"/>
        </w:trPr>
        <w:tc>
          <w:tcPr>
            <w:tcW w:w="1297" w:type="pct"/>
            <w:tcBorders>
              <w:top w:val="single" w:sz="4" w:space="0" w:color="0070C0"/>
              <w:left w:val="single" w:sz="4" w:space="0" w:color="0070C0"/>
              <w:bottom w:val="single" w:sz="4" w:space="0" w:color="0070C0"/>
              <w:right w:val="single" w:sz="4" w:space="0" w:color="0070C0"/>
            </w:tcBorders>
            <w:noWrap/>
          </w:tcPr>
          <w:p w14:paraId="5BEBCAE9" w14:textId="77777777" w:rsidR="00350F25" w:rsidRDefault="00350F25" w:rsidP="00350F25">
            <w:pPr>
              <w:pStyle w:val="TableCellText"/>
            </w:pPr>
            <w:r>
              <w:t>CO</w:t>
            </w:r>
            <w:r w:rsidRPr="00F6465A">
              <w:rPr>
                <w:vertAlign w:val="subscript"/>
              </w:rPr>
              <w:t>2</w:t>
            </w:r>
          </w:p>
        </w:tc>
        <w:tc>
          <w:tcPr>
            <w:tcW w:w="963" w:type="pct"/>
            <w:tcBorders>
              <w:top w:val="single" w:sz="4" w:space="0" w:color="0070C0"/>
              <w:left w:val="single" w:sz="4" w:space="0" w:color="0070C0"/>
              <w:bottom w:val="single" w:sz="4" w:space="0" w:color="0070C0"/>
              <w:right w:val="single" w:sz="4" w:space="0" w:color="0070C0"/>
            </w:tcBorders>
          </w:tcPr>
          <w:p w14:paraId="7FD42BE0" w14:textId="77777777" w:rsidR="00350F25" w:rsidRDefault="00350F25" w:rsidP="00350F25">
            <w:pPr>
              <w:pStyle w:val="TableCellText"/>
            </w:pPr>
            <w:r>
              <w:t>Leave default value (254 g/kWh)</w:t>
            </w:r>
          </w:p>
        </w:tc>
        <w:tc>
          <w:tcPr>
            <w:tcW w:w="2740" w:type="pct"/>
            <w:tcBorders>
              <w:top w:val="single" w:sz="4" w:space="0" w:color="0070C0"/>
              <w:left w:val="single" w:sz="4" w:space="0" w:color="0070C0"/>
              <w:bottom w:val="single" w:sz="4" w:space="0" w:color="0070C0"/>
              <w:right w:val="single" w:sz="4" w:space="0" w:color="0070C0"/>
            </w:tcBorders>
          </w:tcPr>
          <w:p w14:paraId="09A42B69" w14:textId="77777777" w:rsidR="00350F25" w:rsidRPr="004739E4" w:rsidRDefault="00350F25" w:rsidP="00350F25">
            <w:pPr>
              <w:pStyle w:val="TableCellText"/>
            </w:pPr>
            <w:r>
              <w:t>The default value will update depending on the Electricity Generation Region selected.</w:t>
            </w:r>
          </w:p>
        </w:tc>
      </w:tr>
      <w:tr w:rsidR="00350F25" w:rsidRPr="00CC451D" w14:paraId="3F4D046E" w14:textId="77777777" w:rsidTr="00350F25">
        <w:trPr>
          <w:trHeight w:val="24"/>
        </w:trPr>
        <w:tc>
          <w:tcPr>
            <w:tcW w:w="5000" w:type="pct"/>
            <w:gridSpan w:val="3"/>
            <w:tcBorders>
              <w:top w:val="single" w:sz="4" w:space="0" w:color="0070C0"/>
              <w:left w:val="single" w:sz="4" w:space="0" w:color="0070C0"/>
              <w:bottom w:val="single" w:sz="4" w:space="0" w:color="0070C0"/>
            </w:tcBorders>
            <w:shd w:val="clear" w:color="auto" w:fill="D9D9D9" w:themeFill="accent5" w:themeFillTint="99"/>
            <w:noWrap/>
          </w:tcPr>
          <w:p w14:paraId="09132A5E" w14:textId="77777777" w:rsidR="00350F25" w:rsidRPr="004739E4" w:rsidRDefault="00350F25" w:rsidP="00350F25">
            <w:pPr>
              <w:pStyle w:val="TableCellText"/>
              <w:keepNext/>
            </w:pPr>
            <w:r w:rsidRPr="00447743">
              <w:rPr>
                <w:b/>
              </w:rPr>
              <w:t>Capital Costs</w:t>
            </w:r>
          </w:p>
        </w:tc>
      </w:tr>
      <w:tr w:rsidR="00350F25" w:rsidRPr="00CC451D" w14:paraId="159768E7" w14:textId="77777777" w:rsidTr="00350F25">
        <w:trPr>
          <w:trHeight w:val="24"/>
        </w:trPr>
        <w:tc>
          <w:tcPr>
            <w:tcW w:w="1297" w:type="pct"/>
            <w:tcBorders>
              <w:top w:val="single" w:sz="4" w:space="0" w:color="0070C0"/>
              <w:left w:val="single" w:sz="4" w:space="0" w:color="0070C0"/>
              <w:bottom w:val="single" w:sz="4" w:space="0" w:color="0070C0"/>
              <w:right w:val="single" w:sz="4" w:space="0" w:color="0070C0"/>
            </w:tcBorders>
            <w:noWrap/>
          </w:tcPr>
          <w:p w14:paraId="08AFD737" w14:textId="77777777" w:rsidR="00350F25" w:rsidRDefault="00350F25" w:rsidP="00350F25">
            <w:pPr>
              <w:pStyle w:val="TableCellText"/>
            </w:pPr>
            <w:r>
              <w:t>Cost</w:t>
            </w:r>
          </w:p>
        </w:tc>
        <w:tc>
          <w:tcPr>
            <w:tcW w:w="963" w:type="pct"/>
            <w:tcBorders>
              <w:top w:val="single" w:sz="4" w:space="0" w:color="0070C0"/>
              <w:left w:val="single" w:sz="4" w:space="0" w:color="0070C0"/>
              <w:bottom w:val="single" w:sz="4" w:space="0" w:color="0070C0"/>
              <w:right w:val="single" w:sz="4" w:space="0" w:color="0070C0"/>
            </w:tcBorders>
          </w:tcPr>
          <w:p w14:paraId="5CE017FE" w14:textId="77777777" w:rsidR="00350F25" w:rsidRDefault="00350F25" w:rsidP="00350F25">
            <w:pPr>
              <w:pStyle w:val="TableCellText"/>
            </w:pPr>
            <w:r>
              <w:t>Leave default values</w:t>
            </w:r>
          </w:p>
        </w:tc>
        <w:tc>
          <w:tcPr>
            <w:tcW w:w="2740" w:type="pct"/>
            <w:tcBorders>
              <w:top w:val="single" w:sz="4" w:space="0" w:color="0070C0"/>
              <w:left w:val="single" w:sz="4" w:space="0" w:color="0070C0"/>
              <w:bottom w:val="single" w:sz="4" w:space="0" w:color="0070C0"/>
              <w:right w:val="single" w:sz="4" w:space="0" w:color="0070C0"/>
            </w:tcBorders>
          </w:tcPr>
          <w:p w14:paraId="1C056243" w14:textId="77777777" w:rsidR="00350F25" w:rsidRPr="004739E4" w:rsidRDefault="00350F25" w:rsidP="00350F25">
            <w:pPr>
              <w:pStyle w:val="TableCellText"/>
            </w:pPr>
            <w:r>
              <w:t>Default values are based on recent (2015) estimates. Replacing defaults with more up-to-date or local averages will improve cost and cost effectiveness estimates in the results.</w:t>
            </w:r>
          </w:p>
        </w:tc>
      </w:tr>
    </w:tbl>
    <w:p w14:paraId="6CA0211C" w14:textId="77777777" w:rsidR="00350F25" w:rsidRDefault="00350F25" w:rsidP="00350F25">
      <w:pPr>
        <w:pStyle w:val="BodyText"/>
        <w:rPr>
          <w:iCs/>
        </w:rPr>
      </w:pPr>
    </w:p>
    <w:p w14:paraId="56231C0B" w14:textId="77777777" w:rsidR="00350F25" w:rsidRDefault="00350F25" w:rsidP="00350F25">
      <w:pPr>
        <w:pStyle w:val="BodyText"/>
        <w:rPr>
          <w:b/>
          <w:iCs/>
        </w:rPr>
      </w:pPr>
      <w:r w:rsidRPr="00854C71">
        <w:rPr>
          <w:b/>
          <w:iCs/>
        </w:rPr>
        <w:t>Results</w:t>
      </w:r>
    </w:p>
    <w:p w14:paraId="1BF7A8FE" w14:textId="77777777" w:rsidR="00350F25" w:rsidRDefault="00350F25" w:rsidP="00350F25">
      <w:pPr>
        <w:pStyle w:val="BodyText"/>
        <w:rPr>
          <w:iCs/>
        </w:rPr>
      </w:pPr>
      <w:r>
        <w:rPr>
          <w:iCs/>
        </w:rPr>
        <w:t>For each strategy option, the Tool calculates the number of trucks that can be modified or replaced for the funding amount, $1 million in this scenario. For the alternative fuel and accelerated retirement options, t</w:t>
      </w:r>
      <w:r w:rsidRPr="00854C71">
        <w:rPr>
          <w:iCs/>
        </w:rPr>
        <w:t xml:space="preserve">he number of trucks assumes that the old truck is scrapped and that the program is paying the </w:t>
      </w:r>
      <w:r>
        <w:rPr>
          <w:iCs/>
        </w:rPr>
        <w:t xml:space="preserve">total </w:t>
      </w:r>
      <w:r w:rsidRPr="00854C71">
        <w:rPr>
          <w:iCs/>
        </w:rPr>
        <w:t>cost of the new vehicle</w:t>
      </w:r>
      <w:r>
        <w:rPr>
          <w:iCs/>
        </w:rPr>
        <w:t xml:space="preserve"> (i.e., the old truck has no value because it is being scrapped)</w:t>
      </w:r>
      <w:r w:rsidRPr="00854C71">
        <w:rPr>
          <w:iCs/>
        </w:rPr>
        <w:t xml:space="preserve">. </w:t>
      </w:r>
      <w:r>
        <w:rPr>
          <w:iCs/>
        </w:rPr>
        <w:t>S</w:t>
      </w:r>
      <w:r w:rsidRPr="00854C71">
        <w:rPr>
          <w:iCs/>
        </w:rPr>
        <w:t>trategies that have no capit</w:t>
      </w:r>
      <w:r>
        <w:rPr>
          <w:iCs/>
        </w:rPr>
        <w:t>al cost (such as the drop-in fuels, B20 and R100</w:t>
      </w:r>
      <w:r w:rsidRPr="00854C71">
        <w:rPr>
          <w:iCs/>
        </w:rPr>
        <w:t xml:space="preserve">) are not </w:t>
      </w:r>
      <w:r>
        <w:rPr>
          <w:iCs/>
        </w:rPr>
        <w:t>included in the Funding Impact analysis</w:t>
      </w:r>
      <w:r w:rsidRPr="00854C71">
        <w:rPr>
          <w:iCs/>
        </w:rPr>
        <w:t>.</w:t>
      </w:r>
    </w:p>
    <w:tbl>
      <w:tblPr>
        <w:tblStyle w:val="TableGrid"/>
        <w:tblW w:w="0" w:type="auto"/>
        <w:tblLook w:val="04A0" w:firstRow="1" w:lastRow="0" w:firstColumn="1" w:lastColumn="0" w:noHBand="0" w:noVBand="1"/>
      </w:tblPr>
      <w:tblGrid>
        <w:gridCol w:w="2395"/>
        <w:gridCol w:w="1775"/>
        <w:gridCol w:w="1872"/>
      </w:tblGrid>
      <w:tr w:rsidR="00350F25" w:rsidRPr="00550BD5" w14:paraId="158ABA64" w14:textId="77777777" w:rsidTr="00350F25">
        <w:trPr>
          <w:trHeight w:val="926"/>
        </w:trPr>
        <w:tc>
          <w:tcPr>
            <w:tcW w:w="2395" w:type="dxa"/>
            <w:tcBorders>
              <w:bottom w:val="single" w:sz="4" w:space="0" w:color="0067AB"/>
              <w:right w:val="single" w:sz="4" w:space="0" w:color="FFFFFF" w:themeColor="background1"/>
            </w:tcBorders>
            <w:shd w:val="clear" w:color="auto" w:fill="0067AB"/>
            <w:vAlign w:val="bottom"/>
            <w:hideMark/>
          </w:tcPr>
          <w:p w14:paraId="071AC755" w14:textId="77777777" w:rsidR="00350F25" w:rsidRPr="00350F25" w:rsidRDefault="00350F25" w:rsidP="00350F25">
            <w:pPr>
              <w:pStyle w:val="BodyText"/>
              <w:spacing w:after="0"/>
              <w:jc w:val="center"/>
              <w:rPr>
                <w:bCs/>
                <w:iCs/>
                <w:color w:val="FFFFFF" w:themeColor="background1"/>
                <w:sz w:val="20"/>
                <w:szCs w:val="20"/>
              </w:rPr>
            </w:pPr>
            <w:r w:rsidRPr="00350F25">
              <w:rPr>
                <w:bCs/>
                <w:iCs/>
                <w:color w:val="FFFFFF" w:themeColor="background1"/>
                <w:sz w:val="20"/>
                <w:szCs w:val="20"/>
              </w:rPr>
              <w:t>Modification</w:t>
            </w:r>
          </w:p>
        </w:tc>
        <w:tc>
          <w:tcPr>
            <w:tcW w:w="1775" w:type="dxa"/>
            <w:tcBorders>
              <w:left w:val="single" w:sz="4" w:space="0" w:color="FFFFFF" w:themeColor="background1"/>
              <w:bottom w:val="single" w:sz="4" w:space="0" w:color="0067AB"/>
              <w:right w:val="single" w:sz="4" w:space="0" w:color="FFFFFF" w:themeColor="background1"/>
            </w:tcBorders>
            <w:shd w:val="clear" w:color="auto" w:fill="0067AB"/>
            <w:vAlign w:val="bottom"/>
            <w:hideMark/>
          </w:tcPr>
          <w:p w14:paraId="295DBE0E" w14:textId="77777777" w:rsidR="00350F25" w:rsidRPr="00350F25" w:rsidRDefault="00350F25" w:rsidP="00350F25">
            <w:pPr>
              <w:pStyle w:val="BodyText"/>
              <w:spacing w:after="0"/>
              <w:jc w:val="center"/>
              <w:rPr>
                <w:bCs/>
                <w:iCs/>
                <w:color w:val="FFFFFF" w:themeColor="background1"/>
                <w:sz w:val="20"/>
                <w:szCs w:val="20"/>
              </w:rPr>
            </w:pPr>
            <w:r w:rsidRPr="00350F25">
              <w:rPr>
                <w:bCs/>
                <w:iCs/>
                <w:color w:val="FFFFFF" w:themeColor="background1"/>
                <w:sz w:val="20"/>
                <w:szCs w:val="20"/>
              </w:rPr>
              <w:t>Number of Trucks to Modify/Replace</w:t>
            </w:r>
          </w:p>
        </w:tc>
        <w:tc>
          <w:tcPr>
            <w:tcW w:w="1872" w:type="dxa"/>
            <w:tcBorders>
              <w:left w:val="single" w:sz="4" w:space="0" w:color="FFFFFF" w:themeColor="background1"/>
              <w:bottom w:val="single" w:sz="4" w:space="0" w:color="0067AB"/>
            </w:tcBorders>
            <w:shd w:val="clear" w:color="auto" w:fill="0067AB"/>
            <w:vAlign w:val="bottom"/>
            <w:hideMark/>
          </w:tcPr>
          <w:p w14:paraId="0C50DF14" w14:textId="77777777" w:rsidR="00350F25" w:rsidRPr="00350F25" w:rsidRDefault="00350F25" w:rsidP="00350F25">
            <w:pPr>
              <w:pStyle w:val="BodyText"/>
              <w:spacing w:after="0"/>
              <w:jc w:val="center"/>
              <w:rPr>
                <w:bCs/>
                <w:iCs/>
                <w:color w:val="FFFFFF" w:themeColor="background1"/>
                <w:sz w:val="20"/>
                <w:szCs w:val="20"/>
              </w:rPr>
            </w:pPr>
            <w:r w:rsidRPr="00350F25">
              <w:rPr>
                <w:bCs/>
                <w:iCs/>
                <w:color w:val="FFFFFF" w:themeColor="background1"/>
                <w:sz w:val="20"/>
                <w:szCs w:val="20"/>
              </w:rPr>
              <w:t>Annual CO</w:t>
            </w:r>
            <w:r w:rsidRPr="00350F25">
              <w:rPr>
                <w:bCs/>
                <w:iCs/>
                <w:color w:val="FFFFFF" w:themeColor="background1"/>
                <w:sz w:val="20"/>
                <w:szCs w:val="20"/>
                <w:vertAlign w:val="subscript"/>
              </w:rPr>
              <w:t>2</w:t>
            </w:r>
            <w:r w:rsidRPr="00350F25">
              <w:rPr>
                <w:bCs/>
                <w:iCs/>
                <w:color w:val="FFFFFF" w:themeColor="background1"/>
                <w:sz w:val="20"/>
                <w:szCs w:val="20"/>
              </w:rPr>
              <w:t xml:space="preserve"> Emissions Reduced (tons)</w:t>
            </w:r>
          </w:p>
        </w:tc>
      </w:tr>
      <w:tr w:rsidR="00350F25" w:rsidRPr="00550BD5" w14:paraId="076649B2" w14:textId="77777777" w:rsidTr="00350F25">
        <w:trPr>
          <w:trHeight w:val="300"/>
        </w:trPr>
        <w:tc>
          <w:tcPr>
            <w:tcW w:w="2395" w:type="dxa"/>
            <w:tcBorders>
              <w:top w:val="single" w:sz="4" w:space="0" w:color="0067AB"/>
              <w:left w:val="single" w:sz="4" w:space="0" w:color="0067AB"/>
              <w:bottom w:val="single" w:sz="4" w:space="0" w:color="0067AB"/>
              <w:right w:val="single" w:sz="4" w:space="0" w:color="0067AB"/>
            </w:tcBorders>
            <w:noWrap/>
            <w:vAlign w:val="center"/>
            <w:hideMark/>
          </w:tcPr>
          <w:p w14:paraId="061D43AE" w14:textId="77777777" w:rsidR="00350F25" w:rsidRPr="00350F25" w:rsidRDefault="00350F25" w:rsidP="00350F25">
            <w:pPr>
              <w:pStyle w:val="BodyText"/>
              <w:spacing w:after="0"/>
              <w:rPr>
                <w:iCs/>
                <w:sz w:val="20"/>
                <w:szCs w:val="20"/>
              </w:rPr>
            </w:pPr>
            <w:r w:rsidRPr="00350F25">
              <w:rPr>
                <w:iCs/>
                <w:sz w:val="20"/>
                <w:szCs w:val="20"/>
              </w:rPr>
              <w:t>CNG</w:t>
            </w:r>
          </w:p>
        </w:tc>
        <w:tc>
          <w:tcPr>
            <w:tcW w:w="1775" w:type="dxa"/>
            <w:tcBorders>
              <w:top w:val="single" w:sz="4" w:space="0" w:color="0067AB"/>
              <w:left w:val="single" w:sz="4" w:space="0" w:color="0067AB"/>
              <w:bottom w:val="single" w:sz="4" w:space="0" w:color="0067AB"/>
              <w:right w:val="single" w:sz="4" w:space="0" w:color="0067AB"/>
            </w:tcBorders>
            <w:noWrap/>
            <w:vAlign w:val="bottom"/>
            <w:hideMark/>
          </w:tcPr>
          <w:p w14:paraId="2BBA2A47" w14:textId="77777777" w:rsidR="00350F25" w:rsidRPr="00350F25" w:rsidRDefault="00350F25" w:rsidP="00350F25">
            <w:pPr>
              <w:pStyle w:val="BodyText"/>
              <w:spacing w:after="0"/>
              <w:jc w:val="center"/>
              <w:rPr>
                <w:iCs/>
                <w:sz w:val="20"/>
                <w:szCs w:val="20"/>
              </w:rPr>
            </w:pPr>
            <w:r w:rsidRPr="00350F25">
              <w:rPr>
                <w:iCs/>
                <w:sz w:val="20"/>
                <w:szCs w:val="20"/>
              </w:rPr>
              <w:t>5</w:t>
            </w:r>
          </w:p>
        </w:tc>
        <w:tc>
          <w:tcPr>
            <w:tcW w:w="1872" w:type="dxa"/>
            <w:tcBorders>
              <w:top w:val="single" w:sz="4" w:space="0" w:color="0067AB"/>
              <w:left w:val="single" w:sz="4" w:space="0" w:color="0067AB"/>
              <w:bottom w:val="single" w:sz="4" w:space="0" w:color="0067AB"/>
              <w:right w:val="single" w:sz="4" w:space="0" w:color="0067AB"/>
            </w:tcBorders>
            <w:noWrap/>
            <w:vAlign w:val="bottom"/>
            <w:hideMark/>
          </w:tcPr>
          <w:p w14:paraId="1FF4A4E3" w14:textId="77777777" w:rsidR="00350F25" w:rsidRPr="00350F25" w:rsidRDefault="00350F25" w:rsidP="00350F25">
            <w:pPr>
              <w:pStyle w:val="BodyText"/>
              <w:spacing w:after="0"/>
              <w:jc w:val="center"/>
              <w:rPr>
                <w:iCs/>
                <w:sz w:val="20"/>
                <w:szCs w:val="20"/>
              </w:rPr>
            </w:pPr>
            <w:r w:rsidRPr="00350F25">
              <w:rPr>
                <w:iCs/>
                <w:sz w:val="20"/>
                <w:szCs w:val="20"/>
              </w:rPr>
              <w:t>82.8</w:t>
            </w:r>
          </w:p>
        </w:tc>
      </w:tr>
      <w:tr w:rsidR="00350F25" w:rsidRPr="00550BD5" w14:paraId="1B2FE841" w14:textId="77777777" w:rsidTr="00350F25">
        <w:trPr>
          <w:trHeight w:val="300"/>
        </w:trPr>
        <w:tc>
          <w:tcPr>
            <w:tcW w:w="2395" w:type="dxa"/>
            <w:tcBorders>
              <w:top w:val="single" w:sz="4" w:space="0" w:color="0067AB"/>
              <w:left w:val="single" w:sz="4" w:space="0" w:color="0067AB"/>
              <w:bottom w:val="single" w:sz="4" w:space="0" w:color="0067AB"/>
              <w:right w:val="single" w:sz="4" w:space="0" w:color="0067AB"/>
            </w:tcBorders>
            <w:noWrap/>
            <w:vAlign w:val="center"/>
            <w:hideMark/>
          </w:tcPr>
          <w:p w14:paraId="7A25F219" w14:textId="77777777" w:rsidR="00350F25" w:rsidRPr="00350F25" w:rsidRDefault="00350F25" w:rsidP="00350F25">
            <w:pPr>
              <w:pStyle w:val="BodyText"/>
              <w:spacing w:after="0"/>
              <w:rPr>
                <w:iCs/>
                <w:sz w:val="20"/>
                <w:szCs w:val="20"/>
              </w:rPr>
            </w:pPr>
            <w:r w:rsidRPr="00350F25">
              <w:rPr>
                <w:iCs/>
                <w:sz w:val="20"/>
                <w:szCs w:val="20"/>
              </w:rPr>
              <w:t>RCNG</w:t>
            </w:r>
          </w:p>
        </w:tc>
        <w:tc>
          <w:tcPr>
            <w:tcW w:w="1775" w:type="dxa"/>
            <w:tcBorders>
              <w:top w:val="single" w:sz="4" w:space="0" w:color="0067AB"/>
              <w:left w:val="single" w:sz="4" w:space="0" w:color="0067AB"/>
              <w:bottom w:val="single" w:sz="4" w:space="0" w:color="0067AB"/>
              <w:right w:val="single" w:sz="4" w:space="0" w:color="0067AB"/>
            </w:tcBorders>
            <w:noWrap/>
            <w:vAlign w:val="bottom"/>
            <w:hideMark/>
          </w:tcPr>
          <w:p w14:paraId="1CC5B161" w14:textId="77777777" w:rsidR="00350F25" w:rsidRPr="00350F25" w:rsidRDefault="00350F25" w:rsidP="00350F25">
            <w:pPr>
              <w:pStyle w:val="BodyText"/>
              <w:spacing w:after="0"/>
              <w:jc w:val="center"/>
              <w:rPr>
                <w:iCs/>
                <w:sz w:val="20"/>
                <w:szCs w:val="20"/>
              </w:rPr>
            </w:pPr>
            <w:r w:rsidRPr="00350F25">
              <w:rPr>
                <w:iCs/>
                <w:sz w:val="20"/>
                <w:szCs w:val="20"/>
              </w:rPr>
              <w:t>5</w:t>
            </w:r>
          </w:p>
        </w:tc>
        <w:tc>
          <w:tcPr>
            <w:tcW w:w="1872" w:type="dxa"/>
            <w:tcBorders>
              <w:top w:val="single" w:sz="4" w:space="0" w:color="0067AB"/>
              <w:left w:val="single" w:sz="4" w:space="0" w:color="0067AB"/>
              <w:bottom w:val="single" w:sz="4" w:space="0" w:color="0067AB"/>
              <w:right w:val="single" w:sz="4" w:space="0" w:color="0067AB"/>
            </w:tcBorders>
            <w:noWrap/>
            <w:vAlign w:val="bottom"/>
            <w:hideMark/>
          </w:tcPr>
          <w:p w14:paraId="6732994C" w14:textId="77777777" w:rsidR="00350F25" w:rsidRPr="00350F25" w:rsidRDefault="00350F25" w:rsidP="00350F25">
            <w:pPr>
              <w:pStyle w:val="BodyText"/>
              <w:spacing w:after="0"/>
              <w:jc w:val="center"/>
              <w:rPr>
                <w:iCs/>
                <w:sz w:val="20"/>
                <w:szCs w:val="20"/>
              </w:rPr>
            </w:pPr>
            <w:r w:rsidRPr="00350F25">
              <w:rPr>
                <w:iCs/>
                <w:sz w:val="20"/>
                <w:szCs w:val="20"/>
              </w:rPr>
              <w:t>237.1</w:t>
            </w:r>
          </w:p>
        </w:tc>
      </w:tr>
      <w:tr w:rsidR="00350F25" w:rsidRPr="00550BD5" w14:paraId="68C033F6" w14:textId="77777777" w:rsidTr="00350F25">
        <w:trPr>
          <w:trHeight w:val="300"/>
        </w:trPr>
        <w:tc>
          <w:tcPr>
            <w:tcW w:w="2395" w:type="dxa"/>
            <w:tcBorders>
              <w:top w:val="single" w:sz="4" w:space="0" w:color="0067AB"/>
              <w:left w:val="single" w:sz="4" w:space="0" w:color="0067AB"/>
              <w:bottom w:val="single" w:sz="4" w:space="0" w:color="0067AB"/>
              <w:right w:val="single" w:sz="4" w:space="0" w:color="0067AB"/>
            </w:tcBorders>
            <w:noWrap/>
            <w:vAlign w:val="center"/>
            <w:hideMark/>
          </w:tcPr>
          <w:p w14:paraId="17EDD1D1" w14:textId="77777777" w:rsidR="00350F25" w:rsidRPr="00350F25" w:rsidRDefault="00350F25" w:rsidP="00350F25">
            <w:pPr>
              <w:pStyle w:val="BodyText"/>
              <w:spacing w:after="0"/>
              <w:rPr>
                <w:iCs/>
                <w:sz w:val="20"/>
                <w:szCs w:val="20"/>
              </w:rPr>
            </w:pPr>
            <w:r w:rsidRPr="00350F25">
              <w:rPr>
                <w:iCs/>
                <w:sz w:val="20"/>
                <w:szCs w:val="20"/>
              </w:rPr>
              <w:t>Hybrid</w:t>
            </w:r>
          </w:p>
        </w:tc>
        <w:tc>
          <w:tcPr>
            <w:tcW w:w="1775" w:type="dxa"/>
            <w:tcBorders>
              <w:top w:val="single" w:sz="4" w:space="0" w:color="0067AB"/>
              <w:left w:val="single" w:sz="4" w:space="0" w:color="0067AB"/>
              <w:bottom w:val="single" w:sz="4" w:space="0" w:color="0067AB"/>
              <w:right w:val="single" w:sz="4" w:space="0" w:color="0067AB"/>
            </w:tcBorders>
            <w:noWrap/>
            <w:vAlign w:val="bottom"/>
            <w:hideMark/>
          </w:tcPr>
          <w:p w14:paraId="19970E5A" w14:textId="77777777" w:rsidR="00350F25" w:rsidRPr="00350F25" w:rsidRDefault="00350F25" w:rsidP="00350F25">
            <w:pPr>
              <w:pStyle w:val="BodyText"/>
              <w:spacing w:after="0"/>
              <w:jc w:val="center"/>
              <w:rPr>
                <w:iCs/>
                <w:sz w:val="20"/>
                <w:szCs w:val="20"/>
              </w:rPr>
            </w:pPr>
            <w:r w:rsidRPr="00350F25">
              <w:rPr>
                <w:iCs/>
                <w:sz w:val="20"/>
                <w:szCs w:val="20"/>
              </w:rPr>
              <w:t>5</w:t>
            </w:r>
          </w:p>
        </w:tc>
        <w:tc>
          <w:tcPr>
            <w:tcW w:w="1872" w:type="dxa"/>
            <w:tcBorders>
              <w:top w:val="single" w:sz="4" w:space="0" w:color="0067AB"/>
              <w:left w:val="single" w:sz="4" w:space="0" w:color="0067AB"/>
              <w:bottom w:val="single" w:sz="4" w:space="0" w:color="0067AB"/>
              <w:right w:val="single" w:sz="4" w:space="0" w:color="0067AB"/>
            </w:tcBorders>
            <w:noWrap/>
            <w:vAlign w:val="bottom"/>
            <w:hideMark/>
          </w:tcPr>
          <w:p w14:paraId="530E5ADA" w14:textId="77777777" w:rsidR="00350F25" w:rsidRPr="00350F25" w:rsidRDefault="00350F25" w:rsidP="00350F25">
            <w:pPr>
              <w:pStyle w:val="BodyText"/>
              <w:spacing w:after="0"/>
              <w:jc w:val="center"/>
              <w:rPr>
                <w:iCs/>
                <w:sz w:val="20"/>
                <w:szCs w:val="20"/>
              </w:rPr>
            </w:pPr>
            <w:r w:rsidRPr="00350F25">
              <w:rPr>
                <w:iCs/>
                <w:sz w:val="20"/>
                <w:szCs w:val="20"/>
              </w:rPr>
              <w:t>82.8</w:t>
            </w:r>
          </w:p>
        </w:tc>
      </w:tr>
      <w:tr w:rsidR="00350F25" w:rsidRPr="00550BD5" w14:paraId="29435DEB" w14:textId="77777777" w:rsidTr="00350F25">
        <w:trPr>
          <w:trHeight w:val="300"/>
        </w:trPr>
        <w:tc>
          <w:tcPr>
            <w:tcW w:w="2395" w:type="dxa"/>
            <w:tcBorders>
              <w:top w:val="single" w:sz="4" w:space="0" w:color="0067AB"/>
              <w:left w:val="single" w:sz="4" w:space="0" w:color="0067AB"/>
              <w:bottom w:val="single" w:sz="4" w:space="0" w:color="0067AB"/>
              <w:right w:val="single" w:sz="4" w:space="0" w:color="0067AB"/>
            </w:tcBorders>
            <w:noWrap/>
            <w:vAlign w:val="center"/>
            <w:hideMark/>
          </w:tcPr>
          <w:p w14:paraId="30964B3F" w14:textId="77777777" w:rsidR="00350F25" w:rsidRPr="00350F25" w:rsidRDefault="00350F25" w:rsidP="00350F25">
            <w:pPr>
              <w:pStyle w:val="BodyText"/>
              <w:spacing w:after="0"/>
              <w:rPr>
                <w:iCs/>
                <w:sz w:val="20"/>
                <w:szCs w:val="20"/>
              </w:rPr>
            </w:pPr>
            <w:r w:rsidRPr="00350F25">
              <w:rPr>
                <w:iCs/>
                <w:sz w:val="20"/>
                <w:szCs w:val="20"/>
              </w:rPr>
              <w:t>DOC</w:t>
            </w:r>
          </w:p>
        </w:tc>
        <w:tc>
          <w:tcPr>
            <w:tcW w:w="1775" w:type="dxa"/>
            <w:tcBorders>
              <w:top w:val="single" w:sz="4" w:space="0" w:color="0067AB"/>
              <w:left w:val="single" w:sz="4" w:space="0" w:color="0067AB"/>
              <w:bottom w:val="single" w:sz="4" w:space="0" w:color="0067AB"/>
              <w:right w:val="single" w:sz="4" w:space="0" w:color="0067AB"/>
            </w:tcBorders>
            <w:noWrap/>
            <w:vAlign w:val="bottom"/>
            <w:hideMark/>
          </w:tcPr>
          <w:p w14:paraId="10D1726D" w14:textId="77777777" w:rsidR="00350F25" w:rsidRPr="00350F25" w:rsidRDefault="00350F25" w:rsidP="00350F25">
            <w:pPr>
              <w:pStyle w:val="BodyText"/>
              <w:spacing w:after="0"/>
              <w:jc w:val="center"/>
              <w:rPr>
                <w:iCs/>
                <w:sz w:val="20"/>
                <w:szCs w:val="20"/>
              </w:rPr>
            </w:pPr>
            <w:r w:rsidRPr="00350F25">
              <w:rPr>
                <w:iCs/>
                <w:sz w:val="20"/>
                <w:szCs w:val="20"/>
              </w:rPr>
              <w:t>5</w:t>
            </w:r>
          </w:p>
        </w:tc>
        <w:tc>
          <w:tcPr>
            <w:tcW w:w="1872" w:type="dxa"/>
            <w:tcBorders>
              <w:top w:val="single" w:sz="4" w:space="0" w:color="0067AB"/>
              <w:left w:val="single" w:sz="4" w:space="0" w:color="0067AB"/>
              <w:bottom w:val="single" w:sz="4" w:space="0" w:color="0067AB"/>
              <w:right w:val="single" w:sz="4" w:space="0" w:color="0067AB"/>
            </w:tcBorders>
            <w:noWrap/>
            <w:vAlign w:val="bottom"/>
            <w:hideMark/>
          </w:tcPr>
          <w:p w14:paraId="4E1F7E76" w14:textId="77777777" w:rsidR="00350F25" w:rsidRPr="00350F25" w:rsidRDefault="00350F25" w:rsidP="00350F25">
            <w:pPr>
              <w:pStyle w:val="BodyText"/>
              <w:spacing w:after="0"/>
              <w:jc w:val="center"/>
              <w:rPr>
                <w:iCs/>
                <w:sz w:val="20"/>
                <w:szCs w:val="20"/>
              </w:rPr>
            </w:pPr>
            <w:r w:rsidRPr="00350F25">
              <w:rPr>
                <w:iCs/>
                <w:sz w:val="20"/>
                <w:szCs w:val="20"/>
              </w:rPr>
              <w:t>237.1</w:t>
            </w:r>
          </w:p>
        </w:tc>
      </w:tr>
      <w:tr w:rsidR="00350F25" w:rsidRPr="00550BD5" w14:paraId="4F9D2B5F" w14:textId="77777777" w:rsidTr="00350F25">
        <w:trPr>
          <w:trHeight w:val="300"/>
        </w:trPr>
        <w:tc>
          <w:tcPr>
            <w:tcW w:w="2395" w:type="dxa"/>
            <w:tcBorders>
              <w:top w:val="single" w:sz="4" w:space="0" w:color="0067AB"/>
              <w:left w:val="single" w:sz="4" w:space="0" w:color="0067AB"/>
              <w:bottom w:val="single" w:sz="4" w:space="0" w:color="0067AB"/>
              <w:right w:val="single" w:sz="4" w:space="0" w:color="0067AB"/>
            </w:tcBorders>
            <w:noWrap/>
            <w:vAlign w:val="center"/>
            <w:hideMark/>
          </w:tcPr>
          <w:p w14:paraId="1876CD2D" w14:textId="77777777" w:rsidR="00350F25" w:rsidRPr="00350F25" w:rsidRDefault="00350F25" w:rsidP="00350F25">
            <w:pPr>
              <w:pStyle w:val="BodyText"/>
              <w:spacing w:after="0"/>
              <w:rPr>
                <w:iCs/>
                <w:sz w:val="20"/>
                <w:szCs w:val="20"/>
              </w:rPr>
            </w:pPr>
            <w:r w:rsidRPr="00350F25">
              <w:rPr>
                <w:iCs/>
                <w:sz w:val="20"/>
                <w:szCs w:val="20"/>
              </w:rPr>
              <w:t>DPF</w:t>
            </w:r>
          </w:p>
        </w:tc>
        <w:tc>
          <w:tcPr>
            <w:tcW w:w="1775" w:type="dxa"/>
            <w:tcBorders>
              <w:top w:val="single" w:sz="4" w:space="0" w:color="0067AB"/>
              <w:left w:val="single" w:sz="4" w:space="0" w:color="0067AB"/>
              <w:bottom w:val="single" w:sz="4" w:space="0" w:color="0067AB"/>
              <w:right w:val="single" w:sz="4" w:space="0" w:color="0067AB"/>
            </w:tcBorders>
            <w:noWrap/>
            <w:vAlign w:val="bottom"/>
            <w:hideMark/>
          </w:tcPr>
          <w:p w14:paraId="20A9F1CB" w14:textId="77777777" w:rsidR="00350F25" w:rsidRPr="00350F25" w:rsidRDefault="00350F25" w:rsidP="00350F25">
            <w:pPr>
              <w:pStyle w:val="BodyText"/>
              <w:spacing w:after="0"/>
              <w:jc w:val="center"/>
              <w:rPr>
                <w:iCs/>
                <w:sz w:val="20"/>
                <w:szCs w:val="20"/>
              </w:rPr>
            </w:pPr>
            <w:r w:rsidRPr="00350F25">
              <w:rPr>
                <w:iCs/>
                <w:sz w:val="20"/>
                <w:szCs w:val="20"/>
              </w:rPr>
              <w:t>5</w:t>
            </w:r>
          </w:p>
        </w:tc>
        <w:tc>
          <w:tcPr>
            <w:tcW w:w="1872" w:type="dxa"/>
            <w:tcBorders>
              <w:top w:val="single" w:sz="4" w:space="0" w:color="0067AB"/>
              <w:left w:val="single" w:sz="4" w:space="0" w:color="0067AB"/>
              <w:bottom w:val="single" w:sz="4" w:space="0" w:color="0067AB"/>
              <w:right w:val="single" w:sz="4" w:space="0" w:color="0067AB"/>
            </w:tcBorders>
            <w:noWrap/>
            <w:vAlign w:val="bottom"/>
            <w:hideMark/>
          </w:tcPr>
          <w:p w14:paraId="32ADC64C" w14:textId="77777777" w:rsidR="00350F25" w:rsidRPr="00350F25" w:rsidRDefault="00350F25" w:rsidP="00350F25">
            <w:pPr>
              <w:pStyle w:val="BodyText"/>
              <w:spacing w:after="0"/>
              <w:jc w:val="center"/>
              <w:rPr>
                <w:iCs/>
                <w:sz w:val="20"/>
                <w:szCs w:val="20"/>
              </w:rPr>
            </w:pPr>
            <w:r w:rsidRPr="00350F25">
              <w:rPr>
                <w:iCs/>
                <w:sz w:val="20"/>
                <w:szCs w:val="20"/>
              </w:rPr>
              <w:t>160.7</w:t>
            </w:r>
          </w:p>
        </w:tc>
      </w:tr>
      <w:tr w:rsidR="00350F25" w:rsidRPr="00550BD5" w14:paraId="455F3537" w14:textId="77777777" w:rsidTr="00350F25">
        <w:trPr>
          <w:trHeight w:val="300"/>
        </w:trPr>
        <w:tc>
          <w:tcPr>
            <w:tcW w:w="2395" w:type="dxa"/>
            <w:tcBorders>
              <w:top w:val="single" w:sz="4" w:space="0" w:color="0067AB"/>
              <w:left w:val="single" w:sz="4" w:space="0" w:color="0067AB"/>
              <w:bottom w:val="single" w:sz="4" w:space="0" w:color="0067AB"/>
              <w:right w:val="single" w:sz="4" w:space="0" w:color="0067AB"/>
            </w:tcBorders>
            <w:noWrap/>
            <w:vAlign w:val="center"/>
            <w:hideMark/>
          </w:tcPr>
          <w:p w14:paraId="5B95CC94" w14:textId="77777777" w:rsidR="00350F25" w:rsidRPr="00350F25" w:rsidRDefault="00350F25" w:rsidP="00350F25">
            <w:pPr>
              <w:pStyle w:val="BodyText"/>
              <w:spacing w:after="0"/>
              <w:rPr>
                <w:iCs/>
                <w:sz w:val="20"/>
                <w:szCs w:val="20"/>
              </w:rPr>
            </w:pPr>
            <w:r w:rsidRPr="00350F25">
              <w:rPr>
                <w:iCs/>
                <w:sz w:val="20"/>
                <w:szCs w:val="20"/>
              </w:rPr>
              <w:t>Low Rolling Resistance</w:t>
            </w:r>
          </w:p>
        </w:tc>
        <w:tc>
          <w:tcPr>
            <w:tcW w:w="1775" w:type="dxa"/>
            <w:tcBorders>
              <w:top w:val="single" w:sz="4" w:space="0" w:color="0067AB"/>
              <w:left w:val="single" w:sz="4" w:space="0" w:color="0067AB"/>
              <w:bottom w:val="single" w:sz="4" w:space="0" w:color="0067AB"/>
              <w:right w:val="single" w:sz="4" w:space="0" w:color="0067AB"/>
            </w:tcBorders>
            <w:noWrap/>
            <w:vAlign w:val="bottom"/>
            <w:hideMark/>
          </w:tcPr>
          <w:p w14:paraId="1CD62747" w14:textId="77777777" w:rsidR="00350F25" w:rsidRPr="00350F25" w:rsidRDefault="00350F25" w:rsidP="00350F25">
            <w:pPr>
              <w:pStyle w:val="BodyText"/>
              <w:spacing w:after="0"/>
              <w:jc w:val="center"/>
              <w:rPr>
                <w:iCs/>
                <w:sz w:val="20"/>
                <w:szCs w:val="20"/>
              </w:rPr>
            </w:pPr>
            <w:r w:rsidRPr="00350F25">
              <w:rPr>
                <w:iCs/>
                <w:sz w:val="20"/>
                <w:szCs w:val="20"/>
              </w:rPr>
              <w:t>666</w:t>
            </w:r>
          </w:p>
        </w:tc>
        <w:tc>
          <w:tcPr>
            <w:tcW w:w="1872" w:type="dxa"/>
            <w:tcBorders>
              <w:top w:val="single" w:sz="4" w:space="0" w:color="0067AB"/>
              <w:left w:val="single" w:sz="4" w:space="0" w:color="0067AB"/>
              <w:bottom w:val="single" w:sz="4" w:space="0" w:color="0067AB"/>
              <w:right w:val="single" w:sz="4" w:space="0" w:color="0067AB"/>
            </w:tcBorders>
            <w:noWrap/>
            <w:vAlign w:val="bottom"/>
            <w:hideMark/>
          </w:tcPr>
          <w:p w14:paraId="5EAD9CA4" w14:textId="77777777" w:rsidR="00350F25" w:rsidRPr="00350F25" w:rsidRDefault="00350F25" w:rsidP="00350F25">
            <w:pPr>
              <w:pStyle w:val="BodyText"/>
              <w:spacing w:after="0"/>
              <w:jc w:val="center"/>
              <w:rPr>
                <w:iCs/>
                <w:sz w:val="20"/>
                <w:szCs w:val="20"/>
              </w:rPr>
            </w:pPr>
            <w:r w:rsidRPr="00350F25">
              <w:rPr>
                <w:iCs/>
                <w:sz w:val="20"/>
                <w:szCs w:val="20"/>
              </w:rPr>
              <w:t>-</w:t>
            </w:r>
          </w:p>
        </w:tc>
      </w:tr>
      <w:tr w:rsidR="00350F25" w:rsidRPr="00550BD5" w14:paraId="0C2A39F4" w14:textId="77777777" w:rsidTr="00350F25">
        <w:trPr>
          <w:trHeight w:val="300"/>
        </w:trPr>
        <w:tc>
          <w:tcPr>
            <w:tcW w:w="2395" w:type="dxa"/>
            <w:tcBorders>
              <w:top w:val="single" w:sz="4" w:space="0" w:color="0067AB"/>
              <w:left w:val="single" w:sz="4" w:space="0" w:color="0067AB"/>
              <w:bottom w:val="single" w:sz="4" w:space="0" w:color="0067AB"/>
              <w:right w:val="single" w:sz="4" w:space="0" w:color="0067AB"/>
            </w:tcBorders>
            <w:noWrap/>
            <w:vAlign w:val="center"/>
            <w:hideMark/>
          </w:tcPr>
          <w:p w14:paraId="70895F8F" w14:textId="77777777" w:rsidR="00350F25" w:rsidRPr="00350F25" w:rsidRDefault="00350F25" w:rsidP="00350F25">
            <w:pPr>
              <w:pStyle w:val="BodyText"/>
              <w:spacing w:after="0"/>
              <w:rPr>
                <w:iCs/>
                <w:sz w:val="20"/>
                <w:szCs w:val="20"/>
              </w:rPr>
            </w:pPr>
            <w:r w:rsidRPr="00350F25">
              <w:rPr>
                <w:iCs/>
                <w:sz w:val="20"/>
                <w:szCs w:val="20"/>
              </w:rPr>
              <w:t>Single Wide</w:t>
            </w:r>
          </w:p>
        </w:tc>
        <w:tc>
          <w:tcPr>
            <w:tcW w:w="1775" w:type="dxa"/>
            <w:tcBorders>
              <w:top w:val="single" w:sz="4" w:space="0" w:color="0067AB"/>
              <w:left w:val="single" w:sz="4" w:space="0" w:color="0067AB"/>
              <w:bottom w:val="single" w:sz="4" w:space="0" w:color="0067AB"/>
              <w:right w:val="single" w:sz="4" w:space="0" w:color="0067AB"/>
            </w:tcBorders>
            <w:noWrap/>
            <w:vAlign w:val="bottom"/>
            <w:hideMark/>
          </w:tcPr>
          <w:p w14:paraId="6123F652" w14:textId="77777777" w:rsidR="00350F25" w:rsidRPr="00350F25" w:rsidRDefault="00350F25" w:rsidP="00350F25">
            <w:pPr>
              <w:pStyle w:val="BodyText"/>
              <w:spacing w:after="0"/>
              <w:jc w:val="center"/>
              <w:rPr>
                <w:iCs/>
                <w:sz w:val="20"/>
                <w:szCs w:val="20"/>
              </w:rPr>
            </w:pPr>
            <w:r w:rsidRPr="00350F25">
              <w:rPr>
                <w:iCs/>
                <w:sz w:val="20"/>
                <w:szCs w:val="20"/>
              </w:rPr>
              <w:t>64</w:t>
            </w:r>
          </w:p>
        </w:tc>
        <w:tc>
          <w:tcPr>
            <w:tcW w:w="1872" w:type="dxa"/>
            <w:tcBorders>
              <w:top w:val="single" w:sz="4" w:space="0" w:color="0067AB"/>
              <w:left w:val="single" w:sz="4" w:space="0" w:color="0067AB"/>
              <w:bottom w:val="single" w:sz="4" w:space="0" w:color="0067AB"/>
              <w:right w:val="single" w:sz="4" w:space="0" w:color="0067AB"/>
            </w:tcBorders>
            <w:noWrap/>
            <w:vAlign w:val="bottom"/>
            <w:hideMark/>
          </w:tcPr>
          <w:p w14:paraId="3BAD8DEB" w14:textId="77777777" w:rsidR="00350F25" w:rsidRPr="00350F25" w:rsidRDefault="00350F25" w:rsidP="00350F25">
            <w:pPr>
              <w:pStyle w:val="BodyText"/>
              <w:spacing w:after="0"/>
              <w:jc w:val="center"/>
              <w:rPr>
                <w:iCs/>
                <w:sz w:val="20"/>
                <w:szCs w:val="20"/>
              </w:rPr>
            </w:pPr>
            <w:r w:rsidRPr="00350F25">
              <w:rPr>
                <w:iCs/>
                <w:sz w:val="20"/>
                <w:szCs w:val="20"/>
              </w:rPr>
              <w:t>-</w:t>
            </w:r>
          </w:p>
        </w:tc>
      </w:tr>
      <w:tr w:rsidR="00350F25" w:rsidRPr="00550BD5" w14:paraId="66200FB6" w14:textId="77777777" w:rsidTr="00350F25">
        <w:trPr>
          <w:trHeight w:val="300"/>
        </w:trPr>
        <w:tc>
          <w:tcPr>
            <w:tcW w:w="2395" w:type="dxa"/>
            <w:tcBorders>
              <w:top w:val="single" w:sz="4" w:space="0" w:color="0067AB"/>
              <w:left w:val="single" w:sz="4" w:space="0" w:color="0067AB"/>
              <w:bottom w:val="single" w:sz="4" w:space="0" w:color="0067AB"/>
              <w:right w:val="single" w:sz="4" w:space="0" w:color="0067AB"/>
            </w:tcBorders>
            <w:noWrap/>
            <w:vAlign w:val="center"/>
            <w:hideMark/>
          </w:tcPr>
          <w:p w14:paraId="4AFE075A" w14:textId="77777777" w:rsidR="00350F25" w:rsidRPr="00350F25" w:rsidRDefault="00350F25" w:rsidP="00350F25">
            <w:pPr>
              <w:pStyle w:val="BodyText"/>
              <w:spacing w:after="0"/>
              <w:rPr>
                <w:iCs/>
                <w:sz w:val="20"/>
                <w:szCs w:val="20"/>
              </w:rPr>
            </w:pPr>
            <w:r w:rsidRPr="00350F25">
              <w:rPr>
                <w:iCs/>
                <w:sz w:val="20"/>
                <w:szCs w:val="20"/>
              </w:rPr>
              <w:t>Accelerated Retirement</w:t>
            </w:r>
          </w:p>
        </w:tc>
        <w:tc>
          <w:tcPr>
            <w:tcW w:w="1775" w:type="dxa"/>
            <w:tcBorders>
              <w:top w:val="single" w:sz="4" w:space="0" w:color="0067AB"/>
              <w:left w:val="single" w:sz="4" w:space="0" w:color="0067AB"/>
              <w:bottom w:val="single" w:sz="4" w:space="0" w:color="0067AB"/>
              <w:right w:val="single" w:sz="4" w:space="0" w:color="0067AB"/>
            </w:tcBorders>
            <w:noWrap/>
            <w:vAlign w:val="bottom"/>
            <w:hideMark/>
          </w:tcPr>
          <w:p w14:paraId="0E6CED00" w14:textId="77777777" w:rsidR="00350F25" w:rsidRPr="00350F25" w:rsidRDefault="00350F25" w:rsidP="00350F25">
            <w:pPr>
              <w:pStyle w:val="BodyText"/>
              <w:spacing w:after="0"/>
              <w:jc w:val="center"/>
              <w:rPr>
                <w:iCs/>
                <w:sz w:val="20"/>
                <w:szCs w:val="20"/>
              </w:rPr>
            </w:pPr>
            <w:r w:rsidRPr="00350F25">
              <w:rPr>
                <w:iCs/>
                <w:sz w:val="20"/>
                <w:szCs w:val="20"/>
              </w:rPr>
              <w:t>555</w:t>
            </w:r>
          </w:p>
        </w:tc>
        <w:tc>
          <w:tcPr>
            <w:tcW w:w="1872" w:type="dxa"/>
            <w:tcBorders>
              <w:top w:val="single" w:sz="4" w:space="0" w:color="0067AB"/>
              <w:left w:val="single" w:sz="4" w:space="0" w:color="0067AB"/>
              <w:bottom w:val="single" w:sz="4" w:space="0" w:color="0067AB"/>
              <w:right w:val="single" w:sz="4" w:space="0" w:color="0067AB"/>
            </w:tcBorders>
            <w:noWrap/>
            <w:vAlign w:val="bottom"/>
            <w:hideMark/>
          </w:tcPr>
          <w:p w14:paraId="03CCE2A9" w14:textId="77777777" w:rsidR="00350F25" w:rsidRPr="00350F25" w:rsidRDefault="00350F25" w:rsidP="00350F25">
            <w:pPr>
              <w:pStyle w:val="BodyText"/>
              <w:spacing w:after="0"/>
              <w:jc w:val="center"/>
              <w:rPr>
                <w:iCs/>
                <w:sz w:val="20"/>
                <w:szCs w:val="20"/>
              </w:rPr>
            </w:pPr>
            <w:r w:rsidRPr="00350F25">
              <w:rPr>
                <w:iCs/>
                <w:sz w:val="20"/>
                <w:szCs w:val="20"/>
              </w:rPr>
              <w:t>409.8</w:t>
            </w:r>
          </w:p>
        </w:tc>
      </w:tr>
    </w:tbl>
    <w:p w14:paraId="77079A4C" w14:textId="77777777" w:rsidR="00350F25" w:rsidRPr="00854C71" w:rsidRDefault="00350F25" w:rsidP="00350F25">
      <w:pPr>
        <w:pStyle w:val="BodyText"/>
        <w:rPr>
          <w:iCs/>
        </w:rPr>
      </w:pPr>
    </w:p>
    <w:p w14:paraId="79B74600" w14:textId="77777777" w:rsidR="00350F25" w:rsidRDefault="00350F25" w:rsidP="00350F25">
      <w:pPr>
        <w:pStyle w:val="BodyText"/>
        <w:rPr>
          <w:iCs/>
        </w:rPr>
      </w:pPr>
      <w:r>
        <w:rPr>
          <w:iCs/>
        </w:rPr>
        <w:t>T</w:t>
      </w:r>
      <w:r w:rsidRPr="00854C71">
        <w:rPr>
          <w:iCs/>
        </w:rPr>
        <w:t xml:space="preserve">he </w:t>
      </w:r>
      <w:r w:rsidRPr="00854C71">
        <w:rPr>
          <w:b/>
          <w:iCs/>
        </w:rPr>
        <w:t xml:space="preserve">Number of </w:t>
      </w:r>
      <w:r>
        <w:rPr>
          <w:b/>
          <w:iCs/>
        </w:rPr>
        <w:t>T</w:t>
      </w:r>
      <w:r w:rsidRPr="00854C71">
        <w:rPr>
          <w:b/>
          <w:iCs/>
        </w:rPr>
        <w:t xml:space="preserve">rucks </w:t>
      </w:r>
      <w:r>
        <w:rPr>
          <w:b/>
          <w:iCs/>
        </w:rPr>
        <w:t>to M</w:t>
      </w:r>
      <w:r w:rsidRPr="00854C71">
        <w:rPr>
          <w:b/>
          <w:iCs/>
        </w:rPr>
        <w:t>odif</w:t>
      </w:r>
      <w:r>
        <w:rPr>
          <w:b/>
          <w:iCs/>
        </w:rPr>
        <w:t>y/Replace</w:t>
      </w:r>
      <w:r w:rsidRPr="008349EE">
        <w:rPr>
          <w:iCs/>
        </w:rPr>
        <w:t xml:space="preserve"> </w:t>
      </w:r>
      <w:r>
        <w:rPr>
          <w:iCs/>
        </w:rPr>
        <w:t xml:space="preserve">is the estimate of the number of modified trucks </w:t>
      </w:r>
      <w:r w:rsidRPr="008349EE">
        <w:rPr>
          <w:iCs/>
        </w:rPr>
        <w:t>the investment will pay for</w:t>
      </w:r>
      <w:r>
        <w:rPr>
          <w:iCs/>
        </w:rPr>
        <w:t xml:space="preserve">. </w:t>
      </w:r>
    </w:p>
    <w:p w14:paraId="07055987" w14:textId="77777777" w:rsidR="00350F25" w:rsidRDefault="00350F25" w:rsidP="00350F25">
      <w:pPr>
        <w:pStyle w:val="BodyText"/>
        <w:rPr>
          <w:iCs/>
        </w:rPr>
      </w:pPr>
      <w:r>
        <w:rPr>
          <w:iCs/>
        </w:rPr>
        <w:t xml:space="preserve">Although replacing a diesel truck with a new advanced diesel or alternative fuel truck can reduce pollutants much more than changing the tires on the older diesel truck, replacing tires is much cheaper. In this scenario, less than 10 trucks could be replaced with new or alternative fuel vehicles, while </w:t>
      </w:r>
      <w:r>
        <w:rPr>
          <w:iCs/>
        </w:rPr>
        <w:lastRenderedPageBreak/>
        <w:t>hundreds of trucks could be outfitted with exhaust aftertreatment devices or advanced tires; however, note that DOCs and DPFs do not reduce CO</w:t>
      </w:r>
      <w:r w:rsidRPr="00186B15">
        <w:rPr>
          <w:iCs/>
          <w:vertAlign w:val="subscript"/>
        </w:rPr>
        <w:t>2</w:t>
      </w:r>
      <w:r>
        <w:rPr>
          <w:iCs/>
          <w:vertAlign w:val="subscript"/>
        </w:rPr>
        <w:t xml:space="preserve"> </w:t>
      </w:r>
      <w:r>
        <w:rPr>
          <w:iCs/>
        </w:rPr>
        <w:t xml:space="preserve">emissions. Thus, for the same amount of money, a low-cost strategy such as tire replacement can have a bigger total emissions impact than a high-cost strategy such as truck replacement. </w:t>
      </w:r>
    </w:p>
    <w:p w14:paraId="73483654" w14:textId="77777777" w:rsidR="00350F25" w:rsidRDefault="00350F25" w:rsidP="00350F25">
      <w:pPr>
        <w:pStyle w:val="BodyText"/>
        <w:rPr>
          <w:iCs/>
        </w:rPr>
      </w:pPr>
      <w:r>
        <w:rPr>
          <w:iCs/>
        </w:rPr>
        <w:t>However, while they may be able to impact more trucks with a low-cost strategy (e.g., putting low rolling resistance tires on 555 trucks), program administrators should also consider that they may have to implement an extensive outreach plan or else they</w:t>
      </w:r>
      <w:r w:rsidRPr="00854C71">
        <w:rPr>
          <w:iCs/>
        </w:rPr>
        <w:t xml:space="preserve"> may not be able to get full participation and </w:t>
      </w:r>
      <w:r>
        <w:rPr>
          <w:iCs/>
        </w:rPr>
        <w:t xml:space="preserve">achieve </w:t>
      </w:r>
      <w:r w:rsidRPr="00854C71">
        <w:rPr>
          <w:iCs/>
        </w:rPr>
        <w:t xml:space="preserve">the </w:t>
      </w:r>
      <w:r>
        <w:rPr>
          <w:iCs/>
        </w:rPr>
        <w:t>estimated CO</w:t>
      </w:r>
      <w:r w:rsidRPr="00186B15">
        <w:rPr>
          <w:iCs/>
          <w:vertAlign w:val="subscript"/>
        </w:rPr>
        <w:t>2</w:t>
      </w:r>
      <w:r>
        <w:rPr>
          <w:iCs/>
        </w:rPr>
        <w:t xml:space="preserve"> reductions</w:t>
      </w:r>
      <w:r w:rsidRPr="00854C71">
        <w:rPr>
          <w:iCs/>
        </w:rPr>
        <w:t xml:space="preserve">. </w:t>
      </w:r>
    </w:p>
    <w:p w14:paraId="34592DC0" w14:textId="67439989" w:rsidR="00350F25" w:rsidRDefault="00350F25" w:rsidP="00350F25">
      <w:pPr>
        <w:pStyle w:val="BodyText"/>
        <w:rPr>
          <w:iCs/>
        </w:rPr>
      </w:pPr>
      <w:r>
        <w:rPr>
          <w:iCs/>
        </w:rPr>
        <w:t>Thus, t</w:t>
      </w:r>
      <w:r w:rsidRPr="00854C71">
        <w:rPr>
          <w:iCs/>
        </w:rPr>
        <w:t>he fewer the trucks</w:t>
      </w:r>
      <w:r>
        <w:rPr>
          <w:iCs/>
        </w:rPr>
        <w:t xml:space="preserve"> to be modified or replaced</w:t>
      </w:r>
      <w:r w:rsidRPr="00854C71">
        <w:rPr>
          <w:iCs/>
        </w:rPr>
        <w:t xml:space="preserve">, the larger the </w:t>
      </w:r>
      <w:r>
        <w:rPr>
          <w:iCs/>
        </w:rPr>
        <w:t xml:space="preserve">emissions </w:t>
      </w:r>
      <w:r w:rsidRPr="00854C71">
        <w:rPr>
          <w:iCs/>
        </w:rPr>
        <w:t>benefit per truck</w:t>
      </w:r>
      <w:r>
        <w:rPr>
          <w:iCs/>
        </w:rPr>
        <w:t>; t</w:t>
      </w:r>
      <w:r w:rsidRPr="00854C71">
        <w:rPr>
          <w:iCs/>
        </w:rPr>
        <w:t>he greater the</w:t>
      </w:r>
      <w:r>
        <w:rPr>
          <w:iCs/>
        </w:rPr>
        <w:t xml:space="preserve"> number of</w:t>
      </w:r>
      <w:r w:rsidRPr="00854C71">
        <w:rPr>
          <w:iCs/>
        </w:rPr>
        <w:t xml:space="preserve"> trucks, the more </w:t>
      </w:r>
      <w:r w:rsidR="001F7075">
        <w:rPr>
          <w:iCs/>
        </w:rPr>
        <w:t>cost effective</w:t>
      </w:r>
      <w:r w:rsidRPr="00854C71">
        <w:rPr>
          <w:iCs/>
        </w:rPr>
        <w:t xml:space="preserve"> the investment is per truck.</w:t>
      </w:r>
    </w:p>
    <w:p w14:paraId="5C3CF4B1" w14:textId="77777777" w:rsidR="00350F25" w:rsidRDefault="00350F25" w:rsidP="00350F25">
      <w:pPr>
        <w:pStyle w:val="Heading3"/>
      </w:pPr>
      <w:bookmarkStart w:id="110" w:name="_Toc482973573"/>
      <w:r w:rsidRPr="00140664">
        <w:t>Incentive Analysis</w:t>
      </w:r>
      <w:bookmarkEnd w:id="110"/>
    </w:p>
    <w:p w14:paraId="29841141" w14:textId="77777777" w:rsidR="00350F25" w:rsidRDefault="00350F25" w:rsidP="00350F25">
      <w:pPr>
        <w:pStyle w:val="BodyText"/>
        <w:rPr>
          <w:iCs/>
        </w:rPr>
      </w:pPr>
      <w:r w:rsidRPr="00C40875">
        <w:rPr>
          <w:iCs/>
        </w:rPr>
        <w:t>The Incentive Analysis lets the user</w:t>
      </w:r>
      <w:r>
        <w:rPr>
          <w:iCs/>
        </w:rPr>
        <w:t xml:space="preserve"> estimate the impacts of partially subsidizing modifications or replacements</w:t>
      </w:r>
      <w:r w:rsidRPr="00C40875">
        <w:rPr>
          <w:iCs/>
        </w:rPr>
        <w:t>. The Incentive Analysis assumes that the public agency promotes strategies that reduce operating</w:t>
      </w:r>
      <w:r>
        <w:rPr>
          <w:iCs/>
        </w:rPr>
        <w:t xml:space="preserve"> (i.e., fuel)</w:t>
      </w:r>
      <w:r w:rsidRPr="00C40875">
        <w:rPr>
          <w:iCs/>
        </w:rPr>
        <w:t xml:space="preserve"> costs for truck owners and the owners will be willing to pay for part of the cost. This analysis type only works for strategies that reduce fuel costs.</w:t>
      </w:r>
    </w:p>
    <w:p w14:paraId="4A96B41E" w14:textId="77777777" w:rsidR="00350F25" w:rsidRDefault="00350F25" w:rsidP="00350F25">
      <w:pPr>
        <w:pStyle w:val="BodyText"/>
      </w:pPr>
      <w:r>
        <w:t>For each input option, enter the selections presented in the table below.</w:t>
      </w:r>
    </w:p>
    <w:tbl>
      <w:tblPr>
        <w:tblStyle w:val="TemplateTable"/>
        <w:tblW w:w="5000" w:type="pct"/>
        <w:tblLayout w:type="fixed"/>
        <w:tblCellMar>
          <w:top w:w="0" w:type="dxa"/>
          <w:bottom w:w="0" w:type="dxa"/>
        </w:tblCellMar>
        <w:tblLook w:val="04A0" w:firstRow="1" w:lastRow="0" w:firstColumn="1" w:lastColumn="0" w:noHBand="0" w:noVBand="1"/>
      </w:tblPr>
      <w:tblGrid>
        <w:gridCol w:w="2246"/>
        <w:gridCol w:w="1801"/>
        <w:gridCol w:w="5303"/>
      </w:tblGrid>
      <w:tr w:rsidR="00350F25" w:rsidRPr="00CC451D" w14:paraId="31FDF6F6" w14:textId="77777777" w:rsidTr="00350F25">
        <w:trPr>
          <w:cnfStyle w:val="100000000000" w:firstRow="1" w:lastRow="0" w:firstColumn="0" w:lastColumn="0" w:oddVBand="0" w:evenVBand="0" w:oddHBand="0" w:evenHBand="0" w:firstRowFirstColumn="0" w:firstRowLastColumn="0" w:lastRowFirstColumn="0" w:lastRowLastColumn="0"/>
          <w:trHeight w:val="24"/>
        </w:trPr>
        <w:tc>
          <w:tcPr>
            <w:tcW w:w="1201" w:type="pct"/>
            <w:tcBorders>
              <w:bottom w:val="single" w:sz="4" w:space="0" w:color="0070C0"/>
            </w:tcBorders>
            <w:noWrap/>
            <w:vAlign w:val="bottom"/>
          </w:tcPr>
          <w:p w14:paraId="1288C402" w14:textId="77777777" w:rsidR="00350F25" w:rsidRPr="004739E4" w:rsidRDefault="00350F25" w:rsidP="00350F25">
            <w:pPr>
              <w:pStyle w:val="TableColumnHeading"/>
            </w:pPr>
            <w:r>
              <w:t>Category</w:t>
            </w:r>
          </w:p>
        </w:tc>
        <w:tc>
          <w:tcPr>
            <w:tcW w:w="963" w:type="pct"/>
            <w:tcBorders>
              <w:bottom w:val="single" w:sz="4" w:space="0" w:color="0070C0"/>
            </w:tcBorders>
            <w:vAlign w:val="bottom"/>
          </w:tcPr>
          <w:p w14:paraId="23D443CA" w14:textId="77777777" w:rsidR="00350F25" w:rsidRPr="004739E4" w:rsidRDefault="00350F25" w:rsidP="00350F25">
            <w:pPr>
              <w:pStyle w:val="TableColumnHeading"/>
            </w:pPr>
            <w:r>
              <w:t>Selection</w:t>
            </w:r>
          </w:p>
        </w:tc>
        <w:tc>
          <w:tcPr>
            <w:tcW w:w="2836" w:type="pct"/>
            <w:tcBorders>
              <w:bottom w:val="single" w:sz="4" w:space="0" w:color="0070C0"/>
            </w:tcBorders>
            <w:vAlign w:val="bottom"/>
          </w:tcPr>
          <w:p w14:paraId="213965AA" w14:textId="77777777" w:rsidR="00350F25" w:rsidRPr="004739E4" w:rsidRDefault="00350F25" w:rsidP="00350F25">
            <w:pPr>
              <w:pStyle w:val="TableColumnHeading"/>
            </w:pPr>
            <w:r>
              <w:t>Notes</w:t>
            </w:r>
          </w:p>
        </w:tc>
      </w:tr>
      <w:tr w:rsidR="00350F25" w:rsidRPr="00CC451D" w14:paraId="24C2D5E7"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76F80ACA" w14:textId="77777777" w:rsidR="00350F25" w:rsidRPr="004739E4" w:rsidRDefault="00350F25" w:rsidP="00350F25">
            <w:pPr>
              <w:pStyle w:val="TableCellText"/>
            </w:pPr>
            <w:r w:rsidRPr="00F6465A">
              <w:rPr>
                <w:b/>
              </w:rPr>
              <w:t>Analysis</w:t>
            </w:r>
          </w:p>
        </w:tc>
      </w:tr>
      <w:tr w:rsidR="00350F25" w:rsidRPr="00CC451D" w14:paraId="43667F47"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6194D5C2" w14:textId="77777777" w:rsidR="00350F25" w:rsidRPr="004739E4" w:rsidRDefault="00350F25" w:rsidP="00350F25">
            <w:pPr>
              <w:pStyle w:val="TableCellText"/>
            </w:pPr>
            <w:r>
              <w:t>Analysis</w:t>
            </w:r>
          </w:p>
        </w:tc>
        <w:tc>
          <w:tcPr>
            <w:tcW w:w="963" w:type="pct"/>
            <w:tcBorders>
              <w:top w:val="single" w:sz="4" w:space="0" w:color="0070C0"/>
              <w:left w:val="single" w:sz="4" w:space="0" w:color="0070C0"/>
              <w:bottom w:val="single" w:sz="4" w:space="0" w:color="0070C0"/>
              <w:right w:val="single" w:sz="4" w:space="0" w:color="0070C0"/>
            </w:tcBorders>
          </w:tcPr>
          <w:p w14:paraId="25D96153" w14:textId="77777777" w:rsidR="00350F25" w:rsidRPr="004739E4" w:rsidRDefault="00350F25" w:rsidP="00350F25">
            <w:pPr>
              <w:pStyle w:val="TableCellText"/>
            </w:pPr>
            <w:r>
              <w:t>Incentive Analysis</w:t>
            </w:r>
          </w:p>
        </w:tc>
        <w:tc>
          <w:tcPr>
            <w:tcW w:w="2836" w:type="pct"/>
            <w:tcBorders>
              <w:top w:val="single" w:sz="4" w:space="0" w:color="0070C0"/>
              <w:left w:val="single" w:sz="4" w:space="0" w:color="0070C0"/>
              <w:bottom w:val="single" w:sz="4" w:space="0" w:color="0070C0"/>
              <w:right w:val="single" w:sz="4" w:space="0" w:color="0070C0"/>
            </w:tcBorders>
          </w:tcPr>
          <w:p w14:paraId="1F776B92" w14:textId="77777777" w:rsidR="00350F25" w:rsidRPr="004739E4" w:rsidRDefault="00350F25" w:rsidP="00350F25">
            <w:pPr>
              <w:pStyle w:val="TableCellText"/>
            </w:pPr>
            <w:r>
              <w:t>This analysis allows the user t</w:t>
            </w:r>
            <w:r w:rsidRPr="00140664">
              <w:t xml:space="preserve">o </w:t>
            </w:r>
            <w:r>
              <w:t>examine the impacts of offering various levels of incentives.</w:t>
            </w:r>
          </w:p>
        </w:tc>
      </w:tr>
      <w:tr w:rsidR="00350F25" w:rsidRPr="00CC451D" w14:paraId="4938A459"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4E2DAC52" w14:textId="77777777" w:rsidR="00350F25" w:rsidRPr="004739E4" w:rsidRDefault="00350F25" w:rsidP="00350F25">
            <w:pPr>
              <w:pStyle w:val="TableCellText"/>
            </w:pPr>
            <w:r w:rsidRPr="00447743">
              <w:rPr>
                <w:b/>
              </w:rPr>
              <w:t>Scope</w:t>
            </w:r>
          </w:p>
        </w:tc>
      </w:tr>
      <w:tr w:rsidR="00350F25" w:rsidRPr="00CC451D" w14:paraId="2DFD6864"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1D05CD04" w14:textId="77777777" w:rsidR="00350F25" w:rsidRDefault="00350F25" w:rsidP="00350F25">
            <w:pPr>
              <w:pStyle w:val="TableCellText"/>
            </w:pPr>
            <w:r>
              <w:t>Year of Modification</w:t>
            </w:r>
          </w:p>
        </w:tc>
        <w:tc>
          <w:tcPr>
            <w:tcW w:w="963" w:type="pct"/>
            <w:tcBorders>
              <w:top w:val="single" w:sz="4" w:space="0" w:color="0070C0"/>
              <w:left w:val="single" w:sz="4" w:space="0" w:color="0070C0"/>
              <w:bottom w:val="single" w:sz="4" w:space="0" w:color="0070C0"/>
              <w:right w:val="single" w:sz="4" w:space="0" w:color="0070C0"/>
            </w:tcBorders>
          </w:tcPr>
          <w:p w14:paraId="0296CE66" w14:textId="77777777" w:rsidR="00350F25" w:rsidRDefault="00350F25" w:rsidP="00350F25">
            <w:pPr>
              <w:pStyle w:val="TableCellText"/>
            </w:pPr>
            <w:r>
              <w:t>2030</w:t>
            </w:r>
          </w:p>
        </w:tc>
        <w:tc>
          <w:tcPr>
            <w:tcW w:w="2836" w:type="pct"/>
            <w:tcBorders>
              <w:top w:val="single" w:sz="4" w:space="0" w:color="0070C0"/>
              <w:left w:val="single" w:sz="4" w:space="0" w:color="0070C0"/>
              <w:bottom w:val="single" w:sz="4" w:space="0" w:color="0070C0"/>
              <w:right w:val="single" w:sz="4" w:space="0" w:color="0070C0"/>
            </w:tcBorders>
          </w:tcPr>
          <w:p w14:paraId="6E78DE84" w14:textId="77777777" w:rsidR="00350F25" w:rsidRPr="004739E4" w:rsidRDefault="00350F25" w:rsidP="00350F25">
            <w:pPr>
              <w:pStyle w:val="TableCellText"/>
            </w:pPr>
            <w:r>
              <w:t>The modification</w:t>
            </w:r>
            <w:r w:rsidRPr="00140664">
              <w:t xml:space="preserve"> year is when the modifications </w:t>
            </w:r>
            <w:r>
              <w:t xml:space="preserve">or replacements </w:t>
            </w:r>
            <w:r w:rsidRPr="00140664">
              <w:t>take place</w:t>
            </w:r>
            <w:r>
              <w:t>. Because the</w:t>
            </w:r>
            <w:r w:rsidRPr="00140664">
              <w:t xml:space="preserve"> </w:t>
            </w:r>
            <w:r>
              <w:t>LRTP goes</w:t>
            </w:r>
            <w:r w:rsidRPr="00140664">
              <w:t xml:space="preserve"> out to 2040</w:t>
            </w:r>
            <w:r>
              <w:t xml:space="preserve"> in this scenario</w:t>
            </w:r>
            <w:r w:rsidRPr="00140664">
              <w:t xml:space="preserve">, </w:t>
            </w:r>
            <w:r>
              <w:t>the user should assume modifications happen sometime</w:t>
            </w:r>
            <w:r w:rsidRPr="00140664">
              <w:t xml:space="preserve"> before that</w:t>
            </w:r>
            <w:r>
              <w:t>. I</w:t>
            </w:r>
            <w:r w:rsidRPr="003103E0">
              <w:t>f 2040</w:t>
            </w:r>
            <w:r>
              <w:t xml:space="preserve"> is selected</w:t>
            </w:r>
            <w:r w:rsidRPr="003103E0">
              <w:t xml:space="preserve">, the Tool assumes </w:t>
            </w:r>
            <w:r>
              <w:t>all changes occur</w:t>
            </w:r>
            <w:r w:rsidRPr="003103E0">
              <w:t xml:space="preserve"> in 2040, and the emissions benefits will be smaller because the </w:t>
            </w:r>
            <w:r>
              <w:t xml:space="preserve">Tool assumes the </w:t>
            </w:r>
            <w:r w:rsidRPr="003103E0">
              <w:t>baseline fleet is cleaner in 2040</w:t>
            </w:r>
            <w:r>
              <w:t>.</w:t>
            </w:r>
          </w:p>
        </w:tc>
      </w:tr>
      <w:tr w:rsidR="00350F25" w:rsidRPr="00CC451D" w14:paraId="35FD0C65"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6D9A873D" w14:textId="77777777" w:rsidR="00350F25" w:rsidRDefault="00350F25" w:rsidP="00350F25">
            <w:pPr>
              <w:pStyle w:val="TableCellText"/>
            </w:pPr>
            <w:r>
              <w:t>Area of Interest</w:t>
            </w:r>
          </w:p>
        </w:tc>
        <w:tc>
          <w:tcPr>
            <w:tcW w:w="963" w:type="pct"/>
            <w:tcBorders>
              <w:top w:val="single" w:sz="4" w:space="0" w:color="0070C0"/>
              <w:left w:val="single" w:sz="4" w:space="0" w:color="0070C0"/>
              <w:bottom w:val="single" w:sz="4" w:space="0" w:color="0070C0"/>
              <w:right w:val="single" w:sz="4" w:space="0" w:color="0070C0"/>
            </w:tcBorders>
          </w:tcPr>
          <w:p w14:paraId="5C4310DE" w14:textId="77777777" w:rsidR="00350F25" w:rsidRDefault="00350F25" w:rsidP="00350F25">
            <w:pPr>
              <w:pStyle w:val="TableCellText"/>
            </w:pPr>
            <w:r>
              <w:t>Metropolitan</w:t>
            </w:r>
          </w:p>
        </w:tc>
        <w:tc>
          <w:tcPr>
            <w:tcW w:w="2836" w:type="pct"/>
            <w:tcBorders>
              <w:top w:val="single" w:sz="4" w:space="0" w:color="0070C0"/>
              <w:left w:val="single" w:sz="4" w:space="0" w:color="0070C0"/>
              <w:bottom w:val="single" w:sz="4" w:space="0" w:color="0070C0"/>
              <w:right w:val="single" w:sz="4" w:space="0" w:color="0070C0"/>
            </w:tcBorders>
          </w:tcPr>
          <w:p w14:paraId="13EAE918" w14:textId="77777777" w:rsidR="00350F25" w:rsidRPr="004739E4" w:rsidRDefault="00350F25" w:rsidP="00350F25">
            <w:pPr>
              <w:pStyle w:val="TableCellText"/>
            </w:pPr>
            <w:r w:rsidRPr="00CE6761">
              <w:t xml:space="preserve">Geographic scale determines the emission factors used in the calculations. The larger the geographic scale </w:t>
            </w:r>
            <w:r>
              <w:t>assume</w:t>
            </w:r>
            <w:r w:rsidRPr="00CE6761">
              <w:t xml:space="preserve"> more freeways </w:t>
            </w:r>
            <w:r>
              <w:t xml:space="preserve">are </w:t>
            </w:r>
            <w:r w:rsidRPr="00CE6761">
              <w:t>used, while the smaller geographic scales have more local roads</w:t>
            </w:r>
            <w:r>
              <w:t xml:space="preserve">. </w:t>
            </w:r>
          </w:p>
        </w:tc>
      </w:tr>
      <w:tr w:rsidR="00350F25" w:rsidRPr="00CC451D" w14:paraId="4E31B977"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47D14DE4" w14:textId="77777777" w:rsidR="00350F25" w:rsidRDefault="00350F25" w:rsidP="00350F25">
            <w:pPr>
              <w:pStyle w:val="TableCellText"/>
            </w:pPr>
            <w:r>
              <w:t>Type of Truck</w:t>
            </w:r>
          </w:p>
        </w:tc>
        <w:tc>
          <w:tcPr>
            <w:tcW w:w="963" w:type="pct"/>
            <w:tcBorders>
              <w:top w:val="single" w:sz="4" w:space="0" w:color="0070C0"/>
              <w:left w:val="single" w:sz="4" w:space="0" w:color="0070C0"/>
              <w:bottom w:val="single" w:sz="4" w:space="0" w:color="0070C0"/>
              <w:right w:val="single" w:sz="4" w:space="0" w:color="0070C0"/>
            </w:tcBorders>
          </w:tcPr>
          <w:p w14:paraId="43A5FD71" w14:textId="77777777" w:rsidR="00350F25" w:rsidRDefault="00350F25" w:rsidP="00350F25">
            <w:pPr>
              <w:pStyle w:val="TableCellText"/>
            </w:pPr>
            <w:r>
              <w:t>Combo Unit Short Haul</w:t>
            </w:r>
          </w:p>
        </w:tc>
        <w:tc>
          <w:tcPr>
            <w:tcW w:w="2836" w:type="pct"/>
            <w:tcBorders>
              <w:top w:val="single" w:sz="4" w:space="0" w:color="0070C0"/>
              <w:left w:val="single" w:sz="4" w:space="0" w:color="0070C0"/>
              <w:bottom w:val="single" w:sz="4" w:space="0" w:color="0070C0"/>
              <w:right w:val="single" w:sz="4" w:space="0" w:color="0070C0"/>
            </w:tcBorders>
          </w:tcPr>
          <w:p w14:paraId="51F8BB2E" w14:textId="77777777" w:rsidR="00350F25" w:rsidRPr="004739E4" w:rsidRDefault="00350F25" w:rsidP="00350F25">
            <w:pPr>
              <w:pStyle w:val="TableCellText"/>
            </w:pPr>
            <w:r>
              <w:t xml:space="preserve">For this scenario, </w:t>
            </w:r>
            <w:r w:rsidRPr="00140664">
              <w:t xml:space="preserve">combination </w:t>
            </w:r>
            <w:r>
              <w:t xml:space="preserve">short haul trucks are selected </w:t>
            </w:r>
            <w:r w:rsidRPr="00140664">
              <w:t>as they will operate within the metropolitan region.</w:t>
            </w:r>
          </w:p>
        </w:tc>
      </w:tr>
      <w:tr w:rsidR="00350F25" w:rsidRPr="00CC451D" w14:paraId="41BC7D7B"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64A4D754" w14:textId="77777777" w:rsidR="00350F25" w:rsidRDefault="00350F25" w:rsidP="00350F25">
            <w:pPr>
              <w:pStyle w:val="TableCellText"/>
            </w:pPr>
            <w:r>
              <w:t>Type of Modification</w:t>
            </w:r>
          </w:p>
        </w:tc>
        <w:tc>
          <w:tcPr>
            <w:tcW w:w="963" w:type="pct"/>
            <w:tcBorders>
              <w:top w:val="single" w:sz="4" w:space="0" w:color="0070C0"/>
              <w:left w:val="single" w:sz="4" w:space="0" w:color="0070C0"/>
              <w:bottom w:val="single" w:sz="4" w:space="0" w:color="0070C0"/>
              <w:right w:val="single" w:sz="4" w:space="0" w:color="0070C0"/>
            </w:tcBorders>
          </w:tcPr>
          <w:p w14:paraId="22E5AE33" w14:textId="77777777" w:rsidR="00350F25" w:rsidRDefault="00350F25" w:rsidP="00350F25">
            <w:pPr>
              <w:pStyle w:val="TableCellText"/>
            </w:pPr>
            <w:r>
              <w:t>Alternative Fuel</w:t>
            </w:r>
          </w:p>
        </w:tc>
        <w:tc>
          <w:tcPr>
            <w:tcW w:w="2836" w:type="pct"/>
            <w:tcBorders>
              <w:top w:val="single" w:sz="4" w:space="0" w:color="0070C0"/>
              <w:left w:val="single" w:sz="4" w:space="0" w:color="0070C0"/>
              <w:bottom w:val="single" w:sz="4" w:space="0" w:color="0070C0"/>
              <w:right w:val="single" w:sz="4" w:space="0" w:color="0070C0"/>
            </w:tcBorders>
          </w:tcPr>
          <w:p w14:paraId="60589798" w14:textId="77777777" w:rsidR="00350F25" w:rsidRPr="004739E4" w:rsidRDefault="00350F25" w:rsidP="00350F25">
            <w:pPr>
              <w:pStyle w:val="TableCellText"/>
            </w:pPr>
            <w:r>
              <w:t xml:space="preserve">Note that </w:t>
            </w:r>
            <w:r w:rsidRPr="00550324">
              <w:t>only one can be selected at a time</w:t>
            </w:r>
            <w:r>
              <w:t xml:space="preserve">. </w:t>
            </w:r>
          </w:p>
        </w:tc>
      </w:tr>
      <w:tr w:rsidR="00350F25" w:rsidRPr="00CC451D" w14:paraId="23D3E393"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7726BAA9" w14:textId="77777777" w:rsidR="00350F25" w:rsidRPr="004739E4" w:rsidRDefault="00350F25" w:rsidP="00350F25">
            <w:pPr>
              <w:pStyle w:val="TableCellText"/>
            </w:pPr>
            <w:r w:rsidRPr="00447743">
              <w:rPr>
                <w:b/>
              </w:rPr>
              <w:t>Modifications</w:t>
            </w:r>
          </w:p>
        </w:tc>
      </w:tr>
      <w:tr w:rsidR="00350F25" w:rsidRPr="00CC451D" w14:paraId="465C98A5"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12CE53C0" w14:textId="77777777" w:rsidR="00350F25" w:rsidRDefault="00350F25" w:rsidP="00350F25">
            <w:pPr>
              <w:pStyle w:val="TableCellText"/>
            </w:pPr>
            <w:r>
              <w:t>Alternative Fuel(s)</w:t>
            </w:r>
          </w:p>
        </w:tc>
        <w:tc>
          <w:tcPr>
            <w:tcW w:w="963" w:type="pct"/>
            <w:tcBorders>
              <w:top w:val="single" w:sz="4" w:space="0" w:color="0070C0"/>
              <w:left w:val="single" w:sz="4" w:space="0" w:color="0070C0"/>
              <w:bottom w:val="single" w:sz="4" w:space="0" w:color="0070C0"/>
              <w:right w:val="single" w:sz="4" w:space="0" w:color="0070C0"/>
            </w:tcBorders>
          </w:tcPr>
          <w:p w14:paraId="106F9BF5" w14:textId="77777777" w:rsidR="00350F25" w:rsidRDefault="00350F25" w:rsidP="00350F25">
            <w:pPr>
              <w:pStyle w:val="TableCellText"/>
            </w:pPr>
            <w:r>
              <w:t>Select all (Hybrid; Electric)</w:t>
            </w:r>
          </w:p>
        </w:tc>
        <w:tc>
          <w:tcPr>
            <w:tcW w:w="2836" w:type="pct"/>
            <w:tcBorders>
              <w:top w:val="single" w:sz="4" w:space="0" w:color="0070C0"/>
              <w:left w:val="single" w:sz="4" w:space="0" w:color="0070C0"/>
              <w:bottom w:val="single" w:sz="4" w:space="0" w:color="0070C0"/>
              <w:right w:val="single" w:sz="4" w:space="0" w:color="0070C0"/>
            </w:tcBorders>
          </w:tcPr>
          <w:p w14:paraId="24BECA1E" w14:textId="77777777" w:rsidR="00350F25" w:rsidRPr="004739E4" w:rsidRDefault="00350F25" w:rsidP="00350F25">
            <w:pPr>
              <w:pStyle w:val="TableCellText"/>
            </w:pPr>
            <w:r>
              <w:t xml:space="preserve">Click the checkmark button at the top of the column to select all. This analysis only considers strategies that will offset capital costs with fuel cost savings; in the Tool, this includes only hybrid and electric options under the alternative fuel strategies </w:t>
            </w:r>
          </w:p>
        </w:tc>
      </w:tr>
      <w:tr w:rsidR="00350F25" w:rsidRPr="00CC451D" w14:paraId="0F5D8005"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6958D12C" w14:textId="77777777" w:rsidR="00350F25" w:rsidRPr="004739E4" w:rsidRDefault="00350F25" w:rsidP="00350F25">
            <w:pPr>
              <w:pStyle w:val="TableCellText"/>
            </w:pPr>
            <w:r w:rsidRPr="00447743">
              <w:rPr>
                <w:b/>
              </w:rPr>
              <w:lastRenderedPageBreak/>
              <w:t>Vehicle Data</w:t>
            </w:r>
          </w:p>
        </w:tc>
      </w:tr>
      <w:tr w:rsidR="00350F25" w:rsidRPr="00CC451D" w14:paraId="40EA4E6D"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1104FD09" w14:textId="77777777" w:rsidR="00350F25" w:rsidRDefault="00350F25" w:rsidP="00350F25">
            <w:pPr>
              <w:pStyle w:val="TableCellText"/>
            </w:pPr>
            <w:r>
              <w:t>Number of Trucks to Be Replaced</w:t>
            </w:r>
          </w:p>
        </w:tc>
        <w:tc>
          <w:tcPr>
            <w:tcW w:w="963" w:type="pct"/>
            <w:tcBorders>
              <w:top w:val="single" w:sz="4" w:space="0" w:color="0070C0"/>
              <w:left w:val="single" w:sz="4" w:space="0" w:color="0070C0"/>
              <w:bottom w:val="single" w:sz="4" w:space="0" w:color="0070C0"/>
              <w:right w:val="single" w:sz="4" w:space="0" w:color="0070C0"/>
            </w:tcBorders>
          </w:tcPr>
          <w:p w14:paraId="076C051C" w14:textId="77777777" w:rsidR="00350F25" w:rsidRDefault="00350F25" w:rsidP="00350F25">
            <w:pPr>
              <w:pStyle w:val="TableCellText"/>
            </w:pPr>
            <w:r>
              <w:t>100</w:t>
            </w:r>
          </w:p>
        </w:tc>
        <w:tc>
          <w:tcPr>
            <w:tcW w:w="2836" w:type="pct"/>
            <w:tcBorders>
              <w:top w:val="single" w:sz="4" w:space="0" w:color="0070C0"/>
              <w:left w:val="single" w:sz="4" w:space="0" w:color="0070C0"/>
              <w:bottom w:val="single" w:sz="4" w:space="0" w:color="0070C0"/>
              <w:right w:val="single" w:sz="4" w:space="0" w:color="0070C0"/>
            </w:tcBorders>
          </w:tcPr>
          <w:p w14:paraId="560CB78C" w14:textId="77777777" w:rsidR="00350F25" w:rsidRPr="004739E4" w:rsidRDefault="00350F25" w:rsidP="00350F25">
            <w:pPr>
              <w:pStyle w:val="TableCellText"/>
            </w:pPr>
            <w:r>
              <w:t>The results can be divided by 100 to calculate the per-truck impacts.</w:t>
            </w:r>
          </w:p>
        </w:tc>
      </w:tr>
      <w:tr w:rsidR="00350F25" w:rsidRPr="00CC451D" w14:paraId="0CE217A4"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77CF79E5" w14:textId="77777777" w:rsidR="00350F25" w:rsidRDefault="00350F25" w:rsidP="00350F25">
            <w:pPr>
              <w:pStyle w:val="TableCellText"/>
            </w:pPr>
            <w:r>
              <w:t>Average Annual Mileage Accumulation</w:t>
            </w:r>
          </w:p>
        </w:tc>
        <w:tc>
          <w:tcPr>
            <w:tcW w:w="963" w:type="pct"/>
            <w:tcBorders>
              <w:top w:val="single" w:sz="4" w:space="0" w:color="0070C0"/>
              <w:left w:val="single" w:sz="4" w:space="0" w:color="0070C0"/>
              <w:bottom w:val="single" w:sz="4" w:space="0" w:color="0070C0"/>
              <w:right w:val="single" w:sz="4" w:space="0" w:color="0070C0"/>
            </w:tcBorders>
          </w:tcPr>
          <w:p w14:paraId="6D843F46" w14:textId="77777777" w:rsidR="00350F25" w:rsidRDefault="00350F25" w:rsidP="00350F25">
            <w:pPr>
              <w:pStyle w:val="TableCellText"/>
            </w:pPr>
            <w:r>
              <w:t>Leave default values</w:t>
            </w:r>
          </w:p>
        </w:tc>
        <w:tc>
          <w:tcPr>
            <w:tcW w:w="2836" w:type="pct"/>
            <w:tcBorders>
              <w:top w:val="single" w:sz="4" w:space="0" w:color="0070C0"/>
              <w:left w:val="single" w:sz="4" w:space="0" w:color="0070C0"/>
              <w:bottom w:val="single" w:sz="4" w:space="0" w:color="0070C0"/>
              <w:right w:val="single" w:sz="4" w:space="0" w:color="0070C0"/>
            </w:tcBorders>
          </w:tcPr>
          <w:p w14:paraId="057C4EA7" w14:textId="77777777" w:rsidR="00350F25" w:rsidRPr="004739E4" w:rsidRDefault="00350F25" w:rsidP="00350F25">
            <w:pPr>
              <w:pStyle w:val="TableCellText"/>
            </w:pPr>
            <w:r>
              <w:t>The</w:t>
            </w:r>
            <w:r w:rsidRPr="0050596A">
              <w:t xml:space="preserve"> default </w:t>
            </w:r>
            <w:r>
              <w:t>values come</w:t>
            </w:r>
            <w:r w:rsidRPr="0050596A">
              <w:t xml:space="preserve"> from </w:t>
            </w:r>
            <w:r>
              <w:t xml:space="preserve">the </w:t>
            </w:r>
            <w:r w:rsidRPr="0050596A">
              <w:t>MOVES</w:t>
            </w:r>
            <w:r>
              <w:t xml:space="preserve"> model</w:t>
            </w:r>
            <w:r w:rsidRPr="0050596A">
              <w:t xml:space="preserve">. </w:t>
            </w:r>
            <w:r>
              <w:t>M</w:t>
            </w:r>
            <w:r w:rsidRPr="0050596A">
              <w:t xml:space="preserve">ore annual miles </w:t>
            </w:r>
            <w:r>
              <w:t>will result in</w:t>
            </w:r>
            <w:r w:rsidRPr="0050596A">
              <w:t xml:space="preserve"> more emissions benefits</w:t>
            </w:r>
            <w:r>
              <w:t>.</w:t>
            </w:r>
          </w:p>
        </w:tc>
      </w:tr>
      <w:tr w:rsidR="00350F25" w:rsidRPr="00CC451D" w14:paraId="3F5680CE"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58B1A02E" w14:textId="77777777" w:rsidR="00350F25" w:rsidRDefault="00350F25" w:rsidP="00350F25">
            <w:pPr>
              <w:pStyle w:val="TableCellText"/>
            </w:pPr>
            <w:r>
              <w:t>Range of Model Years to Modify/Scrap (inclusive)</w:t>
            </w:r>
          </w:p>
        </w:tc>
        <w:tc>
          <w:tcPr>
            <w:tcW w:w="963" w:type="pct"/>
            <w:tcBorders>
              <w:top w:val="single" w:sz="4" w:space="0" w:color="0070C0"/>
              <w:left w:val="single" w:sz="4" w:space="0" w:color="0070C0"/>
              <w:bottom w:val="single" w:sz="4" w:space="0" w:color="0070C0"/>
              <w:right w:val="single" w:sz="4" w:space="0" w:color="0070C0"/>
            </w:tcBorders>
          </w:tcPr>
          <w:p w14:paraId="315AE7FE" w14:textId="77777777" w:rsidR="00350F25" w:rsidRDefault="00350F25" w:rsidP="00350F25">
            <w:pPr>
              <w:pStyle w:val="TableCellText"/>
            </w:pPr>
            <w:r>
              <w:t>2000-2017</w:t>
            </w:r>
          </w:p>
        </w:tc>
        <w:tc>
          <w:tcPr>
            <w:tcW w:w="2836" w:type="pct"/>
            <w:tcBorders>
              <w:top w:val="single" w:sz="4" w:space="0" w:color="0070C0"/>
              <w:left w:val="single" w:sz="4" w:space="0" w:color="0070C0"/>
              <w:bottom w:val="single" w:sz="4" w:space="0" w:color="0070C0"/>
              <w:right w:val="single" w:sz="4" w:space="0" w:color="0070C0"/>
            </w:tcBorders>
          </w:tcPr>
          <w:p w14:paraId="0782C89A" w14:textId="77777777" w:rsidR="00350F25" w:rsidRPr="004739E4" w:rsidRDefault="00350F25" w:rsidP="00350F25">
            <w:pPr>
              <w:pStyle w:val="TableCellText"/>
            </w:pPr>
            <w:r>
              <w:t>This range is based on replacing pre-2018 trucks since the Heavy-Duty GHG Phase 1</w:t>
            </w:r>
            <w:r w:rsidRPr="00140664">
              <w:t xml:space="preserve"> rule would have been fully phased in by 201</w:t>
            </w:r>
            <w:r>
              <w:t>8, and the Phase 2 regulations begin.</w:t>
            </w:r>
          </w:p>
        </w:tc>
      </w:tr>
      <w:tr w:rsidR="00350F25" w:rsidRPr="00CC451D" w14:paraId="61FFC758" w14:textId="77777777" w:rsidTr="00350F25">
        <w:trPr>
          <w:trHeight w:val="458"/>
        </w:trPr>
        <w:tc>
          <w:tcPr>
            <w:tcW w:w="1201" w:type="pct"/>
            <w:tcBorders>
              <w:top w:val="single" w:sz="4" w:space="0" w:color="0070C0"/>
              <w:left w:val="single" w:sz="4" w:space="0" w:color="0070C0"/>
              <w:bottom w:val="single" w:sz="4" w:space="0" w:color="0070C0"/>
              <w:right w:val="single" w:sz="4" w:space="0" w:color="0070C0"/>
            </w:tcBorders>
            <w:noWrap/>
          </w:tcPr>
          <w:p w14:paraId="749835E6" w14:textId="2765FACE" w:rsidR="00350F25" w:rsidRDefault="006771E4" w:rsidP="00350F25">
            <w:pPr>
              <w:pStyle w:val="TableCellText"/>
            </w:pPr>
            <w:r>
              <w:t>Long haul</w:t>
            </w:r>
            <w:r w:rsidR="00350F25">
              <w:t xml:space="preserve"> Annual Idle Hours</w:t>
            </w:r>
          </w:p>
        </w:tc>
        <w:tc>
          <w:tcPr>
            <w:tcW w:w="963" w:type="pct"/>
            <w:tcBorders>
              <w:top w:val="single" w:sz="4" w:space="0" w:color="0070C0"/>
              <w:left w:val="single" w:sz="4" w:space="0" w:color="0070C0"/>
              <w:bottom w:val="single" w:sz="4" w:space="0" w:color="0070C0"/>
              <w:right w:val="single" w:sz="4" w:space="0" w:color="0070C0"/>
            </w:tcBorders>
          </w:tcPr>
          <w:p w14:paraId="0E58BB4F" w14:textId="77777777" w:rsidR="00350F25" w:rsidRDefault="00350F25" w:rsidP="00350F25">
            <w:pPr>
              <w:pStyle w:val="TableCellText"/>
            </w:pPr>
            <w:r>
              <w:t>n/a</w:t>
            </w:r>
          </w:p>
        </w:tc>
        <w:tc>
          <w:tcPr>
            <w:tcW w:w="2836" w:type="pct"/>
            <w:tcBorders>
              <w:top w:val="single" w:sz="4" w:space="0" w:color="0070C0"/>
              <w:left w:val="single" w:sz="4" w:space="0" w:color="0070C0"/>
              <w:bottom w:val="single" w:sz="4" w:space="0" w:color="0070C0"/>
              <w:right w:val="single" w:sz="4" w:space="0" w:color="0070C0"/>
            </w:tcBorders>
          </w:tcPr>
          <w:p w14:paraId="7D1677D3" w14:textId="0E53891B" w:rsidR="00350F25" w:rsidRPr="004739E4" w:rsidRDefault="00350F25" w:rsidP="00350F25">
            <w:pPr>
              <w:pStyle w:val="TableCellText"/>
            </w:pPr>
            <w:r>
              <w:t xml:space="preserve">Only applicable for strategies involving combo unit </w:t>
            </w:r>
            <w:r w:rsidR="006771E4">
              <w:t>long haul</w:t>
            </w:r>
            <w:r>
              <w:t xml:space="preserve"> trucks.</w:t>
            </w:r>
          </w:p>
        </w:tc>
      </w:tr>
      <w:tr w:rsidR="00350F25" w:rsidRPr="00CC451D" w14:paraId="17021DD5"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2C8F782D" w14:textId="77777777" w:rsidR="00350F25" w:rsidRPr="004739E4" w:rsidRDefault="00350F25" w:rsidP="00350F25">
            <w:pPr>
              <w:pStyle w:val="TableCellText"/>
            </w:pPr>
            <w:r w:rsidRPr="00447743">
              <w:rPr>
                <w:b/>
              </w:rPr>
              <w:t>Fuel Costs</w:t>
            </w:r>
          </w:p>
        </w:tc>
      </w:tr>
      <w:tr w:rsidR="00350F25" w:rsidRPr="00CC451D" w14:paraId="1092D87C"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473F32CB" w14:textId="77777777" w:rsidR="00350F25" w:rsidRDefault="00350F25" w:rsidP="00350F25">
            <w:pPr>
              <w:pStyle w:val="TableCellText"/>
            </w:pPr>
            <w:r>
              <w:t>Cost per Unit</w:t>
            </w:r>
          </w:p>
        </w:tc>
        <w:tc>
          <w:tcPr>
            <w:tcW w:w="963" w:type="pct"/>
            <w:tcBorders>
              <w:top w:val="single" w:sz="4" w:space="0" w:color="0070C0"/>
              <w:left w:val="single" w:sz="4" w:space="0" w:color="0070C0"/>
              <w:bottom w:val="single" w:sz="4" w:space="0" w:color="0070C0"/>
              <w:right w:val="single" w:sz="4" w:space="0" w:color="0070C0"/>
            </w:tcBorders>
          </w:tcPr>
          <w:p w14:paraId="5E8C7B59" w14:textId="77777777" w:rsidR="00350F25" w:rsidRDefault="00350F25" w:rsidP="00350F25">
            <w:pPr>
              <w:pStyle w:val="TableCellText"/>
            </w:pPr>
            <w:r>
              <w:t>Leave default values ($2.13/gal diesel)</w:t>
            </w:r>
          </w:p>
        </w:tc>
        <w:tc>
          <w:tcPr>
            <w:tcW w:w="2836" w:type="pct"/>
            <w:tcBorders>
              <w:top w:val="single" w:sz="4" w:space="0" w:color="0070C0"/>
              <w:left w:val="single" w:sz="4" w:space="0" w:color="0070C0"/>
              <w:bottom w:val="single" w:sz="4" w:space="0" w:color="0070C0"/>
              <w:right w:val="single" w:sz="4" w:space="0" w:color="0070C0"/>
            </w:tcBorders>
          </w:tcPr>
          <w:p w14:paraId="4E64EADC" w14:textId="77777777" w:rsidR="00350F25" w:rsidRPr="004739E4" w:rsidRDefault="00350F25" w:rsidP="00350F25">
            <w:pPr>
              <w:pStyle w:val="TableCellText"/>
            </w:pPr>
            <w:r>
              <w:t xml:space="preserve">Default values are national averages; more up-to-date and regional fuel prices can be found at the Alternative Fuels Data Center’s </w:t>
            </w:r>
            <w:hyperlink r:id="rId83" w:history="1">
              <w:r w:rsidRPr="009E5B70">
                <w:rPr>
                  <w:rStyle w:val="Hyperlink"/>
                </w:rPr>
                <w:t>Fuel Prices webpage</w:t>
              </w:r>
            </w:hyperlink>
            <w:r>
              <w:t>.</w:t>
            </w:r>
          </w:p>
        </w:tc>
      </w:tr>
      <w:tr w:rsidR="00350F25" w:rsidRPr="00CC451D" w14:paraId="7EDBA624"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6C87C95D" w14:textId="77777777" w:rsidR="00350F25" w:rsidRDefault="00350F25" w:rsidP="00350F25">
            <w:pPr>
              <w:pStyle w:val="TableCellText"/>
            </w:pPr>
            <w:r>
              <w:t>Electricity Generation Region</w:t>
            </w:r>
          </w:p>
        </w:tc>
        <w:tc>
          <w:tcPr>
            <w:tcW w:w="963" w:type="pct"/>
            <w:tcBorders>
              <w:top w:val="single" w:sz="4" w:space="0" w:color="0070C0"/>
              <w:left w:val="single" w:sz="4" w:space="0" w:color="0070C0"/>
              <w:bottom w:val="single" w:sz="4" w:space="0" w:color="0070C0"/>
              <w:right w:val="single" w:sz="4" w:space="0" w:color="0070C0"/>
            </w:tcBorders>
          </w:tcPr>
          <w:p w14:paraId="3044D718" w14:textId="77777777" w:rsidR="00350F25" w:rsidRDefault="00350F25" w:rsidP="00350F25">
            <w:pPr>
              <w:pStyle w:val="TableCellText"/>
            </w:pPr>
            <w:r>
              <w:t>NPCC</w:t>
            </w:r>
          </w:p>
        </w:tc>
        <w:tc>
          <w:tcPr>
            <w:tcW w:w="2836" w:type="pct"/>
            <w:tcBorders>
              <w:top w:val="single" w:sz="4" w:space="0" w:color="0070C0"/>
              <w:left w:val="single" w:sz="4" w:space="0" w:color="0070C0"/>
              <w:bottom w:val="single" w:sz="4" w:space="0" w:color="0070C0"/>
              <w:right w:val="single" w:sz="4" w:space="0" w:color="0070C0"/>
            </w:tcBorders>
          </w:tcPr>
          <w:p w14:paraId="5BFC732E" w14:textId="77777777" w:rsidR="00350F25" w:rsidRPr="004739E4" w:rsidRDefault="00350F25" w:rsidP="00350F25">
            <w:pPr>
              <w:pStyle w:val="TableCellText"/>
            </w:pPr>
            <w:r>
              <w:t>This electricity region includes New York.</w:t>
            </w:r>
          </w:p>
        </w:tc>
      </w:tr>
      <w:tr w:rsidR="00350F25" w:rsidRPr="00CC451D" w14:paraId="65FC7136"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4B81ABA3" w14:textId="77777777" w:rsidR="00350F25" w:rsidRDefault="00350F25" w:rsidP="00350F25">
            <w:pPr>
              <w:pStyle w:val="TableCellText"/>
            </w:pPr>
            <w:r>
              <w:t>CO</w:t>
            </w:r>
            <w:r w:rsidRPr="00F6465A">
              <w:rPr>
                <w:vertAlign w:val="subscript"/>
              </w:rPr>
              <w:t>2</w:t>
            </w:r>
          </w:p>
        </w:tc>
        <w:tc>
          <w:tcPr>
            <w:tcW w:w="963" w:type="pct"/>
            <w:tcBorders>
              <w:top w:val="single" w:sz="4" w:space="0" w:color="0070C0"/>
              <w:left w:val="single" w:sz="4" w:space="0" w:color="0070C0"/>
              <w:bottom w:val="single" w:sz="4" w:space="0" w:color="0070C0"/>
              <w:right w:val="single" w:sz="4" w:space="0" w:color="0070C0"/>
            </w:tcBorders>
          </w:tcPr>
          <w:p w14:paraId="48A27018" w14:textId="77777777" w:rsidR="00350F25" w:rsidRDefault="00350F25" w:rsidP="00350F25">
            <w:pPr>
              <w:pStyle w:val="TableCellText"/>
            </w:pPr>
            <w:r>
              <w:t>Leave default value (254 g/kWh)</w:t>
            </w:r>
          </w:p>
        </w:tc>
        <w:tc>
          <w:tcPr>
            <w:tcW w:w="2836" w:type="pct"/>
            <w:tcBorders>
              <w:top w:val="single" w:sz="4" w:space="0" w:color="0070C0"/>
              <w:left w:val="single" w:sz="4" w:space="0" w:color="0070C0"/>
              <w:bottom w:val="single" w:sz="4" w:space="0" w:color="0070C0"/>
              <w:right w:val="single" w:sz="4" w:space="0" w:color="0070C0"/>
            </w:tcBorders>
          </w:tcPr>
          <w:p w14:paraId="1AB3276E" w14:textId="77777777" w:rsidR="00350F25" w:rsidRPr="004739E4" w:rsidRDefault="00350F25" w:rsidP="00350F25">
            <w:pPr>
              <w:pStyle w:val="TableCellText"/>
            </w:pPr>
            <w:r>
              <w:t>The default value will update depending on the Electricity Generation Region selected.</w:t>
            </w:r>
          </w:p>
        </w:tc>
      </w:tr>
      <w:tr w:rsidR="00350F25" w:rsidRPr="00CC451D" w14:paraId="54E9FD92"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2090250C" w14:textId="77777777" w:rsidR="00350F25" w:rsidRPr="004739E4" w:rsidRDefault="00350F25" w:rsidP="00350F25">
            <w:pPr>
              <w:pStyle w:val="TableCellText"/>
            </w:pPr>
            <w:r w:rsidRPr="00447743">
              <w:rPr>
                <w:b/>
              </w:rPr>
              <w:t>Capital Costs</w:t>
            </w:r>
          </w:p>
        </w:tc>
      </w:tr>
      <w:tr w:rsidR="00350F25" w:rsidRPr="00CC451D" w14:paraId="0FC70C24"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2FB1BD6E" w14:textId="77777777" w:rsidR="00350F25" w:rsidRDefault="00350F25" w:rsidP="00350F25">
            <w:pPr>
              <w:pStyle w:val="TableCellText"/>
            </w:pPr>
            <w:r>
              <w:t>Cost</w:t>
            </w:r>
          </w:p>
        </w:tc>
        <w:tc>
          <w:tcPr>
            <w:tcW w:w="963" w:type="pct"/>
            <w:tcBorders>
              <w:top w:val="single" w:sz="4" w:space="0" w:color="0070C0"/>
              <w:left w:val="single" w:sz="4" w:space="0" w:color="0070C0"/>
              <w:bottom w:val="single" w:sz="4" w:space="0" w:color="0070C0"/>
              <w:right w:val="single" w:sz="4" w:space="0" w:color="0070C0"/>
            </w:tcBorders>
          </w:tcPr>
          <w:p w14:paraId="50BCF44F" w14:textId="77777777" w:rsidR="00350F25" w:rsidRDefault="00350F25" w:rsidP="00350F25">
            <w:pPr>
              <w:pStyle w:val="TableCellText"/>
            </w:pPr>
            <w:r>
              <w:t>Leave default values</w:t>
            </w:r>
          </w:p>
        </w:tc>
        <w:tc>
          <w:tcPr>
            <w:tcW w:w="2836" w:type="pct"/>
            <w:tcBorders>
              <w:top w:val="single" w:sz="4" w:space="0" w:color="0070C0"/>
              <w:left w:val="single" w:sz="4" w:space="0" w:color="0070C0"/>
              <w:bottom w:val="single" w:sz="4" w:space="0" w:color="0070C0"/>
              <w:right w:val="single" w:sz="4" w:space="0" w:color="0070C0"/>
            </w:tcBorders>
          </w:tcPr>
          <w:p w14:paraId="7BF5623F" w14:textId="77777777" w:rsidR="00350F25" w:rsidRPr="004739E4" w:rsidRDefault="00350F25" w:rsidP="00350F25">
            <w:pPr>
              <w:pStyle w:val="TableCellText"/>
            </w:pPr>
            <w:r>
              <w:t>Default values are based on recent (2015) estimates. Replacing defaults with more up-to-date or local averages will improve cost, cost effectiveness, and payback estimates in the results.</w:t>
            </w:r>
          </w:p>
        </w:tc>
      </w:tr>
    </w:tbl>
    <w:p w14:paraId="6229814A" w14:textId="77777777" w:rsidR="00350F25" w:rsidRPr="000A0400" w:rsidRDefault="00350F25" w:rsidP="00350F25">
      <w:pPr>
        <w:pStyle w:val="BodyText"/>
        <w:rPr>
          <w:iCs/>
        </w:rPr>
      </w:pPr>
    </w:p>
    <w:p w14:paraId="6D51E745" w14:textId="77777777" w:rsidR="00350F25" w:rsidRDefault="00350F25" w:rsidP="00350F25">
      <w:pPr>
        <w:pStyle w:val="BodyText"/>
        <w:rPr>
          <w:iCs/>
        </w:rPr>
      </w:pPr>
      <w:r w:rsidRPr="000A0400">
        <w:rPr>
          <w:b/>
          <w:iCs/>
        </w:rPr>
        <w:t>Results</w:t>
      </w:r>
    </w:p>
    <w:p w14:paraId="7A2237C7" w14:textId="77777777" w:rsidR="00350F25" w:rsidRDefault="00350F25" w:rsidP="00350F25">
      <w:pPr>
        <w:pStyle w:val="BodyText"/>
        <w:rPr>
          <w:iCs/>
        </w:rPr>
      </w:pPr>
      <w:r>
        <w:rPr>
          <w:iCs/>
        </w:rPr>
        <w:t>The table below shows some of the results from the Incentive Analysis. The only alternative fuel strategy options in this analysis are to replace conventional diesel trucks with hybrid or electric versions. For each option, the Tool shows the amount of emissions reduced, the cost of purchasing these trucks, and the fuel savings from operating these trucks in place of the old trucks.</w:t>
      </w:r>
    </w:p>
    <w:p w14:paraId="0DC2B4EC" w14:textId="77777777" w:rsidR="00350F25" w:rsidRDefault="00350F25" w:rsidP="00350F25">
      <w:pPr>
        <w:pStyle w:val="BodyText"/>
        <w:rPr>
          <w:iCs/>
        </w:rPr>
      </w:pPr>
      <w:r>
        <w:rPr>
          <w:iCs/>
        </w:rPr>
        <w:t xml:space="preserve">The Tool also shows the impacts if an agency running a clean trucks program funds only a portion of the new truck cost. The Incentive Level refers to the portion of the capital cost covered by the agency. As expected, the cost effectiveness improves (i.e., the dollar per ton goes down) as the agency covers more of the new truck cost. </w:t>
      </w:r>
    </w:p>
    <w:p w14:paraId="01A37D4E" w14:textId="77777777" w:rsidR="00350F25" w:rsidRPr="000A0400" w:rsidRDefault="00350F25" w:rsidP="00350F25">
      <w:pPr>
        <w:pStyle w:val="BodyText"/>
        <w:rPr>
          <w:iCs/>
        </w:rPr>
      </w:pPr>
      <w:r>
        <w:rPr>
          <w:iCs/>
        </w:rPr>
        <w:t>The last column shows the payback period, or the number of years it would take for the truck owners to save enough in fuel costs to recover their portion of the truck cost. Payback periods of over three years are generally not acceptable to most trucking companies or truck owners. Although agencies can have improve their cost effectiveness and cover more trucks by covering a smaller portion of the truck cost, truck owners may not be interested in participating if there are long payback periods.</w:t>
      </w:r>
    </w:p>
    <w:tbl>
      <w:tblPr>
        <w:tblStyle w:val="TableGrid"/>
        <w:tblW w:w="9515" w:type="dxa"/>
        <w:tblLook w:val="04A0" w:firstRow="1" w:lastRow="0" w:firstColumn="1" w:lastColumn="0" w:noHBand="0" w:noVBand="1"/>
      </w:tblPr>
      <w:tblGrid>
        <w:gridCol w:w="1390"/>
        <w:gridCol w:w="1296"/>
        <w:gridCol w:w="1296"/>
        <w:gridCol w:w="1296"/>
        <w:gridCol w:w="1152"/>
        <w:gridCol w:w="1309"/>
        <w:gridCol w:w="1776"/>
      </w:tblGrid>
      <w:tr w:rsidR="00350F25" w:rsidRPr="002413B0" w14:paraId="479E8020" w14:textId="77777777" w:rsidTr="00350F25">
        <w:trPr>
          <w:trHeight w:val="578"/>
        </w:trPr>
        <w:tc>
          <w:tcPr>
            <w:tcW w:w="1390" w:type="dxa"/>
            <w:tcBorders>
              <w:bottom w:val="single" w:sz="4" w:space="0" w:color="0067AB"/>
              <w:right w:val="single" w:sz="4" w:space="0" w:color="FFFFFF" w:themeColor="background1"/>
            </w:tcBorders>
            <w:shd w:val="clear" w:color="auto" w:fill="0067AB"/>
            <w:vAlign w:val="bottom"/>
            <w:hideMark/>
          </w:tcPr>
          <w:p w14:paraId="780ADC52" w14:textId="77777777" w:rsidR="00350F25" w:rsidRPr="00350F25" w:rsidRDefault="00350F25" w:rsidP="00350F25">
            <w:pPr>
              <w:pStyle w:val="BodyText"/>
              <w:keepNext/>
              <w:spacing w:after="60"/>
              <w:jc w:val="center"/>
              <w:rPr>
                <w:b/>
                <w:bCs/>
                <w:iCs/>
                <w:color w:val="FFFFFF" w:themeColor="background1"/>
                <w:sz w:val="20"/>
                <w:szCs w:val="20"/>
              </w:rPr>
            </w:pPr>
            <w:r w:rsidRPr="00350F25">
              <w:rPr>
                <w:b/>
                <w:bCs/>
                <w:iCs/>
                <w:color w:val="FFFFFF" w:themeColor="background1"/>
                <w:sz w:val="20"/>
                <w:szCs w:val="20"/>
              </w:rPr>
              <w:lastRenderedPageBreak/>
              <w:t>Modification</w:t>
            </w:r>
          </w:p>
        </w:tc>
        <w:tc>
          <w:tcPr>
            <w:tcW w:w="1296" w:type="dxa"/>
            <w:tcBorders>
              <w:left w:val="single" w:sz="4" w:space="0" w:color="FFFFFF" w:themeColor="background1"/>
              <w:bottom w:val="single" w:sz="4" w:space="0" w:color="0067AB"/>
              <w:right w:val="single" w:sz="4" w:space="0" w:color="FFFFFF" w:themeColor="background1"/>
            </w:tcBorders>
            <w:shd w:val="clear" w:color="auto" w:fill="0067AB"/>
            <w:vAlign w:val="bottom"/>
            <w:hideMark/>
          </w:tcPr>
          <w:p w14:paraId="53B31E77" w14:textId="77777777" w:rsidR="00350F25" w:rsidRPr="00350F25" w:rsidRDefault="00350F25" w:rsidP="00350F25">
            <w:pPr>
              <w:pStyle w:val="BodyText"/>
              <w:keepNext/>
              <w:spacing w:after="60"/>
              <w:jc w:val="center"/>
              <w:rPr>
                <w:b/>
                <w:bCs/>
                <w:iCs/>
                <w:color w:val="FFFFFF" w:themeColor="background1"/>
                <w:sz w:val="20"/>
                <w:szCs w:val="20"/>
              </w:rPr>
            </w:pPr>
            <w:r w:rsidRPr="00350F25">
              <w:rPr>
                <w:b/>
                <w:iCs/>
                <w:color w:val="FFFFFF" w:themeColor="background1"/>
                <w:sz w:val="20"/>
                <w:szCs w:val="20"/>
              </w:rPr>
              <w:t>CO</w:t>
            </w:r>
            <w:r w:rsidRPr="00350F25">
              <w:rPr>
                <w:b/>
                <w:iCs/>
                <w:color w:val="FFFFFF" w:themeColor="background1"/>
                <w:sz w:val="20"/>
                <w:szCs w:val="20"/>
                <w:vertAlign w:val="subscript"/>
              </w:rPr>
              <w:t xml:space="preserve">2 </w:t>
            </w:r>
            <w:r w:rsidRPr="00350F25">
              <w:rPr>
                <w:b/>
                <w:bCs/>
                <w:iCs/>
                <w:color w:val="FFFFFF" w:themeColor="background1"/>
                <w:sz w:val="20"/>
                <w:szCs w:val="20"/>
              </w:rPr>
              <w:t>Emissions Reduced (tons/yr)</w:t>
            </w:r>
          </w:p>
        </w:tc>
        <w:tc>
          <w:tcPr>
            <w:tcW w:w="1296" w:type="dxa"/>
            <w:tcBorders>
              <w:left w:val="single" w:sz="4" w:space="0" w:color="FFFFFF" w:themeColor="background1"/>
              <w:bottom w:val="single" w:sz="4" w:space="0" w:color="0067AB"/>
              <w:right w:val="single" w:sz="4" w:space="0" w:color="FFFFFF" w:themeColor="background1"/>
            </w:tcBorders>
            <w:shd w:val="clear" w:color="auto" w:fill="0067AB"/>
            <w:vAlign w:val="bottom"/>
            <w:hideMark/>
          </w:tcPr>
          <w:p w14:paraId="19A4972C" w14:textId="77777777" w:rsidR="00350F25" w:rsidRPr="00350F25" w:rsidRDefault="00350F25" w:rsidP="00350F25">
            <w:pPr>
              <w:pStyle w:val="BodyText"/>
              <w:keepNext/>
              <w:spacing w:after="60"/>
              <w:jc w:val="center"/>
              <w:rPr>
                <w:b/>
                <w:bCs/>
                <w:iCs/>
                <w:color w:val="FFFFFF" w:themeColor="background1"/>
                <w:sz w:val="20"/>
                <w:szCs w:val="20"/>
              </w:rPr>
            </w:pPr>
            <w:r w:rsidRPr="00350F25">
              <w:rPr>
                <w:b/>
                <w:bCs/>
                <w:iCs/>
                <w:color w:val="FFFFFF" w:themeColor="background1"/>
                <w:sz w:val="20"/>
                <w:szCs w:val="20"/>
              </w:rPr>
              <w:t>Additional Annual Capital Costs</w:t>
            </w:r>
          </w:p>
        </w:tc>
        <w:tc>
          <w:tcPr>
            <w:tcW w:w="1296" w:type="dxa"/>
            <w:tcBorders>
              <w:left w:val="single" w:sz="4" w:space="0" w:color="FFFFFF" w:themeColor="background1"/>
              <w:bottom w:val="single" w:sz="4" w:space="0" w:color="0067AB"/>
              <w:right w:val="single" w:sz="4" w:space="0" w:color="FFFFFF" w:themeColor="background1"/>
            </w:tcBorders>
            <w:shd w:val="clear" w:color="auto" w:fill="0067AB"/>
            <w:vAlign w:val="bottom"/>
            <w:hideMark/>
          </w:tcPr>
          <w:p w14:paraId="5A482197" w14:textId="77777777" w:rsidR="00350F25" w:rsidRPr="00350F25" w:rsidRDefault="00350F25" w:rsidP="00350F25">
            <w:pPr>
              <w:pStyle w:val="BodyText"/>
              <w:keepNext/>
              <w:spacing w:after="60"/>
              <w:jc w:val="center"/>
              <w:rPr>
                <w:b/>
                <w:bCs/>
                <w:iCs/>
                <w:color w:val="FFFFFF" w:themeColor="background1"/>
                <w:sz w:val="20"/>
                <w:szCs w:val="20"/>
              </w:rPr>
            </w:pPr>
            <w:r w:rsidRPr="00350F25">
              <w:rPr>
                <w:b/>
                <w:bCs/>
                <w:iCs/>
                <w:color w:val="FFFFFF" w:themeColor="background1"/>
                <w:sz w:val="20"/>
                <w:szCs w:val="20"/>
              </w:rPr>
              <w:t>Annual Fuel Savings</w:t>
            </w:r>
          </w:p>
        </w:tc>
        <w:tc>
          <w:tcPr>
            <w:tcW w:w="1152" w:type="dxa"/>
            <w:tcBorders>
              <w:left w:val="single" w:sz="4" w:space="0" w:color="FFFFFF" w:themeColor="background1"/>
              <w:bottom w:val="single" w:sz="4" w:space="0" w:color="0067AB"/>
              <w:right w:val="single" w:sz="4" w:space="0" w:color="FFFFFF" w:themeColor="background1"/>
            </w:tcBorders>
            <w:shd w:val="clear" w:color="auto" w:fill="0067AB"/>
            <w:vAlign w:val="bottom"/>
            <w:hideMark/>
          </w:tcPr>
          <w:p w14:paraId="1C3D76F3" w14:textId="77777777" w:rsidR="00350F25" w:rsidRPr="00350F25" w:rsidRDefault="00350F25" w:rsidP="00350F25">
            <w:pPr>
              <w:pStyle w:val="BodyText"/>
              <w:keepNext/>
              <w:spacing w:after="60"/>
              <w:jc w:val="center"/>
              <w:rPr>
                <w:b/>
                <w:bCs/>
                <w:iCs/>
                <w:color w:val="FFFFFF" w:themeColor="background1"/>
                <w:sz w:val="20"/>
                <w:szCs w:val="20"/>
              </w:rPr>
            </w:pPr>
            <w:r w:rsidRPr="00350F25">
              <w:rPr>
                <w:b/>
                <w:bCs/>
                <w:iCs/>
                <w:color w:val="FFFFFF" w:themeColor="background1"/>
                <w:sz w:val="20"/>
                <w:szCs w:val="20"/>
              </w:rPr>
              <w:t>Incentive Level</w:t>
            </w:r>
          </w:p>
        </w:tc>
        <w:tc>
          <w:tcPr>
            <w:tcW w:w="1309" w:type="dxa"/>
            <w:tcBorders>
              <w:left w:val="single" w:sz="4" w:space="0" w:color="FFFFFF" w:themeColor="background1"/>
              <w:bottom w:val="single" w:sz="4" w:space="0" w:color="0067AB"/>
              <w:right w:val="single" w:sz="4" w:space="0" w:color="FFFFFF" w:themeColor="background1"/>
            </w:tcBorders>
            <w:shd w:val="clear" w:color="auto" w:fill="0067AB"/>
            <w:vAlign w:val="bottom"/>
            <w:hideMark/>
          </w:tcPr>
          <w:p w14:paraId="7D08FAA0" w14:textId="35BF833C" w:rsidR="00350F25" w:rsidRPr="00350F25" w:rsidRDefault="001F7075" w:rsidP="00350F25">
            <w:pPr>
              <w:pStyle w:val="BodyText"/>
              <w:keepNext/>
              <w:spacing w:after="60"/>
              <w:jc w:val="center"/>
              <w:rPr>
                <w:b/>
                <w:bCs/>
                <w:iCs/>
                <w:color w:val="FFFFFF" w:themeColor="background1"/>
                <w:sz w:val="20"/>
                <w:szCs w:val="20"/>
              </w:rPr>
            </w:pPr>
            <w:r>
              <w:rPr>
                <w:b/>
                <w:bCs/>
                <w:iCs/>
                <w:color w:val="FFFFFF" w:themeColor="background1"/>
                <w:sz w:val="20"/>
                <w:szCs w:val="20"/>
              </w:rPr>
              <w:t>Cost effective</w:t>
            </w:r>
            <w:r w:rsidR="00350F25" w:rsidRPr="00350F25">
              <w:rPr>
                <w:b/>
                <w:bCs/>
                <w:iCs/>
                <w:color w:val="FFFFFF" w:themeColor="background1"/>
                <w:sz w:val="20"/>
                <w:szCs w:val="20"/>
              </w:rPr>
              <w:t>ness of Incentive ($/ton)</w:t>
            </w:r>
          </w:p>
        </w:tc>
        <w:tc>
          <w:tcPr>
            <w:tcW w:w="1776" w:type="dxa"/>
            <w:tcBorders>
              <w:left w:val="single" w:sz="4" w:space="0" w:color="FFFFFF" w:themeColor="background1"/>
              <w:bottom w:val="single" w:sz="4" w:space="0" w:color="0067AB"/>
            </w:tcBorders>
            <w:shd w:val="clear" w:color="auto" w:fill="0067AB"/>
            <w:vAlign w:val="bottom"/>
            <w:hideMark/>
          </w:tcPr>
          <w:p w14:paraId="5C83CEB9" w14:textId="77777777" w:rsidR="00350F25" w:rsidRPr="00350F25" w:rsidRDefault="00350F25" w:rsidP="00350F25">
            <w:pPr>
              <w:pStyle w:val="BodyText"/>
              <w:keepNext/>
              <w:spacing w:after="60"/>
              <w:jc w:val="center"/>
              <w:rPr>
                <w:b/>
                <w:bCs/>
                <w:iCs/>
                <w:color w:val="FFFFFF" w:themeColor="background1"/>
                <w:sz w:val="20"/>
                <w:szCs w:val="20"/>
              </w:rPr>
            </w:pPr>
            <w:r w:rsidRPr="00350F25">
              <w:rPr>
                <w:b/>
                <w:bCs/>
                <w:iCs/>
                <w:color w:val="FFFFFF" w:themeColor="background1"/>
                <w:sz w:val="20"/>
                <w:szCs w:val="20"/>
              </w:rPr>
              <w:t>Years to Pay Off Non-incentive Capital Costs With Fuel Savings Only</w:t>
            </w:r>
          </w:p>
        </w:tc>
      </w:tr>
      <w:tr w:rsidR="00350F25" w:rsidRPr="002413B0" w14:paraId="6A3D6EB3" w14:textId="77777777" w:rsidTr="00350F25">
        <w:trPr>
          <w:trHeight w:val="300"/>
        </w:trPr>
        <w:tc>
          <w:tcPr>
            <w:tcW w:w="1390" w:type="dxa"/>
            <w:vMerge w:val="restart"/>
            <w:tcBorders>
              <w:top w:val="single" w:sz="4" w:space="0" w:color="0067AB"/>
              <w:left w:val="single" w:sz="4" w:space="0" w:color="0067AB"/>
              <w:bottom w:val="single" w:sz="4" w:space="0" w:color="0067AB"/>
              <w:right w:val="single" w:sz="4" w:space="0" w:color="0067AB"/>
            </w:tcBorders>
            <w:noWrap/>
            <w:vAlign w:val="center"/>
            <w:hideMark/>
          </w:tcPr>
          <w:p w14:paraId="26A61B33" w14:textId="77777777" w:rsidR="00350F25" w:rsidRPr="00350F25" w:rsidRDefault="00350F25" w:rsidP="00350F25">
            <w:pPr>
              <w:pStyle w:val="BodyText"/>
              <w:keepNext/>
              <w:spacing w:after="0"/>
              <w:rPr>
                <w:iCs/>
                <w:sz w:val="20"/>
                <w:szCs w:val="20"/>
              </w:rPr>
            </w:pPr>
            <w:r w:rsidRPr="00350F25">
              <w:rPr>
                <w:iCs/>
                <w:sz w:val="20"/>
                <w:szCs w:val="20"/>
              </w:rPr>
              <w:t>Hybrid </w:t>
            </w:r>
          </w:p>
        </w:tc>
        <w:tc>
          <w:tcPr>
            <w:tcW w:w="1296" w:type="dxa"/>
            <w:vMerge w:val="restart"/>
            <w:tcBorders>
              <w:top w:val="single" w:sz="4" w:space="0" w:color="0067AB"/>
              <w:left w:val="single" w:sz="4" w:space="0" w:color="0067AB"/>
              <w:bottom w:val="single" w:sz="4" w:space="0" w:color="0067AB"/>
              <w:right w:val="single" w:sz="4" w:space="0" w:color="0067AB"/>
            </w:tcBorders>
            <w:noWrap/>
            <w:vAlign w:val="center"/>
            <w:hideMark/>
          </w:tcPr>
          <w:p w14:paraId="4D6E499F" w14:textId="77777777" w:rsidR="00350F25" w:rsidRPr="00350F25" w:rsidRDefault="00350F25" w:rsidP="00350F25">
            <w:pPr>
              <w:pStyle w:val="BodyText"/>
              <w:keepNext/>
              <w:spacing w:after="0"/>
              <w:jc w:val="center"/>
              <w:rPr>
                <w:iCs/>
                <w:sz w:val="20"/>
                <w:szCs w:val="20"/>
              </w:rPr>
            </w:pPr>
            <w:r w:rsidRPr="00350F25">
              <w:rPr>
                <w:iCs/>
                <w:sz w:val="20"/>
                <w:szCs w:val="20"/>
              </w:rPr>
              <w:t>3,214</w:t>
            </w:r>
          </w:p>
        </w:tc>
        <w:tc>
          <w:tcPr>
            <w:tcW w:w="1296" w:type="dxa"/>
            <w:vMerge w:val="restart"/>
            <w:tcBorders>
              <w:top w:val="single" w:sz="4" w:space="0" w:color="0067AB"/>
              <w:left w:val="single" w:sz="4" w:space="0" w:color="0067AB"/>
              <w:bottom w:val="single" w:sz="4" w:space="0" w:color="0067AB"/>
              <w:right w:val="single" w:sz="4" w:space="0" w:color="0067AB"/>
            </w:tcBorders>
            <w:noWrap/>
            <w:vAlign w:val="center"/>
            <w:hideMark/>
          </w:tcPr>
          <w:p w14:paraId="1B0B274A" w14:textId="77777777" w:rsidR="00350F25" w:rsidRPr="00350F25" w:rsidRDefault="00350F25" w:rsidP="00350F25">
            <w:pPr>
              <w:pStyle w:val="BodyText"/>
              <w:keepNext/>
              <w:spacing w:after="0"/>
              <w:jc w:val="center"/>
              <w:rPr>
                <w:iCs/>
                <w:sz w:val="20"/>
                <w:szCs w:val="20"/>
              </w:rPr>
            </w:pPr>
            <w:r w:rsidRPr="00350F25">
              <w:rPr>
                <w:iCs/>
                <w:sz w:val="20"/>
                <w:szCs w:val="20"/>
              </w:rPr>
              <w:t>$1,484,600</w:t>
            </w:r>
          </w:p>
        </w:tc>
        <w:tc>
          <w:tcPr>
            <w:tcW w:w="1296" w:type="dxa"/>
            <w:vMerge w:val="restart"/>
            <w:tcBorders>
              <w:top w:val="single" w:sz="4" w:space="0" w:color="0067AB"/>
              <w:left w:val="single" w:sz="4" w:space="0" w:color="0067AB"/>
              <w:bottom w:val="single" w:sz="4" w:space="0" w:color="0067AB"/>
              <w:right w:val="single" w:sz="4" w:space="0" w:color="0067AB"/>
            </w:tcBorders>
            <w:noWrap/>
            <w:vAlign w:val="center"/>
            <w:hideMark/>
          </w:tcPr>
          <w:p w14:paraId="15EF0326" w14:textId="77777777" w:rsidR="00350F25" w:rsidRPr="00350F25" w:rsidRDefault="00350F25" w:rsidP="00350F25">
            <w:pPr>
              <w:pStyle w:val="BodyText"/>
              <w:keepNext/>
              <w:spacing w:after="0"/>
              <w:jc w:val="center"/>
              <w:rPr>
                <w:iCs/>
                <w:sz w:val="20"/>
                <w:szCs w:val="20"/>
              </w:rPr>
            </w:pPr>
            <w:r w:rsidRPr="00350F25">
              <w:rPr>
                <w:iCs/>
                <w:sz w:val="20"/>
                <w:szCs w:val="20"/>
              </w:rPr>
              <w:t>$453,568</w:t>
            </w:r>
          </w:p>
        </w:tc>
        <w:tc>
          <w:tcPr>
            <w:tcW w:w="1152" w:type="dxa"/>
            <w:tcBorders>
              <w:top w:val="single" w:sz="4" w:space="0" w:color="0067AB"/>
              <w:left w:val="single" w:sz="4" w:space="0" w:color="0067AB"/>
              <w:bottom w:val="single" w:sz="4" w:space="0" w:color="0067AB"/>
              <w:right w:val="single" w:sz="4" w:space="0" w:color="0067AB"/>
            </w:tcBorders>
            <w:noWrap/>
            <w:vAlign w:val="center"/>
            <w:hideMark/>
          </w:tcPr>
          <w:p w14:paraId="0D58844D" w14:textId="77777777" w:rsidR="00350F25" w:rsidRPr="00350F25" w:rsidRDefault="00350F25" w:rsidP="00350F25">
            <w:pPr>
              <w:pStyle w:val="BodyText"/>
              <w:keepNext/>
              <w:spacing w:after="0"/>
              <w:jc w:val="center"/>
              <w:rPr>
                <w:iCs/>
                <w:sz w:val="20"/>
                <w:szCs w:val="20"/>
              </w:rPr>
            </w:pPr>
            <w:r w:rsidRPr="00350F25">
              <w:rPr>
                <w:iCs/>
                <w:sz w:val="20"/>
                <w:szCs w:val="20"/>
              </w:rPr>
              <w:t>25%</w:t>
            </w:r>
          </w:p>
        </w:tc>
        <w:tc>
          <w:tcPr>
            <w:tcW w:w="1309" w:type="dxa"/>
            <w:tcBorders>
              <w:top w:val="single" w:sz="4" w:space="0" w:color="0067AB"/>
              <w:left w:val="single" w:sz="4" w:space="0" w:color="0067AB"/>
              <w:bottom w:val="single" w:sz="4" w:space="0" w:color="0067AB"/>
              <w:right w:val="single" w:sz="4" w:space="0" w:color="0067AB"/>
            </w:tcBorders>
            <w:noWrap/>
            <w:vAlign w:val="center"/>
            <w:hideMark/>
          </w:tcPr>
          <w:p w14:paraId="17D839FE" w14:textId="77777777" w:rsidR="00350F25" w:rsidRPr="00350F25" w:rsidRDefault="00350F25" w:rsidP="00350F25">
            <w:pPr>
              <w:pStyle w:val="BodyText"/>
              <w:keepNext/>
              <w:spacing w:after="0"/>
              <w:jc w:val="center"/>
              <w:rPr>
                <w:iCs/>
                <w:sz w:val="20"/>
                <w:szCs w:val="20"/>
              </w:rPr>
            </w:pPr>
            <w:r w:rsidRPr="00350F25">
              <w:rPr>
                <w:iCs/>
                <w:sz w:val="20"/>
                <w:szCs w:val="20"/>
              </w:rPr>
              <w:t>$115</w:t>
            </w:r>
          </w:p>
        </w:tc>
        <w:tc>
          <w:tcPr>
            <w:tcW w:w="1776" w:type="dxa"/>
            <w:tcBorders>
              <w:top w:val="single" w:sz="4" w:space="0" w:color="0067AB"/>
              <w:left w:val="single" w:sz="4" w:space="0" w:color="0067AB"/>
              <w:bottom w:val="single" w:sz="4" w:space="0" w:color="0067AB"/>
              <w:right w:val="single" w:sz="4" w:space="0" w:color="0067AB"/>
            </w:tcBorders>
            <w:noWrap/>
            <w:vAlign w:val="center"/>
            <w:hideMark/>
          </w:tcPr>
          <w:p w14:paraId="5D358BB4" w14:textId="77777777" w:rsidR="00350F25" w:rsidRPr="00350F25" w:rsidRDefault="00350F25" w:rsidP="00350F25">
            <w:pPr>
              <w:pStyle w:val="BodyText"/>
              <w:keepNext/>
              <w:spacing w:after="0"/>
              <w:jc w:val="center"/>
              <w:rPr>
                <w:iCs/>
                <w:sz w:val="20"/>
                <w:szCs w:val="20"/>
              </w:rPr>
            </w:pPr>
            <w:r w:rsidRPr="00350F25">
              <w:rPr>
                <w:iCs/>
                <w:sz w:val="20"/>
                <w:szCs w:val="20"/>
              </w:rPr>
              <w:t>29</w:t>
            </w:r>
          </w:p>
        </w:tc>
      </w:tr>
      <w:tr w:rsidR="00350F25" w:rsidRPr="002413B0" w14:paraId="61655EB4" w14:textId="77777777" w:rsidTr="00350F25">
        <w:trPr>
          <w:trHeight w:val="300"/>
        </w:trPr>
        <w:tc>
          <w:tcPr>
            <w:tcW w:w="1390" w:type="dxa"/>
            <w:vMerge/>
            <w:tcBorders>
              <w:top w:val="single" w:sz="4" w:space="0" w:color="0067AB"/>
              <w:left w:val="single" w:sz="4" w:space="0" w:color="0067AB"/>
              <w:bottom w:val="single" w:sz="4" w:space="0" w:color="0067AB"/>
              <w:right w:val="single" w:sz="4" w:space="0" w:color="0067AB"/>
            </w:tcBorders>
            <w:noWrap/>
            <w:vAlign w:val="center"/>
            <w:hideMark/>
          </w:tcPr>
          <w:p w14:paraId="51CCC1F6" w14:textId="77777777" w:rsidR="00350F25" w:rsidRPr="00350F25" w:rsidRDefault="00350F25" w:rsidP="00350F25">
            <w:pPr>
              <w:pStyle w:val="BodyText"/>
              <w:keepNext/>
              <w:spacing w:after="0"/>
              <w:rPr>
                <w:iCs/>
                <w:sz w:val="20"/>
                <w:szCs w:val="20"/>
              </w:rPr>
            </w:pPr>
          </w:p>
        </w:tc>
        <w:tc>
          <w:tcPr>
            <w:tcW w:w="1296" w:type="dxa"/>
            <w:vMerge/>
            <w:tcBorders>
              <w:top w:val="single" w:sz="4" w:space="0" w:color="0067AB"/>
              <w:left w:val="single" w:sz="4" w:space="0" w:color="0067AB"/>
              <w:bottom w:val="single" w:sz="4" w:space="0" w:color="0067AB"/>
              <w:right w:val="single" w:sz="4" w:space="0" w:color="0067AB"/>
            </w:tcBorders>
            <w:noWrap/>
            <w:vAlign w:val="center"/>
            <w:hideMark/>
          </w:tcPr>
          <w:p w14:paraId="3739DAA7" w14:textId="77777777" w:rsidR="00350F25" w:rsidRPr="00350F25" w:rsidRDefault="00350F25" w:rsidP="00350F25">
            <w:pPr>
              <w:pStyle w:val="BodyText"/>
              <w:keepNext/>
              <w:spacing w:after="0"/>
              <w:jc w:val="center"/>
              <w:rPr>
                <w:iCs/>
                <w:sz w:val="20"/>
                <w:szCs w:val="20"/>
              </w:rPr>
            </w:pPr>
          </w:p>
        </w:tc>
        <w:tc>
          <w:tcPr>
            <w:tcW w:w="1296" w:type="dxa"/>
            <w:vMerge/>
            <w:tcBorders>
              <w:top w:val="single" w:sz="4" w:space="0" w:color="0067AB"/>
              <w:left w:val="single" w:sz="4" w:space="0" w:color="0067AB"/>
              <w:bottom w:val="single" w:sz="4" w:space="0" w:color="0067AB"/>
              <w:right w:val="single" w:sz="4" w:space="0" w:color="0067AB"/>
            </w:tcBorders>
            <w:noWrap/>
            <w:vAlign w:val="center"/>
            <w:hideMark/>
          </w:tcPr>
          <w:p w14:paraId="4185FBCE" w14:textId="77777777" w:rsidR="00350F25" w:rsidRPr="00350F25" w:rsidRDefault="00350F25" w:rsidP="00350F25">
            <w:pPr>
              <w:pStyle w:val="BodyText"/>
              <w:keepNext/>
              <w:spacing w:after="0"/>
              <w:jc w:val="center"/>
              <w:rPr>
                <w:iCs/>
                <w:sz w:val="20"/>
                <w:szCs w:val="20"/>
              </w:rPr>
            </w:pPr>
          </w:p>
        </w:tc>
        <w:tc>
          <w:tcPr>
            <w:tcW w:w="1296" w:type="dxa"/>
            <w:vMerge/>
            <w:tcBorders>
              <w:top w:val="single" w:sz="4" w:space="0" w:color="0067AB"/>
              <w:left w:val="single" w:sz="4" w:space="0" w:color="0067AB"/>
              <w:bottom w:val="single" w:sz="4" w:space="0" w:color="0067AB"/>
              <w:right w:val="single" w:sz="4" w:space="0" w:color="0067AB"/>
            </w:tcBorders>
            <w:noWrap/>
            <w:vAlign w:val="center"/>
            <w:hideMark/>
          </w:tcPr>
          <w:p w14:paraId="4C19DE15" w14:textId="77777777" w:rsidR="00350F25" w:rsidRPr="00350F25" w:rsidRDefault="00350F25" w:rsidP="00350F25">
            <w:pPr>
              <w:pStyle w:val="BodyText"/>
              <w:keepNext/>
              <w:spacing w:after="0"/>
              <w:jc w:val="center"/>
              <w:rPr>
                <w:iCs/>
                <w:sz w:val="20"/>
                <w:szCs w:val="20"/>
              </w:rPr>
            </w:pPr>
          </w:p>
        </w:tc>
        <w:tc>
          <w:tcPr>
            <w:tcW w:w="1152" w:type="dxa"/>
            <w:tcBorders>
              <w:top w:val="single" w:sz="4" w:space="0" w:color="0067AB"/>
              <w:left w:val="single" w:sz="4" w:space="0" w:color="0067AB"/>
              <w:bottom w:val="single" w:sz="4" w:space="0" w:color="0067AB"/>
              <w:right w:val="single" w:sz="4" w:space="0" w:color="0067AB"/>
            </w:tcBorders>
            <w:noWrap/>
            <w:vAlign w:val="center"/>
            <w:hideMark/>
          </w:tcPr>
          <w:p w14:paraId="1769BA13" w14:textId="77777777" w:rsidR="00350F25" w:rsidRPr="00350F25" w:rsidRDefault="00350F25" w:rsidP="00350F25">
            <w:pPr>
              <w:pStyle w:val="BodyText"/>
              <w:keepNext/>
              <w:spacing w:after="0"/>
              <w:jc w:val="center"/>
              <w:rPr>
                <w:iCs/>
                <w:sz w:val="20"/>
                <w:szCs w:val="20"/>
              </w:rPr>
            </w:pPr>
            <w:r w:rsidRPr="00350F25">
              <w:rPr>
                <w:iCs/>
                <w:sz w:val="20"/>
                <w:szCs w:val="20"/>
              </w:rPr>
              <w:t>50%</w:t>
            </w:r>
          </w:p>
        </w:tc>
        <w:tc>
          <w:tcPr>
            <w:tcW w:w="1309" w:type="dxa"/>
            <w:tcBorders>
              <w:top w:val="single" w:sz="4" w:space="0" w:color="0067AB"/>
              <w:left w:val="single" w:sz="4" w:space="0" w:color="0067AB"/>
              <w:bottom w:val="single" w:sz="4" w:space="0" w:color="0067AB"/>
              <w:right w:val="single" w:sz="4" w:space="0" w:color="0067AB"/>
            </w:tcBorders>
            <w:noWrap/>
            <w:vAlign w:val="center"/>
            <w:hideMark/>
          </w:tcPr>
          <w:p w14:paraId="4E143AB3" w14:textId="77777777" w:rsidR="00350F25" w:rsidRPr="00350F25" w:rsidRDefault="00350F25" w:rsidP="00350F25">
            <w:pPr>
              <w:pStyle w:val="BodyText"/>
              <w:keepNext/>
              <w:spacing w:after="0"/>
              <w:jc w:val="center"/>
              <w:rPr>
                <w:iCs/>
                <w:sz w:val="20"/>
                <w:szCs w:val="20"/>
              </w:rPr>
            </w:pPr>
            <w:r w:rsidRPr="00350F25">
              <w:rPr>
                <w:iCs/>
                <w:sz w:val="20"/>
                <w:szCs w:val="20"/>
              </w:rPr>
              <w:t>$231</w:t>
            </w:r>
          </w:p>
        </w:tc>
        <w:tc>
          <w:tcPr>
            <w:tcW w:w="1776" w:type="dxa"/>
            <w:tcBorders>
              <w:top w:val="single" w:sz="4" w:space="0" w:color="0067AB"/>
              <w:left w:val="single" w:sz="4" w:space="0" w:color="0067AB"/>
              <w:bottom w:val="single" w:sz="4" w:space="0" w:color="0067AB"/>
              <w:right w:val="single" w:sz="4" w:space="0" w:color="0067AB"/>
            </w:tcBorders>
            <w:noWrap/>
            <w:vAlign w:val="center"/>
            <w:hideMark/>
          </w:tcPr>
          <w:p w14:paraId="791CD006" w14:textId="77777777" w:rsidR="00350F25" w:rsidRPr="00350F25" w:rsidRDefault="00350F25" w:rsidP="00350F25">
            <w:pPr>
              <w:pStyle w:val="BodyText"/>
              <w:keepNext/>
              <w:spacing w:after="0"/>
              <w:jc w:val="center"/>
              <w:rPr>
                <w:iCs/>
                <w:sz w:val="20"/>
                <w:szCs w:val="20"/>
              </w:rPr>
            </w:pPr>
            <w:r w:rsidRPr="00350F25">
              <w:rPr>
                <w:iCs/>
                <w:sz w:val="20"/>
                <w:szCs w:val="20"/>
              </w:rPr>
              <w:t>20</w:t>
            </w:r>
          </w:p>
        </w:tc>
      </w:tr>
      <w:tr w:rsidR="00350F25" w:rsidRPr="002413B0" w14:paraId="777956C1" w14:textId="77777777" w:rsidTr="00350F25">
        <w:trPr>
          <w:trHeight w:val="300"/>
        </w:trPr>
        <w:tc>
          <w:tcPr>
            <w:tcW w:w="1390" w:type="dxa"/>
            <w:vMerge/>
            <w:tcBorders>
              <w:top w:val="single" w:sz="4" w:space="0" w:color="0067AB"/>
              <w:left w:val="single" w:sz="4" w:space="0" w:color="0067AB"/>
              <w:bottom w:val="single" w:sz="4" w:space="0" w:color="0067AB"/>
              <w:right w:val="single" w:sz="4" w:space="0" w:color="0067AB"/>
            </w:tcBorders>
            <w:noWrap/>
            <w:vAlign w:val="center"/>
            <w:hideMark/>
          </w:tcPr>
          <w:p w14:paraId="08EF0838" w14:textId="77777777" w:rsidR="00350F25" w:rsidRPr="00350F25" w:rsidRDefault="00350F25" w:rsidP="00350F25">
            <w:pPr>
              <w:pStyle w:val="BodyText"/>
              <w:keepNext/>
              <w:spacing w:after="0"/>
              <w:rPr>
                <w:iCs/>
                <w:sz w:val="20"/>
                <w:szCs w:val="20"/>
              </w:rPr>
            </w:pPr>
          </w:p>
        </w:tc>
        <w:tc>
          <w:tcPr>
            <w:tcW w:w="1296" w:type="dxa"/>
            <w:vMerge/>
            <w:tcBorders>
              <w:top w:val="single" w:sz="4" w:space="0" w:color="0067AB"/>
              <w:left w:val="single" w:sz="4" w:space="0" w:color="0067AB"/>
              <w:bottom w:val="single" w:sz="4" w:space="0" w:color="0067AB"/>
              <w:right w:val="single" w:sz="4" w:space="0" w:color="0067AB"/>
            </w:tcBorders>
            <w:noWrap/>
            <w:vAlign w:val="center"/>
            <w:hideMark/>
          </w:tcPr>
          <w:p w14:paraId="551B043D" w14:textId="77777777" w:rsidR="00350F25" w:rsidRPr="00350F25" w:rsidRDefault="00350F25" w:rsidP="00350F25">
            <w:pPr>
              <w:pStyle w:val="BodyText"/>
              <w:keepNext/>
              <w:spacing w:after="0"/>
              <w:jc w:val="center"/>
              <w:rPr>
                <w:iCs/>
                <w:sz w:val="20"/>
                <w:szCs w:val="20"/>
              </w:rPr>
            </w:pPr>
          </w:p>
        </w:tc>
        <w:tc>
          <w:tcPr>
            <w:tcW w:w="1296" w:type="dxa"/>
            <w:vMerge/>
            <w:tcBorders>
              <w:top w:val="single" w:sz="4" w:space="0" w:color="0067AB"/>
              <w:left w:val="single" w:sz="4" w:space="0" w:color="0067AB"/>
              <w:bottom w:val="single" w:sz="4" w:space="0" w:color="0067AB"/>
              <w:right w:val="single" w:sz="4" w:space="0" w:color="0067AB"/>
            </w:tcBorders>
            <w:noWrap/>
            <w:vAlign w:val="center"/>
            <w:hideMark/>
          </w:tcPr>
          <w:p w14:paraId="087E8556" w14:textId="77777777" w:rsidR="00350F25" w:rsidRPr="00350F25" w:rsidRDefault="00350F25" w:rsidP="00350F25">
            <w:pPr>
              <w:pStyle w:val="BodyText"/>
              <w:keepNext/>
              <w:spacing w:after="0"/>
              <w:jc w:val="center"/>
              <w:rPr>
                <w:iCs/>
                <w:sz w:val="20"/>
                <w:szCs w:val="20"/>
              </w:rPr>
            </w:pPr>
          </w:p>
        </w:tc>
        <w:tc>
          <w:tcPr>
            <w:tcW w:w="1296" w:type="dxa"/>
            <w:vMerge/>
            <w:tcBorders>
              <w:top w:val="single" w:sz="4" w:space="0" w:color="0067AB"/>
              <w:left w:val="single" w:sz="4" w:space="0" w:color="0067AB"/>
              <w:bottom w:val="single" w:sz="4" w:space="0" w:color="0067AB"/>
              <w:right w:val="single" w:sz="4" w:space="0" w:color="0067AB"/>
            </w:tcBorders>
            <w:noWrap/>
            <w:vAlign w:val="center"/>
            <w:hideMark/>
          </w:tcPr>
          <w:p w14:paraId="78CDDA4D" w14:textId="77777777" w:rsidR="00350F25" w:rsidRPr="00350F25" w:rsidRDefault="00350F25" w:rsidP="00350F25">
            <w:pPr>
              <w:pStyle w:val="BodyText"/>
              <w:keepNext/>
              <w:spacing w:after="0"/>
              <w:jc w:val="center"/>
              <w:rPr>
                <w:iCs/>
                <w:sz w:val="20"/>
                <w:szCs w:val="20"/>
              </w:rPr>
            </w:pPr>
          </w:p>
        </w:tc>
        <w:tc>
          <w:tcPr>
            <w:tcW w:w="1152" w:type="dxa"/>
            <w:tcBorders>
              <w:top w:val="single" w:sz="4" w:space="0" w:color="0067AB"/>
              <w:left w:val="single" w:sz="4" w:space="0" w:color="0067AB"/>
              <w:bottom w:val="single" w:sz="4" w:space="0" w:color="0067AB"/>
              <w:right w:val="single" w:sz="4" w:space="0" w:color="0067AB"/>
            </w:tcBorders>
            <w:noWrap/>
            <w:vAlign w:val="center"/>
            <w:hideMark/>
          </w:tcPr>
          <w:p w14:paraId="0C3CC6AB" w14:textId="77777777" w:rsidR="00350F25" w:rsidRPr="00350F25" w:rsidRDefault="00350F25" w:rsidP="00350F25">
            <w:pPr>
              <w:pStyle w:val="BodyText"/>
              <w:keepNext/>
              <w:spacing w:after="0"/>
              <w:jc w:val="center"/>
              <w:rPr>
                <w:iCs/>
                <w:sz w:val="20"/>
                <w:szCs w:val="20"/>
              </w:rPr>
            </w:pPr>
            <w:r w:rsidRPr="00350F25">
              <w:rPr>
                <w:iCs/>
                <w:sz w:val="20"/>
                <w:szCs w:val="20"/>
              </w:rPr>
              <w:t>75%</w:t>
            </w:r>
          </w:p>
        </w:tc>
        <w:tc>
          <w:tcPr>
            <w:tcW w:w="1309" w:type="dxa"/>
            <w:tcBorders>
              <w:top w:val="single" w:sz="4" w:space="0" w:color="0067AB"/>
              <w:left w:val="single" w:sz="4" w:space="0" w:color="0067AB"/>
              <w:bottom w:val="single" w:sz="4" w:space="0" w:color="0067AB"/>
              <w:right w:val="single" w:sz="4" w:space="0" w:color="0067AB"/>
            </w:tcBorders>
            <w:noWrap/>
            <w:vAlign w:val="center"/>
            <w:hideMark/>
          </w:tcPr>
          <w:p w14:paraId="129E49FE" w14:textId="77777777" w:rsidR="00350F25" w:rsidRPr="00350F25" w:rsidRDefault="00350F25" w:rsidP="00350F25">
            <w:pPr>
              <w:pStyle w:val="BodyText"/>
              <w:keepNext/>
              <w:spacing w:after="0"/>
              <w:jc w:val="center"/>
              <w:rPr>
                <w:iCs/>
                <w:sz w:val="20"/>
                <w:szCs w:val="20"/>
              </w:rPr>
            </w:pPr>
            <w:r w:rsidRPr="00350F25">
              <w:rPr>
                <w:iCs/>
                <w:sz w:val="20"/>
                <w:szCs w:val="20"/>
              </w:rPr>
              <w:t>$346</w:t>
            </w:r>
          </w:p>
        </w:tc>
        <w:tc>
          <w:tcPr>
            <w:tcW w:w="1776" w:type="dxa"/>
            <w:tcBorders>
              <w:top w:val="single" w:sz="4" w:space="0" w:color="0067AB"/>
              <w:left w:val="single" w:sz="4" w:space="0" w:color="0067AB"/>
              <w:bottom w:val="single" w:sz="4" w:space="0" w:color="0067AB"/>
              <w:right w:val="single" w:sz="4" w:space="0" w:color="0067AB"/>
            </w:tcBorders>
            <w:noWrap/>
            <w:vAlign w:val="center"/>
            <w:hideMark/>
          </w:tcPr>
          <w:p w14:paraId="5D894DC5" w14:textId="77777777" w:rsidR="00350F25" w:rsidRPr="00350F25" w:rsidRDefault="00350F25" w:rsidP="00350F25">
            <w:pPr>
              <w:pStyle w:val="BodyText"/>
              <w:keepNext/>
              <w:spacing w:after="0"/>
              <w:jc w:val="center"/>
              <w:rPr>
                <w:iCs/>
                <w:sz w:val="20"/>
                <w:szCs w:val="20"/>
              </w:rPr>
            </w:pPr>
            <w:r w:rsidRPr="00350F25">
              <w:rPr>
                <w:iCs/>
                <w:sz w:val="20"/>
                <w:szCs w:val="20"/>
              </w:rPr>
              <w:t>10</w:t>
            </w:r>
          </w:p>
        </w:tc>
      </w:tr>
      <w:tr w:rsidR="00350F25" w:rsidRPr="002413B0" w14:paraId="21B21860" w14:textId="77777777" w:rsidTr="00350F25">
        <w:trPr>
          <w:trHeight w:val="300"/>
        </w:trPr>
        <w:tc>
          <w:tcPr>
            <w:tcW w:w="1390" w:type="dxa"/>
            <w:vMerge w:val="restart"/>
            <w:tcBorders>
              <w:top w:val="single" w:sz="4" w:space="0" w:color="0067AB"/>
              <w:left w:val="single" w:sz="4" w:space="0" w:color="0067AB"/>
              <w:bottom w:val="single" w:sz="4" w:space="0" w:color="0067AB"/>
              <w:right w:val="single" w:sz="4" w:space="0" w:color="0067AB"/>
            </w:tcBorders>
            <w:noWrap/>
            <w:vAlign w:val="center"/>
            <w:hideMark/>
          </w:tcPr>
          <w:p w14:paraId="0502224D" w14:textId="77777777" w:rsidR="00350F25" w:rsidRPr="00350F25" w:rsidRDefault="00350F25" w:rsidP="00350F25">
            <w:pPr>
              <w:pStyle w:val="BodyText"/>
              <w:spacing w:after="0"/>
              <w:rPr>
                <w:iCs/>
                <w:sz w:val="20"/>
                <w:szCs w:val="20"/>
              </w:rPr>
            </w:pPr>
            <w:r w:rsidRPr="00350F25">
              <w:rPr>
                <w:iCs/>
                <w:sz w:val="20"/>
                <w:szCs w:val="20"/>
              </w:rPr>
              <w:t>Electric</w:t>
            </w:r>
          </w:p>
        </w:tc>
        <w:tc>
          <w:tcPr>
            <w:tcW w:w="1296" w:type="dxa"/>
            <w:vMerge w:val="restart"/>
            <w:tcBorders>
              <w:top w:val="single" w:sz="4" w:space="0" w:color="0067AB"/>
              <w:left w:val="single" w:sz="4" w:space="0" w:color="0067AB"/>
              <w:bottom w:val="single" w:sz="4" w:space="0" w:color="0067AB"/>
              <w:right w:val="single" w:sz="4" w:space="0" w:color="0067AB"/>
            </w:tcBorders>
            <w:noWrap/>
            <w:vAlign w:val="center"/>
            <w:hideMark/>
          </w:tcPr>
          <w:p w14:paraId="3DEAA4F0" w14:textId="77777777" w:rsidR="00350F25" w:rsidRPr="00350F25" w:rsidRDefault="00350F25" w:rsidP="00350F25">
            <w:pPr>
              <w:pStyle w:val="BodyText"/>
              <w:spacing w:after="0"/>
              <w:jc w:val="center"/>
              <w:rPr>
                <w:iCs/>
                <w:sz w:val="20"/>
                <w:szCs w:val="20"/>
              </w:rPr>
            </w:pPr>
            <w:r w:rsidRPr="00350F25">
              <w:rPr>
                <w:iCs/>
                <w:sz w:val="20"/>
                <w:szCs w:val="20"/>
              </w:rPr>
              <w:t>5,526</w:t>
            </w:r>
          </w:p>
        </w:tc>
        <w:tc>
          <w:tcPr>
            <w:tcW w:w="1296" w:type="dxa"/>
            <w:vMerge w:val="restart"/>
            <w:tcBorders>
              <w:top w:val="single" w:sz="4" w:space="0" w:color="0067AB"/>
              <w:left w:val="single" w:sz="4" w:space="0" w:color="0067AB"/>
              <w:bottom w:val="single" w:sz="4" w:space="0" w:color="0067AB"/>
              <w:right w:val="single" w:sz="4" w:space="0" w:color="0067AB"/>
            </w:tcBorders>
            <w:noWrap/>
            <w:vAlign w:val="center"/>
            <w:hideMark/>
          </w:tcPr>
          <w:p w14:paraId="6DC6512B" w14:textId="77777777" w:rsidR="00350F25" w:rsidRPr="00350F25" w:rsidRDefault="00350F25" w:rsidP="00350F25">
            <w:pPr>
              <w:pStyle w:val="BodyText"/>
              <w:spacing w:after="0"/>
              <w:jc w:val="center"/>
              <w:rPr>
                <w:iCs/>
                <w:sz w:val="20"/>
                <w:szCs w:val="20"/>
              </w:rPr>
            </w:pPr>
            <w:r w:rsidRPr="00350F25">
              <w:rPr>
                <w:iCs/>
                <w:sz w:val="20"/>
                <w:szCs w:val="20"/>
              </w:rPr>
              <w:t>$2,026,267</w:t>
            </w:r>
          </w:p>
        </w:tc>
        <w:tc>
          <w:tcPr>
            <w:tcW w:w="1296" w:type="dxa"/>
            <w:vMerge w:val="restart"/>
            <w:tcBorders>
              <w:top w:val="single" w:sz="4" w:space="0" w:color="0067AB"/>
              <w:left w:val="single" w:sz="4" w:space="0" w:color="0067AB"/>
              <w:bottom w:val="single" w:sz="4" w:space="0" w:color="0067AB"/>
              <w:right w:val="single" w:sz="4" w:space="0" w:color="0067AB"/>
            </w:tcBorders>
            <w:noWrap/>
            <w:vAlign w:val="center"/>
            <w:hideMark/>
          </w:tcPr>
          <w:p w14:paraId="6C24D17C" w14:textId="77777777" w:rsidR="00350F25" w:rsidRPr="00350F25" w:rsidRDefault="00350F25" w:rsidP="00350F25">
            <w:pPr>
              <w:pStyle w:val="BodyText"/>
              <w:spacing w:after="0"/>
              <w:jc w:val="center"/>
              <w:rPr>
                <w:iCs/>
                <w:sz w:val="20"/>
                <w:szCs w:val="20"/>
              </w:rPr>
            </w:pPr>
            <w:r w:rsidRPr="00350F25">
              <w:rPr>
                <w:iCs/>
                <w:sz w:val="20"/>
                <w:szCs w:val="20"/>
              </w:rPr>
              <w:t>$528,349</w:t>
            </w:r>
          </w:p>
        </w:tc>
        <w:tc>
          <w:tcPr>
            <w:tcW w:w="1152" w:type="dxa"/>
            <w:tcBorders>
              <w:top w:val="single" w:sz="4" w:space="0" w:color="0067AB"/>
              <w:left w:val="single" w:sz="4" w:space="0" w:color="0067AB"/>
              <w:bottom w:val="single" w:sz="4" w:space="0" w:color="0067AB"/>
              <w:right w:val="single" w:sz="4" w:space="0" w:color="0067AB"/>
            </w:tcBorders>
            <w:noWrap/>
            <w:vAlign w:val="center"/>
            <w:hideMark/>
          </w:tcPr>
          <w:p w14:paraId="5B856D6B" w14:textId="77777777" w:rsidR="00350F25" w:rsidRPr="00350F25" w:rsidRDefault="00350F25" w:rsidP="00350F25">
            <w:pPr>
              <w:pStyle w:val="BodyText"/>
              <w:spacing w:after="0"/>
              <w:jc w:val="center"/>
              <w:rPr>
                <w:iCs/>
                <w:sz w:val="20"/>
                <w:szCs w:val="20"/>
              </w:rPr>
            </w:pPr>
            <w:r w:rsidRPr="00350F25">
              <w:rPr>
                <w:iCs/>
                <w:sz w:val="20"/>
                <w:szCs w:val="20"/>
              </w:rPr>
              <w:t>25%</w:t>
            </w:r>
          </w:p>
        </w:tc>
        <w:tc>
          <w:tcPr>
            <w:tcW w:w="1309" w:type="dxa"/>
            <w:tcBorders>
              <w:top w:val="single" w:sz="4" w:space="0" w:color="0067AB"/>
              <w:left w:val="single" w:sz="4" w:space="0" w:color="0067AB"/>
              <w:bottom w:val="single" w:sz="4" w:space="0" w:color="0067AB"/>
              <w:right w:val="single" w:sz="4" w:space="0" w:color="0067AB"/>
            </w:tcBorders>
            <w:noWrap/>
            <w:vAlign w:val="center"/>
            <w:hideMark/>
          </w:tcPr>
          <w:p w14:paraId="28C386F3" w14:textId="77777777" w:rsidR="00350F25" w:rsidRPr="00350F25" w:rsidRDefault="00350F25" w:rsidP="00350F25">
            <w:pPr>
              <w:pStyle w:val="BodyText"/>
              <w:spacing w:after="0"/>
              <w:jc w:val="center"/>
              <w:rPr>
                <w:iCs/>
                <w:sz w:val="20"/>
                <w:szCs w:val="20"/>
              </w:rPr>
            </w:pPr>
            <w:r w:rsidRPr="00350F25">
              <w:rPr>
                <w:iCs/>
                <w:sz w:val="20"/>
                <w:szCs w:val="20"/>
              </w:rPr>
              <w:t>$92</w:t>
            </w:r>
          </w:p>
        </w:tc>
        <w:tc>
          <w:tcPr>
            <w:tcW w:w="1776" w:type="dxa"/>
            <w:tcBorders>
              <w:top w:val="single" w:sz="4" w:space="0" w:color="0067AB"/>
              <w:left w:val="single" w:sz="4" w:space="0" w:color="0067AB"/>
              <w:bottom w:val="single" w:sz="4" w:space="0" w:color="0067AB"/>
              <w:right w:val="single" w:sz="4" w:space="0" w:color="0067AB"/>
            </w:tcBorders>
            <w:noWrap/>
            <w:vAlign w:val="center"/>
            <w:hideMark/>
          </w:tcPr>
          <w:p w14:paraId="701CF363" w14:textId="77777777" w:rsidR="00350F25" w:rsidRPr="00350F25" w:rsidRDefault="00350F25" w:rsidP="00350F25">
            <w:pPr>
              <w:pStyle w:val="BodyText"/>
              <w:spacing w:after="0"/>
              <w:jc w:val="center"/>
              <w:rPr>
                <w:iCs/>
                <w:sz w:val="20"/>
                <w:szCs w:val="20"/>
              </w:rPr>
            </w:pPr>
            <w:r w:rsidRPr="00350F25">
              <w:rPr>
                <w:iCs/>
                <w:sz w:val="20"/>
                <w:szCs w:val="20"/>
              </w:rPr>
              <w:t>35</w:t>
            </w:r>
          </w:p>
        </w:tc>
      </w:tr>
      <w:tr w:rsidR="00350F25" w:rsidRPr="002413B0" w14:paraId="74749E54" w14:textId="77777777" w:rsidTr="00350F25">
        <w:trPr>
          <w:trHeight w:val="300"/>
        </w:trPr>
        <w:tc>
          <w:tcPr>
            <w:tcW w:w="1390" w:type="dxa"/>
            <w:vMerge/>
            <w:tcBorders>
              <w:top w:val="single" w:sz="4" w:space="0" w:color="0067AB"/>
              <w:left w:val="single" w:sz="4" w:space="0" w:color="0067AB"/>
              <w:bottom w:val="single" w:sz="4" w:space="0" w:color="0067AB"/>
              <w:right w:val="single" w:sz="4" w:space="0" w:color="0067AB"/>
            </w:tcBorders>
            <w:noWrap/>
            <w:hideMark/>
          </w:tcPr>
          <w:p w14:paraId="485DD4A5" w14:textId="77777777" w:rsidR="00350F25" w:rsidRPr="00350F25" w:rsidRDefault="00350F25" w:rsidP="00350F25">
            <w:pPr>
              <w:pStyle w:val="BodyText"/>
              <w:spacing w:after="0"/>
              <w:rPr>
                <w:iCs/>
                <w:sz w:val="20"/>
                <w:szCs w:val="20"/>
              </w:rPr>
            </w:pPr>
          </w:p>
        </w:tc>
        <w:tc>
          <w:tcPr>
            <w:tcW w:w="1296" w:type="dxa"/>
            <w:vMerge/>
            <w:tcBorders>
              <w:top w:val="single" w:sz="4" w:space="0" w:color="0067AB"/>
              <w:left w:val="single" w:sz="4" w:space="0" w:color="0067AB"/>
              <w:bottom w:val="single" w:sz="4" w:space="0" w:color="0067AB"/>
              <w:right w:val="single" w:sz="4" w:space="0" w:color="0067AB"/>
            </w:tcBorders>
            <w:noWrap/>
            <w:vAlign w:val="center"/>
            <w:hideMark/>
          </w:tcPr>
          <w:p w14:paraId="52B39981" w14:textId="77777777" w:rsidR="00350F25" w:rsidRPr="00350F25" w:rsidRDefault="00350F25" w:rsidP="00350F25">
            <w:pPr>
              <w:pStyle w:val="BodyText"/>
              <w:spacing w:after="0"/>
              <w:jc w:val="center"/>
              <w:rPr>
                <w:iCs/>
                <w:sz w:val="20"/>
                <w:szCs w:val="20"/>
              </w:rPr>
            </w:pPr>
          </w:p>
        </w:tc>
        <w:tc>
          <w:tcPr>
            <w:tcW w:w="1296" w:type="dxa"/>
            <w:vMerge/>
            <w:tcBorders>
              <w:top w:val="single" w:sz="4" w:space="0" w:color="0067AB"/>
              <w:left w:val="single" w:sz="4" w:space="0" w:color="0067AB"/>
              <w:bottom w:val="single" w:sz="4" w:space="0" w:color="0067AB"/>
              <w:right w:val="single" w:sz="4" w:space="0" w:color="0067AB"/>
            </w:tcBorders>
            <w:noWrap/>
            <w:vAlign w:val="center"/>
            <w:hideMark/>
          </w:tcPr>
          <w:p w14:paraId="4F14C25A" w14:textId="77777777" w:rsidR="00350F25" w:rsidRPr="00350F25" w:rsidRDefault="00350F25" w:rsidP="00350F25">
            <w:pPr>
              <w:pStyle w:val="BodyText"/>
              <w:spacing w:after="0"/>
              <w:jc w:val="center"/>
              <w:rPr>
                <w:iCs/>
                <w:sz w:val="20"/>
                <w:szCs w:val="20"/>
              </w:rPr>
            </w:pPr>
          </w:p>
        </w:tc>
        <w:tc>
          <w:tcPr>
            <w:tcW w:w="1296" w:type="dxa"/>
            <w:vMerge/>
            <w:tcBorders>
              <w:top w:val="single" w:sz="4" w:space="0" w:color="0067AB"/>
              <w:left w:val="single" w:sz="4" w:space="0" w:color="0067AB"/>
              <w:bottom w:val="single" w:sz="4" w:space="0" w:color="0067AB"/>
              <w:right w:val="single" w:sz="4" w:space="0" w:color="0067AB"/>
            </w:tcBorders>
            <w:noWrap/>
            <w:vAlign w:val="center"/>
            <w:hideMark/>
          </w:tcPr>
          <w:p w14:paraId="6A70E463" w14:textId="77777777" w:rsidR="00350F25" w:rsidRPr="00350F25" w:rsidRDefault="00350F25" w:rsidP="00350F25">
            <w:pPr>
              <w:pStyle w:val="BodyText"/>
              <w:spacing w:after="0"/>
              <w:jc w:val="center"/>
              <w:rPr>
                <w:iCs/>
                <w:sz w:val="20"/>
                <w:szCs w:val="20"/>
              </w:rPr>
            </w:pPr>
          </w:p>
        </w:tc>
        <w:tc>
          <w:tcPr>
            <w:tcW w:w="1152" w:type="dxa"/>
            <w:tcBorders>
              <w:top w:val="single" w:sz="4" w:space="0" w:color="0067AB"/>
              <w:left w:val="single" w:sz="4" w:space="0" w:color="0067AB"/>
              <w:bottom w:val="single" w:sz="4" w:space="0" w:color="0067AB"/>
              <w:right w:val="single" w:sz="4" w:space="0" w:color="0067AB"/>
            </w:tcBorders>
            <w:noWrap/>
            <w:vAlign w:val="center"/>
            <w:hideMark/>
          </w:tcPr>
          <w:p w14:paraId="07F6A72C" w14:textId="77777777" w:rsidR="00350F25" w:rsidRPr="00350F25" w:rsidRDefault="00350F25" w:rsidP="00350F25">
            <w:pPr>
              <w:pStyle w:val="BodyText"/>
              <w:spacing w:after="0"/>
              <w:jc w:val="center"/>
              <w:rPr>
                <w:iCs/>
                <w:sz w:val="20"/>
                <w:szCs w:val="20"/>
              </w:rPr>
            </w:pPr>
            <w:r w:rsidRPr="00350F25">
              <w:rPr>
                <w:iCs/>
                <w:sz w:val="20"/>
                <w:szCs w:val="20"/>
              </w:rPr>
              <w:t>50%</w:t>
            </w:r>
          </w:p>
        </w:tc>
        <w:tc>
          <w:tcPr>
            <w:tcW w:w="1309" w:type="dxa"/>
            <w:tcBorders>
              <w:top w:val="single" w:sz="4" w:space="0" w:color="0067AB"/>
              <w:left w:val="single" w:sz="4" w:space="0" w:color="0067AB"/>
              <w:bottom w:val="single" w:sz="4" w:space="0" w:color="0067AB"/>
              <w:right w:val="single" w:sz="4" w:space="0" w:color="0067AB"/>
            </w:tcBorders>
            <w:noWrap/>
            <w:vAlign w:val="center"/>
            <w:hideMark/>
          </w:tcPr>
          <w:p w14:paraId="1C780A78" w14:textId="77777777" w:rsidR="00350F25" w:rsidRPr="00350F25" w:rsidRDefault="00350F25" w:rsidP="00350F25">
            <w:pPr>
              <w:pStyle w:val="BodyText"/>
              <w:spacing w:after="0"/>
              <w:jc w:val="center"/>
              <w:rPr>
                <w:iCs/>
                <w:sz w:val="20"/>
                <w:szCs w:val="20"/>
              </w:rPr>
            </w:pPr>
            <w:r w:rsidRPr="00350F25">
              <w:rPr>
                <w:iCs/>
                <w:sz w:val="20"/>
                <w:szCs w:val="20"/>
              </w:rPr>
              <w:t>$183</w:t>
            </w:r>
          </w:p>
        </w:tc>
        <w:tc>
          <w:tcPr>
            <w:tcW w:w="1776" w:type="dxa"/>
            <w:tcBorders>
              <w:top w:val="single" w:sz="4" w:space="0" w:color="0067AB"/>
              <w:left w:val="single" w:sz="4" w:space="0" w:color="0067AB"/>
              <w:bottom w:val="single" w:sz="4" w:space="0" w:color="0067AB"/>
              <w:right w:val="single" w:sz="4" w:space="0" w:color="0067AB"/>
            </w:tcBorders>
            <w:noWrap/>
            <w:vAlign w:val="center"/>
            <w:hideMark/>
          </w:tcPr>
          <w:p w14:paraId="44365C02" w14:textId="77777777" w:rsidR="00350F25" w:rsidRPr="00350F25" w:rsidRDefault="00350F25" w:rsidP="00350F25">
            <w:pPr>
              <w:pStyle w:val="BodyText"/>
              <w:spacing w:after="0"/>
              <w:jc w:val="center"/>
              <w:rPr>
                <w:iCs/>
                <w:sz w:val="20"/>
                <w:szCs w:val="20"/>
              </w:rPr>
            </w:pPr>
            <w:r w:rsidRPr="00350F25">
              <w:rPr>
                <w:iCs/>
                <w:sz w:val="20"/>
                <w:szCs w:val="20"/>
              </w:rPr>
              <w:t>23</w:t>
            </w:r>
          </w:p>
        </w:tc>
      </w:tr>
      <w:tr w:rsidR="00350F25" w:rsidRPr="002413B0" w14:paraId="767BF82D" w14:textId="77777777" w:rsidTr="00350F25">
        <w:trPr>
          <w:trHeight w:val="300"/>
        </w:trPr>
        <w:tc>
          <w:tcPr>
            <w:tcW w:w="1390" w:type="dxa"/>
            <w:vMerge/>
            <w:tcBorders>
              <w:top w:val="single" w:sz="4" w:space="0" w:color="0067AB"/>
              <w:left w:val="single" w:sz="4" w:space="0" w:color="0067AB"/>
              <w:bottom w:val="single" w:sz="4" w:space="0" w:color="0067AB"/>
              <w:right w:val="single" w:sz="4" w:space="0" w:color="0067AB"/>
            </w:tcBorders>
            <w:noWrap/>
            <w:hideMark/>
          </w:tcPr>
          <w:p w14:paraId="38EAE20B" w14:textId="77777777" w:rsidR="00350F25" w:rsidRPr="00350F25" w:rsidRDefault="00350F25" w:rsidP="00350F25">
            <w:pPr>
              <w:pStyle w:val="BodyText"/>
              <w:spacing w:after="0"/>
              <w:rPr>
                <w:iCs/>
                <w:sz w:val="20"/>
                <w:szCs w:val="20"/>
              </w:rPr>
            </w:pPr>
          </w:p>
        </w:tc>
        <w:tc>
          <w:tcPr>
            <w:tcW w:w="1296" w:type="dxa"/>
            <w:vMerge/>
            <w:tcBorders>
              <w:top w:val="single" w:sz="4" w:space="0" w:color="0067AB"/>
              <w:left w:val="single" w:sz="4" w:space="0" w:color="0067AB"/>
              <w:bottom w:val="single" w:sz="4" w:space="0" w:color="0067AB"/>
              <w:right w:val="single" w:sz="4" w:space="0" w:color="0067AB"/>
            </w:tcBorders>
            <w:noWrap/>
            <w:vAlign w:val="center"/>
            <w:hideMark/>
          </w:tcPr>
          <w:p w14:paraId="25EE9EA2" w14:textId="77777777" w:rsidR="00350F25" w:rsidRPr="00350F25" w:rsidRDefault="00350F25" w:rsidP="00350F25">
            <w:pPr>
              <w:pStyle w:val="BodyText"/>
              <w:spacing w:after="0"/>
              <w:jc w:val="center"/>
              <w:rPr>
                <w:iCs/>
                <w:sz w:val="20"/>
                <w:szCs w:val="20"/>
              </w:rPr>
            </w:pPr>
          </w:p>
        </w:tc>
        <w:tc>
          <w:tcPr>
            <w:tcW w:w="1296" w:type="dxa"/>
            <w:vMerge/>
            <w:tcBorders>
              <w:top w:val="single" w:sz="4" w:space="0" w:color="0067AB"/>
              <w:left w:val="single" w:sz="4" w:space="0" w:color="0067AB"/>
              <w:bottom w:val="single" w:sz="4" w:space="0" w:color="0067AB"/>
              <w:right w:val="single" w:sz="4" w:space="0" w:color="0067AB"/>
            </w:tcBorders>
            <w:noWrap/>
            <w:vAlign w:val="center"/>
            <w:hideMark/>
          </w:tcPr>
          <w:p w14:paraId="4E487023" w14:textId="77777777" w:rsidR="00350F25" w:rsidRPr="00350F25" w:rsidRDefault="00350F25" w:rsidP="00350F25">
            <w:pPr>
              <w:pStyle w:val="BodyText"/>
              <w:spacing w:after="0"/>
              <w:jc w:val="center"/>
              <w:rPr>
                <w:iCs/>
                <w:sz w:val="20"/>
                <w:szCs w:val="20"/>
              </w:rPr>
            </w:pPr>
          </w:p>
        </w:tc>
        <w:tc>
          <w:tcPr>
            <w:tcW w:w="1296" w:type="dxa"/>
            <w:vMerge/>
            <w:tcBorders>
              <w:top w:val="single" w:sz="4" w:space="0" w:color="0067AB"/>
              <w:left w:val="single" w:sz="4" w:space="0" w:color="0067AB"/>
              <w:bottom w:val="single" w:sz="4" w:space="0" w:color="0067AB"/>
              <w:right w:val="single" w:sz="4" w:space="0" w:color="0067AB"/>
            </w:tcBorders>
            <w:noWrap/>
            <w:vAlign w:val="center"/>
            <w:hideMark/>
          </w:tcPr>
          <w:p w14:paraId="4C02CCE6" w14:textId="77777777" w:rsidR="00350F25" w:rsidRPr="00350F25" w:rsidRDefault="00350F25" w:rsidP="00350F25">
            <w:pPr>
              <w:pStyle w:val="BodyText"/>
              <w:spacing w:after="0"/>
              <w:jc w:val="center"/>
              <w:rPr>
                <w:iCs/>
                <w:sz w:val="20"/>
                <w:szCs w:val="20"/>
              </w:rPr>
            </w:pPr>
          </w:p>
        </w:tc>
        <w:tc>
          <w:tcPr>
            <w:tcW w:w="1152" w:type="dxa"/>
            <w:tcBorders>
              <w:top w:val="single" w:sz="4" w:space="0" w:color="0067AB"/>
              <w:left w:val="single" w:sz="4" w:space="0" w:color="0067AB"/>
              <w:bottom w:val="single" w:sz="4" w:space="0" w:color="0067AB"/>
              <w:right w:val="single" w:sz="4" w:space="0" w:color="0067AB"/>
            </w:tcBorders>
            <w:noWrap/>
            <w:vAlign w:val="center"/>
            <w:hideMark/>
          </w:tcPr>
          <w:p w14:paraId="227B79C2" w14:textId="77777777" w:rsidR="00350F25" w:rsidRPr="00350F25" w:rsidRDefault="00350F25" w:rsidP="00350F25">
            <w:pPr>
              <w:pStyle w:val="BodyText"/>
              <w:spacing w:after="0"/>
              <w:jc w:val="center"/>
              <w:rPr>
                <w:iCs/>
                <w:sz w:val="20"/>
                <w:szCs w:val="20"/>
              </w:rPr>
            </w:pPr>
            <w:r w:rsidRPr="00350F25">
              <w:rPr>
                <w:iCs/>
                <w:sz w:val="20"/>
                <w:szCs w:val="20"/>
              </w:rPr>
              <w:t>75%</w:t>
            </w:r>
          </w:p>
        </w:tc>
        <w:tc>
          <w:tcPr>
            <w:tcW w:w="1309" w:type="dxa"/>
            <w:tcBorders>
              <w:top w:val="single" w:sz="4" w:space="0" w:color="0067AB"/>
              <w:left w:val="single" w:sz="4" w:space="0" w:color="0067AB"/>
              <w:bottom w:val="single" w:sz="4" w:space="0" w:color="0067AB"/>
              <w:right w:val="single" w:sz="4" w:space="0" w:color="0067AB"/>
            </w:tcBorders>
            <w:noWrap/>
            <w:vAlign w:val="center"/>
            <w:hideMark/>
          </w:tcPr>
          <w:p w14:paraId="75FAD806" w14:textId="77777777" w:rsidR="00350F25" w:rsidRPr="00350F25" w:rsidRDefault="00350F25" w:rsidP="00350F25">
            <w:pPr>
              <w:pStyle w:val="BodyText"/>
              <w:spacing w:after="0"/>
              <w:jc w:val="center"/>
              <w:rPr>
                <w:iCs/>
                <w:sz w:val="20"/>
                <w:szCs w:val="20"/>
              </w:rPr>
            </w:pPr>
            <w:r w:rsidRPr="00350F25">
              <w:rPr>
                <w:iCs/>
                <w:sz w:val="20"/>
                <w:szCs w:val="20"/>
              </w:rPr>
              <w:t>$275</w:t>
            </w:r>
          </w:p>
        </w:tc>
        <w:tc>
          <w:tcPr>
            <w:tcW w:w="1776" w:type="dxa"/>
            <w:tcBorders>
              <w:top w:val="single" w:sz="4" w:space="0" w:color="0067AB"/>
              <w:left w:val="single" w:sz="4" w:space="0" w:color="0067AB"/>
              <w:bottom w:val="single" w:sz="4" w:space="0" w:color="0067AB"/>
              <w:right w:val="single" w:sz="4" w:space="0" w:color="0067AB"/>
            </w:tcBorders>
            <w:noWrap/>
            <w:vAlign w:val="center"/>
            <w:hideMark/>
          </w:tcPr>
          <w:p w14:paraId="333E4223" w14:textId="77777777" w:rsidR="00350F25" w:rsidRPr="00350F25" w:rsidRDefault="00350F25" w:rsidP="00350F25">
            <w:pPr>
              <w:pStyle w:val="BodyText"/>
              <w:spacing w:after="0"/>
              <w:jc w:val="center"/>
              <w:rPr>
                <w:iCs/>
                <w:sz w:val="20"/>
                <w:szCs w:val="20"/>
              </w:rPr>
            </w:pPr>
            <w:r w:rsidRPr="00350F25">
              <w:rPr>
                <w:iCs/>
                <w:sz w:val="20"/>
                <w:szCs w:val="20"/>
              </w:rPr>
              <w:t>12</w:t>
            </w:r>
          </w:p>
        </w:tc>
      </w:tr>
    </w:tbl>
    <w:p w14:paraId="0CECD0C9" w14:textId="77777777" w:rsidR="00350F25" w:rsidRDefault="00350F25" w:rsidP="00350F25">
      <w:pPr>
        <w:pStyle w:val="BodyText"/>
        <w:rPr>
          <w:iCs/>
        </w:rPr>
      </w:pPr>
    </w:p>
    <w:p w14:paraId="74125B00" w14:textId="77777777" w:rsidR="00350F25" w:rsidRDefault="00350F25" w:rsidP="00350F25">
      <w:pPr>
        <w:pStyle w:val="BodyText"/>
        <w:rPr>
          <w:iCs/>
        </w:rPr>
      </w:pPr>
      <w:r>
        <w:rPr>
          <w:iCs/>
        </w:rPr>
        <w:t>While replacing trucks with hybrid or electric trucks would result in large GHG benefits, the costs are high – over $175k for a hybrid and $240k for an electric combination short haul – resulting in long payback periods. In this example, truck owners may not be interested in partially subsidized hybrid or electric trucks because the payback periods are well over three years; in fact, at incentive levels of 50% or less, truck owners may never recover their share of the purchase cost over the assumed 12-year lifetime of the truck.</w:t>
      </w:r>
    </w:p>
    <w:p w14:paraId="7F3A00BD" w14:textId="77777777" w:rsidR="00350F25" w:rsidRPr="00140664" w:rsidRDefault="00350F25" w:rsidP="00350F25">
      <w:pPr>
        <w:pStyle w:val="BodyText"/>
      </w:pPr>
      <w:r>
        <w:t>Note that because the payback periods are based on fuel cost savings, these results are influenced significantly by the assumed fuel costs. The default fuel prices in the Tool (e.g., $2.13 per diesel gallon) are based on current averages which are historically low; a doubling of the diesel price could lower the payback period to 5 years for hybrid trucks and 6 years for electric trucks at a 75% incentive level. Similarly, the payback period and cost effectiveness are affected by the truck costs, which could drop significantly for programs in future years. Thus, the user should consider refining the assumed costs in the Tool when using the Incentive Analysis to calculate payback periods.</w:t>
      </w:r>
    </w:p>
    <w:p w14:paraId="505FCB9F" w14:textId="77777777" w:rsidR="00350F25" w:rsidRPr="00140664" w:rsidRDefault="00350F25" w:rsidP="00350F25">
      <w:pPr>
        <w:pStyle w:val="Heading2"/>
      </w:pPr>
      <w:bookmarkStart w:id="111" w:name="_Toc482973574"/>
      <w:r w:rsidRPr="00140664">
        <w:t>State DOT Case Study</w:t>
      </w:r>
      <w:bookmarkEnd w:id="111"/>
    </w:p>
    <w:p w14:paraId="06136436" w14:textId="77777777" w:rsidR="00350F25" w:rsidRPr="00140664" w:rsidRDefault="00350F25" w:rsidP="00350F25">
      <w:pPr>
        <w:pStyle w:val="BodyText"/>
        <w:pBdr>
          <w:top w:val="single" w:sz="4" w:space="1" w:color="auto"/>
          <w:left w:val="single" w:sz="4" w:space="4" w:color="auto"/>
          <w:bottom w:val="single" w:sz="4" w:space="1" w:color="auto"/>
          <w:right w:val="single" w:sz="4" w:space="4" w:color="auto"/>
        </w:pBdr>
        <w:shd w:val="clear" w:color="auto" w:fill="E3E3DF" w:themeFill="background2"/>
        <w:rPr>
          <w:b/>
          <w:i/>
        </w:rPr>
      </w:pPr>
      <w:r>
        <w:rPr>
          <w:b/>
          <w:i/>
        </w:rPr>
        <w:t xml:space="preserve">Scenario: There has been </w:t>
      </w:r>
      <w:r w:rsidRPr="00140664">
        <w:rPr>
          <w:b/>
          <w:i/>
        </w:rPr>
        <w:t>concern about trucks producing PM emissions while idling overnight in Tennessee</w:t>
      </w:r>
      <w:r>
        <w:rPr>
          <w:b/>
          <w:i/>
        </w:rPr>
        <w:t xml:space="preserve">. The State DOT is considering setting </w:t>
      </w:r>
      <w:r w:rsidRPr="00140664">
        <w:rPr>
          <w:b/>
          <w:i/>
        </w:rPr>
        <w:t xml:space="preserve">up an incentive program to pay for idle reduction technologies on heavy duty long haul trucks. </w:t>
      </w:r>
      <w:r>
        <w:rPr>
          <w:b/>
          <w:i/>
        </w:rPr>
        <w:t xml:space="preserve">The agency </w:t>
      </w:r>
      <w:r w:rsidRPr="00140664">
        <w:rPr>
          <w:b/>
          <w:i/>
        </w:rPr>
        <w:t>want</w:t>
      </w:r>
      <w:r>
        <w:rPr>
          <w:b/>
          <w:i/>
        </w:rPr>
        <w:t>s</w:t>
      </w:r>
      <w:r w:rsidRPr="00140664">
        <w:rPr>
          <w:b/>
          <w:i/>
        </w:rPr>
        <w:t xml:space="preserve"> to know the level of incentive to provide truck owners to make the program a success and the cost of the program to provide incentives to 200 trucks within the state.</w:t>
      </w:r>
    </w:p>
    <w:p w14:paraId="30F8301A" w14:textId="77777777" w:rsidR="00350F25" w:rsidRPr="00140664" w:rsidRDefault="00350F25" w:rsidP="00350F25">
      <w:pPr>
        <w:pStyle w:val="Heading3"/>
      </w:pPr>
      <w:bookmarkStart w:id="112" w:name="_Toc482973575"/>
      <w:r w:rsidRPr="00140664">
        <w:t>Incentive Analysis – Idle Reduction</w:t>
      </w:r>
      <w:bookmarkEnd w:id="112"/>
    </w:p>
    <w:p w14:paraId="3C5A3009" w14:textId="77777777" w:rsidR="00350F25" w:rsidRDefault="00350F25" w:rsidP="00350F25">
      <w:pPr>
        <w:pStyle w:val="BodyText"/>
        <w:rPr>
          <w:iCs/>
        </w:rPr>
      </w:pPr>
      <w:r w:rsidRPr="00C40875">
        <w:rPr>
          <w:iCs/>
        </w:rPr>
        <w:t>The Incentive Analysis lets the user</w:t>
      </w:r>
      <w:r>
        <w:rPr>
          <w:iCs/>
        </w:rPr>
        <w:t xml:space="preserve"> estimate the impacts of partially subsidizing modifications or replacements</w:t>
      </w:r>
      <w:r w:rsidRPr="00C40875">
        <w:rPr>
          <w:iCs/>
        </w:rPr>
        <w:t>. The Incentive Analysis assumes that the public agency promotes strategies that reduce operating</w:t>
      </w:r>
      <w:r>
        <w:rPr>
          <w:iCs/>
        </w:rPr>
        <w:t xml:space="preserve"> (i.e., fuel)</w:t>
      </w:r>
      <w:r w:rsidRPr="00C40875">
        <w:rPr>
          <w:iCs/>
        </w:rPr>
        <w:t xml:space="preserve"> costs for truck owners and the owners will be willing to pay for part of the cost. This analysis type only works for strategies that reduce fuel costs.</w:t>
      </w:r>
    </w:p>
    <w:p w14:paraId="6AF193E5" w14:textId="77777777" w:rsidR="00350F25" w:rsidRDefault="00350F25" w:rsidP="00350F25">
      <w:pPr>
        <w:pStyle w:val="BodyText"/>
      </w:pPr>
      <w:r>
        <w:lastRenderedPageBreak/>
        <w:t>In this scenario, the State DOT is considering covering a portion of the cost for idle reduction equipment, which will help reduce the fuel used to meet truck power demands while stationary. This analysis allows the user to compare the impacts and costs of subsidizing different types of equipment at different incentive levels.</w:t>
      </w:r>
    </w:p>
    <w:p w14:paraId="50C3B519" w14:textId="77777777" w:rsidR="00350F25" w:rsidRDefault="00350F25" w:rsidP="00350F25">
      <w:pPr>
        <w:pStyle w:val="BodyText"/>
      </w:pPr>
      <w:r>
        <w:t>For each input option, enter the selections presented in the table below.</w:t>
      </w:r>
    </w:p>
    <w:tbl>
      <w:tblPr>
        <w:tblStyle w:val="TemplateTable"/>
        <w:tblW w:w="5000" w:type="pct"/>
        <w:tblLayout w:type="fixed"/>
        <w:tblCellMar>
          <w:top w:w="0" w:type="dxa"/>
          <w:bottom w:w="0" w:type="dxa"/>
        </w:tblCellMar>
        <w:tblLook w:val="04A0" w:firstRow="1" w:lastRow="0" w:firstColumn="1" w:lastColumn="0" w:noHBand="0" w:noVBand="1"/>
      </w:tblPr>
      <w:tblGrid>
        <w:gridCol w:w="2246"/>
        <w:gridCol w:w="1799"/>
        <w:gridCol w:w="5305"/>
      </w:tblGrid>
      <w:tr w:rsidR="00350F25" w:rsidRPr="00CC451D" w14:paraId="661B87DC" w14:textId="77777777" w:rsidTr="00350F25">
        <w:trPr>
          <w:cnfStyle w:val="100000000000" w:firstRow="1" w:lastRow="0" w:firstColumn="0" w:lastColumn="0" w:oddVBand="0" w:evenVBand="0" w:oddHBand="0" w:evenHBand="0" w:firstRowFirstColumn="0" w:firstRowLastColumn="0" w:lastRowFirstColumn="0" w:lastRowLastColumn="0"/>
          <w:trHeight w:val="24"/>
        </w:trPr>
        <w:tc>
          <w:tcPr>
            <w:tcW w:w="1201" w:type="pct"/>
            <w:tcBorders>
              <w:bottom w:val="single" w:sz="4" w:space="0" w:color="0070C0"/>
            </w:tcBorders>
            <w:noWrap/>
            <w:vAlign w:val="bottom"/>
          </w:tcPr>
          <w:p w14:paraId="7F075220" w14:textId="77777777" w:rsidR="00350F25" w:rsidRPr="004739E4" w:rsidRDefault="00350F25" w:rsidP="00350F25">
            <w:pPr>
              <w:pStyle w:val="TableColumnHeading"/>
            </w:pPr>
            <w:r>
              <w:t>Category</w:t>
            </w:r>
          </w:p>
        </w:tc>
        <w:tc>
          <w:tcPr>
            <w:tcW w:w="962" w:type="pct"/>
            <w:tcBorders>
              <w:bottom w:val="single" w:sz="4" w:space="0" w:color="0070C0"/>
            </w:tcBorders>
            <w:vAlign w:val="bottom"/>
          </w:tcPr>
          <w:p w14:paraId="56E691DB" w14:textId="77777777" w:rsidR="00350F25" w:rsidRPr="004739E4" w:rsidRDefault="00350F25" w:rsidP="00350F25">
            <w:pPr>
              <w:pStyle w:val="TableColumnHeading"/>
            </w:pPr>
            <w:r>
              <w:t>Selection</w:t>
            </w:r>
          </w:p>
        </w:tc>
        <w:tc>
          <w:tcPr>
            <w:tcW w:w="2837" w:type="pct"/>
            <w:tcBorders>
              <w:bottom w:val="single" w:sz="4" w:space="0" w:color="0070C0"/>
            </w:tcBorders>
            <w:vAlign w:val="bottom"/>
          </w:tcPr>
          <w:p w14:paraId="66765EB1" w14:textId="77777777" w:rsidR="00350F25" w:rsidRPr="004739E4" w:rsidRDefault="00350F25" w:rsidP="00350F25">
            <w:pPr>
              <w:pStyle w:val="TableColumnHeading"/>
            </w:pPr>
            <w:r>
              <w:t>Notes</w:t>
            </w:r>
          </w:p>
        </w:tc>
      </w:tr>
      <w:tr w:rsidR="00350F25" w:rsidRPr="00CC451D" w14:paraId="04A8F6A1"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493801C6" w14:textId="77777777" w:rsidR="00350F25" w:rsidRPr="004739E4" w:rsidRDefault="00350F25" w:rsidP="00350F25">
            <w:pPr>
              <w:pStyle w:val="TableCellText"/>
            </w:pPr>
            <w:r w:rsidRPr="00F6465A">
              <w:rPr>
                <w:b/>
              </w:rPr>
              <w:t>Analysis</w:t>
            </w:r>
          </w:p>
        </w:tc>
      </w:tr>
      <w:tr w:rsidR="00350F25" w:rsidRPr="00CC451D" w14:paraId="7111A550"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610A2EF7" w14:textId="77777777" w:rsidR="00350F25" w:rsidRPr="004739E4" w:rsidRDefault="00350F25" w:rsidP="00350F25">
            <w:pPr>
              <w:pStyle w:val="TableCellText"/>
            </w:pPr>
            <w:r>
              <w:t>Analysis</w:t>
            </w:r>
          </w:p>
        </w:tc>
        <w:tc>
          <w:tcPr>
            <w:tcW w:w="962" w:type="pct"/>
            <w:tcBorders>
              <w:top w:val="single" w:sz="4" w:space="0" w:color="0070C0"/>
              <w:left w:val="single" w:sz="4" w:space="0" w:color="0070C0"/>
              <w:bottom w:val="single" w:sz="4" w:space="0" w:color="0070C0"/>
              <w:right w:val="single" w:sz="4" w:space="0" w:color="0070C0"/>
            </w:tcBorders>
          </w:tcPr>
          <w:p w14:paraId="5EB8A793" w14:textId="77777777" w:rsidR="00350F25" w:rsidRPr="004739E4" w:rsidRDefault="00350F25" w:rsidP="00350F25">
            <w:pPr>
              <w:pStyle w:val="TableCellText"/>
            </w:pPr>
            <w:r>
              <w:t>Incentive Analysis</w:t>
            </w:r>
          </w:p>
        </w:tc>
        <w:tc>
          <w:tcPr>
            <w:tcW w:w="2837" w:type="pct"/>
            <w:tcBorders>
              <w:top w:val="single" w:sz="4" w:space="0" w:color="0070C0"/>
              <w:left w:val="single" w:sz="4" w:space="0" w:color="0070C0"/>
              <w:bottom w:val="single" w:sz="4" w:space="0" w:color="0070C0"/>
              <w:right w:val="single" w:sz="4" w:space="0" w:color="0070C0"/>
            </w:tcBorders>
          </w:tcPr>
          <w:p w14:paraId="6D01972E" w14:textId="77777777" w:rsidR="00350F25" w:rsidRPr="004739E4" w:rsidRDefault="00350F25" w:rsidP="00350F25">
            <w:pPr>
              <w:pStyle w:val="TableCellText"/>
            </w:pPr>
            <w:r>
              <w:t>This analysis allows the user t</w:t>
            </w:r>
            <w:r w:rsidRPr="00140664">
              <w:t xml:space="preserve">o </w:t>
            </w:r>
            <w:r>
              <w:t>examine the impacts of offering various levels of incentives.</w:t>
            </w:r>
          </w:p>
        </w:tc>
      </w:tr>
      <w:tr w:rsidR="00350F25" w:rsidRPr="00CC451D" w14:paraId="0D65267E"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4CFFD397" w14:textId="77777777" w:rsidR="00350F25" w:rsidRPr="004739E4" w:rsidRDefault="00350F25" w:rsidP="00350F25">
            <w:pPr>
              <w:pStyle w:val="TableCellText"/>
            </w:pPr>
            <w:r w:rsidRPr="00447743">
              <w:rPr>
                <w:b/>
              </w:rPr>
              <w:t>Scope</w:t>
            </w:r>
          </w:p>
        </w:tc>
      </w:tr>
      <w:tr w:rsidR="00350F25" w:rsidRPr="00CC451D" w14:paraId="27EC2682"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7C82730E" w14:textId="77777777" w:rsidR="00350F25" w:rsidRDefault="00350F25" w:rsidP="00350F25">
            <w:pPr>
              <w:pStyle w:val="TableCellText"/>
            </w:pPr>
            <w:r>
              <w:t>Year of Modification</w:t>
            </w:r>
          </w:p>
        </w:tc>
        <w:tc>
          <w:tcPr>
            <w:tcW w:w="962" w:type="pct"/>
            <w:tcBorders>
              <w:top w:val="single" w:sz="4" w:space="0" w:color="0070C0"/>
              <w:left w:val="single" w:sz="4" w:space="0" w:color="0070C0"/>
              <w:bottom w:val="single" w:sz="4" w:space="0" w:color="0070C0"/>
              <w:right w:val="single" w:sz="4" w:space="0" w:color="0070C0"/>
            </w:tcBorders>
          </w:tcPr>
          <w:p w14:paraId="3384E4A3" w14:textId="77777777" w:rsidR="00350F25" w:rsidRDefault="00350F25" w:rsidP="00350F25">
            <w:pPr>
              <w:pStyle w:val="TableCellText"/>
            </w:pPr>
            <w:r>
              <w:t>2020</w:t>
            </w:r>
          </w:p>
        </w:tc>
        <w:tc>
          <w:tcPr>
            <w:tcW w:w="2837" w:type="pct"/>
            <w:tcBorders>
              <w:top w:val="single" w:sz="4" w:space="0" w:color="0070C0"/>
              <w:left w:val="single" w:sz="4" w:space="0" w:color="0070C0"/>
              <w:bottom w:val="single" w:sz="4" w:space="0" w:color="0070C0"/>
              <w:right w:val="single" w:sz="4" w:space="0" w:color="0070C0"/>
            </w:tcBorders>
          </w:tcPr>
          <w:p w14:paraId="0C440122" w14:textId="77777777" w:rsidR="00350F25" w:rsidRPr="004739E4" w:rsidRDefault="00350F25" w:rsidP="00350F25">
            <w:pPr>
              <w:pStyle w:val="TableCellText"/>
            </w:pPr>
            <w:r>
              <w:t>The modification</w:t>
            </w:r>
            <w:r w:rsidRPr="00140664">
              <w:t xml:space="preserve"> year is when the modifications take place</w:t>
            </w:r>
            <w:r>
              <w:t>. In this scenario, the user should select the year closest to when the program is being fully implemented. Note that the later the modification year, the lower the reduction benefits will be because the Tool assumes that the average truck will be cleaner in the future.</w:t>
            </w:r>
          </w:p>
        </w:tc>
      </w:tr>
      <w:tr w:rsidR="00350F25" w:rsidRPr="00CC451D" w14:paraId="5394DB56"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298E02B3" w14:textId="77777777" w:rsidR="00350F25" w:rsidRDefault="00350F25" w:rsidP="00350F25">
            <w:pPr>
              <w:pStyle w:val="TableCellText"/>
            </w:pPr>
            <w:r>
              <w:t>Area of Interest</w:t>
            </w:r>
          </w:p>
        </w:tc>
        <w:tc>
          <w:tcPr>
            <w:tcW w:w="962" w:type="pct"/>
            <w:tcBorders>
              <w:top w:val="single" w:sz="4" w:space="0" w:color="0070C0"/>
              <w:left w:val="single" w:sz="4" w:space="0" w:color="0070C0"/>
              <w:bottom w:val="single" w:sz="4" w:space="0" w:color="0070C0"/>
              <w:right w:val="single" w:sz="4" w:space="0" w:color="0070C0"/>
            </w:tcBorders>
          </w:tcPr>
          <w:p w14:paraId="480A4CB7" w14:textId="77777777" w:rsidR="00350F25" w:rsidRDefault="00350F25" w:rsidP="00350F25">
            <w:pPr>
              <w:pStyle w:val="TableCellText"/>
            </w:pPr>
            <w:r>
              <w:t>State</w:t>
            </w:r>
          </w:p>
        </w:tc>
        <w:tc>
          <w:tcPr>
            <w:tcW w:w="2837" w:type="pct"/>
            <w:tcBorders>
              <w:top w:val="single" w:sz="4" w:space="0" w:color="0070C0"/>
              <w:left w:val="single" w:sz="4" w:space="0" w:color="0070C0"/>
              <w:bottom w:val="single" w:sz="4" w:space="0" w:color="0070C0"/>
              <w:right w:val="single" w:sz="4" w:space="0" w:color="0070C0"/>
            </w:tcBorders>
          </w:tcPr>
          <w:p w14:paraId="4E2DF174" w14:textId="77777777" w:rsidR="00350F25" w:rsidRPr="004739E4" w:rsidRDefault="00350F25" w:rsidP="00350F25">
            <w:pPr>
              <w:pStyle w:val="TableCellText"/>
            </w:pPr>
            <w:r w:rsidRPr="00CE6761">
              <w:t xml:space="preserve">Geographic scale determines the emission factors used in the calculations. The larger the geographic scale </w:t>
            </w:r>
            <w:r>
              <w:t>assume</w:t>
            </w:r>
            <w:r w:rsidRPr="00CE6761">
              <w:t xml:space="preserve"> more freeways </w:t>
            </w:r>
            <w:r>
              <w:t xml:space="preserve">are </w:t>
            </w:r>
            <w:r w:rsidRPr="00CE6761">
              <w:t>used, while the smaller geographic scales have more local roads</w:t>
            </w:r>
            <w:r>
              <w:t xml:space="preserve">. </w:t>
            </w:r>
          </w:p>
        </w:tc>
      </w:tr>
      <w:tr w:rsidR="00350F25" w:rsidRPr="00CC451D" w14:paraId="36777E05"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10AF572C" w14:textId="77777777" w:rsidR="00350F25" w:rsidRDefault="00350F25" w:rsidP="00350F25">
            <w:pPr>
              <w:pStyle w:val="TableCellText"/>
            </w:pPr>
            <w:r>
              <w:t>Type of Truck</w:t>
            </w:r>
          </w:p>
        </w:tc>
        <w:tc>
          <w:tcPr>
            <w:tcW w:w="962" w:type="pct"/>
            <w:tcBorders>
              <w:top w:val="single" w:sz="4" w:space="0" w:color="0070C0"/>
              <w:left w:val="single" w:sz="4" w:space="0" w:color="0070C0"/>
              <w:bottom w:val="single" w:sz="4" w:space="0" w:color="0070C0"/>
              <w:right w:val="single" w:sz="4" w:space="0" w:color="0070C0"/>
            </w:tcBorders>
          </w:tcPr>
          <w:p w14:paraId="31B00029" w14:textId="77777777" w:rsidR="00350F25" w:rsidRDefault="00350F25" w:rsidP="00350F25">
            <w:pPr>
              <w:pStyle w:val="TableCellText"/>
            </w:pPr>
            <w:r>
              <w:t>Combo Unit Long Haul</w:t>
            </w:r>
          </w:p>
        </w:tc>
        <w:tc>
          <w:tcPr>
            <w:tcW w:w="2837" w:type="pct"/>
            <w:tcBorders>
              <w:top w:val="single" w:sz="4" w:space="0" w:color="0070C0"/>
              <w:left w:val="single" w:sz="4" w:space="0" w:color="0070C0"/>
              <w:bottom w:val="single" w:sz="4" w:space="0" w:color="0070C0"/>
              <w:right w:val="single" w:sz="4" w:space="0" w:color="0070C0"/>
            </w:tcBorders>
          </w:tcPr>
          <w:p w14:paraId="4803022E" w14:textId="77777777" w:rsidR="00350F25" w:rsidRPr="004739E4" w:rsidRDefault="00350F25" w:rsidP="00350F25">
            <w:pPr>
              <w:pStyle w:val="TableCellText"/>
            </w:pPr>
            <w:r>
              <w:t>In the Tool, idle reduction strategies are only applied to combination long haul trucks.</w:t>
            </w:r>
          </w:p>
        </w:tc>
      </w:tr>
      <w:tr w:rsidR="00350F25" w:rsidRPr="00CC451D" w14:paraId="1D5BDED3"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212A6175" w14:textId="77777777" w:rsidR="00350F25" w:rsidRDefault="00350F25" w:rsidP="00350F25">
            <w:pPr>
              <w:pStyle w:val="TableCellText"/>
            </w:pPr>
            <w:r>
              <w:t>Type of Modification</w:t>
            </w:r>
          </w:p>
        </w:tc>
        <w:tc>
          <w:tcPr>
            <w:tcW w:w="962" w:type="pct"/>
            <w:tcBorders>
              <w:top w:val="single" w:sz="4" w:space="0" w:color="0070C0"/>
              <w:left w:val="single" w:sz="4" w:space="0" w:color="0070C0"/>
              <w:bottom w:val="single" w:sz="4" w:space="0" w:color="0070C0"/>
              <w:right w:val="single" w:sz="4" w:space="0" w:color="0070C0"/>
            </w:tcBorders>
          </w:tcPr>
          <w:p w14:paraId="71E97E99" w14:textId="77777777" w:rsidR="00350F25" w:rsidRDefault="00350F25" w:rsidP="00350F25">
            <w:pPr>
              <w:pStyle w:val="TableCellText"/>
            </w:pPr>
            <w:r>
              <w:t>Idle Reduction</w:t>
            </w:r>
          </w:p>
        </w:tc>
        <w:tc>
          <w:tcPr>
            <w:tcW w:w="2837" w:type="pct"/>
            <w:tcBorders>
              <w:top w:val="single" w:sz="4" w:space="0" w:color="0070C0"/>
              <w:left w:val="single" w:sz="4" w:space="0" w:color="0070C0"/>
              <w:bottom w:val="single" w:sz="4" w:space="0" w:color="0070C0"/>
              <w:right w:val="single" w:sz="4" w:space="0" w:color="0070C0"/>
            </w:tcBorders>
          </w:tcPr>
          <w:p w14:paraId="25AA9D28" w14:textId="77777777" w:rsidR="00350F25" w:rsidRPr="004739E4" w:rsidRDefault="00350F25" w:rsidP="00350F25">
            <w:pPr>
              <w:pStyle w:val="TableCellText"/>
            </w:pPr>
            <w:r>
              <w:t>Indicated in the scenario.</w:t>
            </w:r>
          </w:p>
        </w:tc>
      </w:tr>
      <w:tr w:rsidR="00350F25" w:rsidRPr="00CC451D" w14:paraId="13E2932F"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68800F94" w14:textId="77777777" w:rsidR="00350F25" w:rsidRPr="004739E4" w:rsidRDefault="00350F25" w:rsidP="00350F25">
            <w:pPr>
              <w:pStyle w:val="TableCellText"/>
            </w:pPr>
            <w:r w:rsidRPr="00447743">
              <w:rPr>
                <w:b/>
              </w:rPr>
              <w:t>Modifications</w:t>
            </w:r>
          </w:p>
        </w:tc>
      </w:tr>
      <w:tr w:rsidR="00350F25" w:rsidRPr="00CC451D" w14:paraId="22859538"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7635338F" w14:textId="77777777" w:rsidR="00350F25" w:rsidRDefault="00350F25" w:rsidP="00350F25">
            <w:pPr>
              <w:pStyle w:val="TableCellText"/>
            </w:pPr>
            <w:r>
              <w:t>Idle Reduction</w:t>
            </w:r>
          </w:p>
        </w:tc>
        <w:tc>
          <w:tcPr>
            <w:tcW w:w="962" w:type="pct"/>
            <w:tcBorders>
              <w:top w:val="single" w:sz="4" w:space="0" w:color="0070C0"/>
              <w:left w:val="single" w:sz="4" w:space="0" w:color="0070C0"/>
              <w:bottom w:val="single" w:sz="4" w:space="0" w:color="0070C0"/>
              <w:right w:val="single" w:sz="4" w:space="0" w:color="0070C0"/>
            </w:tcBorders>
          </w:tcPr>
          <w:p w14:paraId="7207EBB5" w14:textId="77777777" w:rsidR="00350F25" w:rsidRDefault="00350F25" w:rsidP="00350F25">
            <w:pPr>
              <w:pStyle w:val="TableCellText"/>
            </w:pPr>
            <w:r>
              <w:t>Select all (Fuel Operated Heaters; Auxiliary Power Units; Auto Stop/Start)</w:t>
            </w:r>
          </w:p>
        </w:tc>
        <w:tc>
          <w:tcPr>
            <w:tcW w:w="2837" w:type="pct"/>
            <w:tcBorders>
              <w:top w:val="single" w:sz="4" w:space="0" w:color="0070C0"/>
              <w:left w:val="single" w:sz="4" w:space="0" w:color="0070C0"/>
              <w:bottom w:val="single" w:sz="4" w:space="0" w:color="0070C0"/>
              <w:right w:val="single" w:sz="4" w:space="0" w:color="0070C0"/>
            </w:tcBorders>
          </w:tcPr>
          <w:p w14:paraId="34EA7B36" w14:textId="77777777" w:rsidR="00350F25" w:rsidRPr="004739E4" w:rsidRDefault="00350F25" w:rsidP="00350F25">
            <w:pPr>
              <w:pStyle w:val="TableCellText"/>
            </w:pPr>
            <w:r>
              <w:t>Click the checkmark button at the top of the column to select all. The Tool only considers strategies that apply directly to vehicles; thus, infrastructure-based strategies such as truck stop electrification are not included here.</w:t>
            </w:r>
          </w:p>
        </w:tc>
      </w:tr>
      <w:tr w:rsidR="00350F25" w:rsidRPr="00CC451D" w14:paraId="7B3EDE22"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79BA4D92" w14:textId="77777777" w:rsidR="00350F25" w:rsidRPr="004739E4" w:rsidRDefault="00350F25" w:rsidP="00350F25">
            <w:pPr>
              <w:pStyle w:val="TableCellText"/>
              <w:keepNext/>
            </w:pPr>
            <w:r w:rsidRPr="00447743">
              <w:rPr>
                <w:b/>
              </w:rPr>
              <w:t>Vehicle Data</w:t>
            </w:r>
          </w:p>
        </w:tc>
      </w:tr>
      <w:tr w:rsidR="00350F25" w:rsidRPr="00CC451D" w14:paraId="0971E6C0"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35DCC78C" w14:textId="77777777" w:rsidR="00350F25" w:rsidRDefault="00350F25" w:rsidP="00350F25">
            <w:pPr>
              <w:pStyle w:val="TableCellText"/>
            </w:pPr>
            <w:r>
              <w:t>Number of Trucks to Be Replaced</w:t>
            </w:r>
          </w:p>
        </w:tc>
        <w:tc>
          <w:tcPr>
            <w:tcW w:w="962" w:type="pct"/>
            <w:tcBorders>
              <w:top w:val="single" w:sz="4" w:space="0" w:color="0070C0"/>
              <w:left w:val="single" w:sz="4" w:space="0" w:color="0070C0"/>
              <w:bottom w:val="single" w:sz="4" w:space="0" w:color="0070C0"/>
              <w:right w:val="single" w:sz="4" w:space="0" w:color="0070C0"/>
            </w:tcBorders>
          </w:tcPr>
          <w:p w14:paraId="71E00FD0" w14:textId="77777777" w:rsidR="00350F25" w:rsidRDefault="00350F25" w:rsidP="00350F25">
            <w:pPr>
              <w:pStyle w:val="TableCellText"/>
            </w:pPr>
            <w:r>
              <w:t>200</w:t>
            </w:r>
          </w:p>
        </w:tc>
        <w:tc>
          <w:tcPr>
            <w:tcW w:w="2837" w:type="pct"/>
            <w:tcBorders>
              <w:top w:val="single" w:sz="4" w:space="0" w:color="0070C0"/>
              <w:left w:val="single" w:sz="4" w:space="0" w:color="0070C0"/>
              <w:bottom w:val="single" w:sz="4" w:space="0" w:color="0070C0"/>
              <w:right w:val="single" w:sz="4" w:space="0" w:color="0070C0"/>
            </w:tcBorders>
          </w:tcPr>
          <w:p w14:paraId="3BCB831E" w14:textId="77777777" w:rsidR="00350F25" w:rsidRPr="004739E4" w:rsidRDefault="00350F25" w:rsidP="00350F25">
            <w:pPr>
              <w:pStyle w:val="TableCellText"/>
            </w:pPr>
            <w:r>
              <w:t>Indicated in the scenario.</w:t>
            </w:r>
          </w:p>
        </w:tc>
      </w:tr>
      <w:tr w:rsidR="00350F25" w:rsidRPr="00CC451D" w14:paraId="208BFE98"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71AE06D9" w14:textId="77777777" w:rsidR="00350F25" w:rsidRDefault="00350F25" w:rsidP="00350F25">
            <w:pPr>
              <w:pStyle w:val="TableCellText"/>
            </w:pPr>
            <w:r>
              <w:t>Average Annual Mileage Accumulation</w:t>
            </w:r>
          </w:p>
        </w:tc>
        <w:tc>
          <w:tcPr>
            <w:tcW w:w="962" w:type="pct"/>
            <w:tcBorders>
              <w:top w:val="single" w:sz="4" w:space="0" w:color="0070C0"/>
              <w:left w:val="single" w:sz="4" w:space="0" w:color="0070C0"/>
              <w:bottom w:val="single" w:sz="4" w:space="0" w:color="0070C0"/>
              <w:right w:val="single" w:sz="4" w:space="0" w:color="0070C0"/>
            </w:tcBorders>
          </w:tcPr>
          <w:p w14:paraId="3C49AE64" w14:textId="77777777" w:rsidR="00350F25" w:rsidRDefault="00350F25" w:rsidP="00350F25">
            <w:pPr>
              <w:pStyle w:val="TableCellText"/>
            </w:pPr>
            <w:r>
              <w:t>Leave default value (86,943)</w:t>
            </w:r>
          </w:p>
        </w:tc>
        <w:tc>
          <w:tcPr>
            <w:tcW w:w="2837" w:type="pct"/>
            <w:tcBorders>
              <w:top w:val="single" w:sz="4" w:space="0" w:color="0070C0"/>
              <w:left w:val="single" w:sz="4" w:space="0" w:color="0070C0"/>
              <w:bottom w:val="single" w:sz="4" w:space="0" w:color="0070C0"/>
              <w:right w:val="single" w:sz="4" w:space="0" w:color="0070C0"/>
            </w:tcBorders>
          </w:tcPr>
          <w:p w14:paraId="71B3FA08" w14:textId="77777777" w:rsidR="00350F25" w:rsidRPr="004739E4" w:rsidRDefault="00350F25" w:rsidP="00350F25">
            <w:pPr>
              <w:pStyle w:val="TableCellText"/>
            </w:pPr>
            <w:r>
              <w:t>D</w:t>
            </w:r>
            <w:r w:rsidRPr="0050596A">
              <w:t xml:space="preserve">efault </w:t>
            </w:r>
            <w:r>
              <w:t>values come</w:t>
            </w:r>
            <w:r w:rsidRPr="0050596A">
              <w:t xml:space="preserve"> from </w:t>
            </w:r>
            <w:r>
              <w:t xml:space="preserve">the </w:t>
            </w:r>
            <w:r w:rsidRPr="0050596A">
              <w:t>MOVES</w:t>
            </w:r>
            <w:r>
              <w:t xml:space="preserve"> model</w:t>
            </w:r>
            <w:r w:rsidRPr="0050596A">
              <w:t xml:space="preserve">. </w:t>
            </w:r>
            <w:r>
              <w:t>M</w:t>
            </w:r>
            <w:r w:rsidRPr="0050596A">
              <w:t xml:space="preserve">ore annual miles </w:t>
            </w:r>
            <w:r>
              <w:t>will result in</w:t>
            </w:r>
            <w:r w:rsidRPr="0050596A">
              <w:t xml:space="preserve"> more emissions benefits</w:t>
            </w:r>
            <w:r>
              <w:t>.</w:t>
            </w:r>
          </w:p>
        </w:tc>
      </w:tr>
      <w:tr w:rsidR="00350F25" w:rsidRPr="00CC451D" w14:paraId="19898D75"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35B2C019" w14:textId="77777777" w:rsidR="00350F25" w:rsidRDefault="00350F25" w:rsidP="00350F25">
            <w:pPr>
              <w:pStyle w:val="TableCellText"/>
            </w:pPr>
            <w:r>
              <w:t>Range of Model Years to Modify/Scrap (inclusive)</w:t>
            </w:r>
          </w:p>
        </w:tc>
        <w:tc>
          <w:tcPr>
            <w:tcW w:w="962" w:type="pct"/>
            <w:tcBorders>
              <w:top w:val="single" w:sz="4" w:space="0" w:color="0070C0"/>
              <w:left w:val="single" w:sz="4" w:space="0" w:color="0070C0"/>
              <w:bottom w:val="single" w:sz="4" w:space="0" w:color="0070C0"/>
              <w:right w:val="single" w:sz="4" w:space="0" w:color="0070C0"/>
            </w:tcBorders>
          </w:tcPr>
          <w:p w14:paraId="25803F5F" w14:textId="77777777" w:rsidR="00350F25" w:rsidRDefault="00350F25" w:rsidP="00350F25">
            <w:pPr>
              <w:pStyle w:val="TableCellText"/>
            </w:pPr>
            <w:r>
              <w:t>Leave default values (1990-2020)</w:t>
            </w:r>
          </w:p>
        </w:tc>
        <w:tc>
          <w:tcPr>
            <w:tcW w:w="2837" w:type="pct"/>
            <w:tcBorders>
              <w:top w:val="single" w:sz="4" w:space="0" w:color="0070C0"/>
              <w:left w:val="single" w:sz="4" w:space="0" w:color="0070C0"/>
              <w:bottom w:val="single" w:sz="4" w:space="0" w:color="0070C0"/>
              <w:right w:val="single" w:sz="4" w:space="0" w:color="0070C0"/>
            </w:tcBorders>
          </w:tcPr>
          <w:p w14:paraId="440BF382" w14:textId="77777777" w:rsidR="00350F25" w:rsidRPr="004739E4" w:rsidRDefault="00350F25" w:rsidP="00350F25">
            <w:pPr>
              <w:pStyle w:val="TableCellText"/>
            </w:pPr>
            <w:r>
              <w:t>Idle reduction strategies should apply to any age truck.</w:t>
            </w:r>
          </w:p>
        </w:tc>
      </w:tr>
      <w:tr w:rsidR="00350F25" w:rsidRPr="00CC451D" w14:paraId="6D93829F"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4D048311" w14:textId="0F1A7801" w:rsidR="00350F25" w:rsidRDefault="006771E4" w:rsidP="00350F25">
            <w:pPr>
              <w:pStyle w:val="TableCellText"/>
            </w:pPr>
            <w:r>
              <w:t>Long haul</w:t>
            </w:r>
            <w:r w:rsidR="00350F25">
              <w:t xml:space="preserve"> Annual Idle Hours</w:t>
            </w:r>
          </w:p>
        </w:tc>
        <w:tc>
          <w:tcPr>
            <w:tcW w:w="962" w:type="pct"/>
            <w:tcBorders>
              <w:top w:val="single" w:sz="4" w:space="0" w:color="0070C0"/>
              <w:left w:val="single" w:sz="4" w:space="0" w:color="0070C0"/>
              <w:bottom w:val="single" w:sz="4" w:space="0" w:color="0070C0"/>
              <w:right w:val="single" w:sz="4" w:space="0" w:color="0070C0"/>
            </w:tcBorders>
          </w:tcPr>
          <w:p w14:paraId="4124FA8B" w14:textId="77777777" w:rsidR="00350F25" w:rsidRDefault="00350F25" w:rsidP="00350F25">
            <w:pPr>
              <w:pStyle w:val="TableCellText"/>
            </w:pPr>
            <w:r>
              <w:t>Leave default value (964)</w:t>
            </w:r>
          </w:p>
        </w:tc>
        <w:tc>
          <w:tcPr>
            <w:tcW w:w="2837" w:type="pct"/>
            <w:tcBorders>
              <w:top w:val="single" w:sz="4" w:space="0" w:color="0070C0"/>
              <w:left w:val="single" w:sz="4" w:space="0" w:color="0070C0"/>
              <w:bottom w:val="single" w:sz="4" w:space="0" w:color="0070C0"/>
              <w:right w:val="single" w:sz="4" w:space="0" w:color="0070C0"/>
            </w:tcBorders>
          </w:tcPr>
          <w:p w14:paraId="42AC7865" w14:textId="77777777" w:rsidR="00350F25" w:rsidRPr="004739E4" w:rsidRDefault="00350F25" w:rsidP="00350F25">
            <w:pPr>
              <w:pStyle w:val="TableCellText"/>
            </w:pPr>
            <w:r>
              <w:t>Default values are average hours determined from MOVES by the modification year and geographic scale.</w:t>
            </w:r>
          </w:p>
        </w:tc>
      </w:tr>
      <w:tr w:rsidR="00350F25" w:rsidRPr="00CC451D" w14:paraId="5917B7DC"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4F06F5FD" w14:textId="77777777" w:rsidR="00350F25" w:rsidRPr="004739E4" w:rsidRDefault="00350F25" w:rsidP="00350F25">
            <w:pPr>
              <w:pStyle w:val="TableCellText"/>
            </w:pPr>
            <w:r w:rsidRPr="00447743">
              <w:rPr>
                <w:b/>
              </w:rPr>
              <w:t>Fuel Costs</w:t>
            </w:r>
          </w:p>
        </w:tc>
      </w:tr>
      <w:tr w:rsidR="00350F25" w:rsidRPr="00CC451D" w14:paraId="70D75BD9"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7DF561AA" w14:textId="77777777" w:rsidR="00350F25" w:rsidRDefault="00350F25" w:rsidP="00350F25">
            <w:pPr>
              <w:pStyle w:val="TableCellText"/>
            </w:pPr>
            <w:r>
              <w:t>Cost per Unit</w:t>
            </w:r>
          </w:p>
        </w:tc>
        <w:tc>
          <w:tcPr>
            <w:tcW w:w="962" w:type="pct"/>
            <w:tcBorders>
              <w:top w:val="single" w:sz="4" w:space="0" w:color="0070C0"/>
              <w:left w:val="single" w:sz="4" w:space="0" w:color="0070C0"/>
              <w:bottom w:val="single" w:sz="4" w:space="0" w:color="0070C0"/>
              <w:right w:val="single" w:sz="4" w:space="0" w:color="0070C0"/>
            </w:tcBorders>
          </w:tcPr>
          <w:p w14:paraId="49B0A26E" w14:textId="77777777" w:rsidR="00350F25" w:rsidRDefault="00350F25" w:rsidP="00350F25">
            <w:pPr>
              <w:pStyle w:val="TableCellText"/>
            </w:pPr>
            <w:r>
              <w:t>Leave default values ($2.13/gal diesel)</w:t>
            </w:r>
          </w:p>
        </w:tc>
        <w:tc>
          <w:tcPr>
            <w:tcW w:w="2837" w:type="pct"/>
            <w:tcBorders>
              <w:top w:val="single" w:sz="4" w:space="0" w:color="0070C0"/>
              <w:left w:val="single" w:sz="4" w:space="0" w:color="0070C0"/>
              <w:bottom w:val="single" w:sz="4" w:space="0" w:color="0070C0"/>
              <w:right w:val="single" w:sz="4" w:space="0" w:color="0070C0"/>
            </w:tcBorders>
          </w:tcPr>
          <w:p w14:paraId="1854308D" w14:textId="77777777" w:rsidR="00350F25" w:rsidRPr="004739E4" w:rsidRDefault="00350F25" w:rsidP="00350F25">
            <w:pPr>
              <w:pStyle w:val="TableCellText"/>
            </w:pPr>
            <w:r>
              <w:t xml:space="preserve">Default values are national averages; more up-to-date and regional fuel prices can be found at the Alternative Fuels Data Center’s </w:t>
            </w:r>
            <w:hyperlink r:id="rId84" w:history="1">
              <w:r w:rsidRPr="009E5B70">
                <w:rPr>
                  <w:rStyle w:val="Hyperlink"/>
                </w:rPr>
                <w:t>Fuel Prices webpage</w:t>
              </w:r>
            </w:hyperlink>
            <w:r>
              <w:t>.</w:t>
            </w:r>
          </w:p>
        </w:tc>
      </w:tr>
      <w:tr w:rsidR="00350F25" w:rsidRPr="00CC451D" w14:paraId="0301C8C0"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10EB90BE" w14:textId="77777777" w:rsidR="00350F25" w:rsidRDefault="00350F25" w:rsidP="00350F25">
            <w:pPr>
              <w:pStyle w:val="TableCellText"/>
            </w:pPr>
            <w:r>
              <w:t>Electricity Generation Region</w:t>
            </w:r>
          </w:p>
        </w:tc>
        <w:tc>
          <w:tcPr>
            <w:tcW w:w="962" w:type="pct"/>
            <w:tcBorders>
              <w:top w:val="single" w:sz="4" w:space="0" w:color="0070C0"/>
              <w:left w:val="single" w:sz="4" w:space="0" w:color="0070C0"/>
              <w:bottom w:val="single" w:sz="4" w:space="0" w:color="0070C0"/>
              <w:right w:val="single" w:sz="4" w:space="0" w:color="0070C0"/>
            </w:tcBorders>
          </w:tcPr>
          <w:p w14:paraId="381C74B5" w14:textId="77777777" w:rsidR="00350F25" w:rsidRDefault="00350F25" w:rsidP="00350F25">
            <w:pPr>
              <w:pStyle w:val="TableCellText"/>
            </w:pPr>
            <w:r>
              <w:t>n/a</w:t>
            </w:r>
          </w:p>
        </w:tc>
        <w:tc>
          <w:tcPr>
            <w:tcW w:w="2837" w:type="pct"/>
            <w:tcBorders>
              <w:top w:val="single" w:sz="4" w:space="0" w:color="0070C0"/>
              <w:left w:val="single" w:sz="4" w:space="0" w:color="0070C0"/>
              <w:bottom w:val="single" w:sz="4" w:space="0" w:color="0070C0"/>
              <w:right w:val="single" w:sz="4" w:space="0" w:color="0070C0"/>
            </w:tcBorders>
          </w:tcPr>
          <w:p w14:paraId="36B6199F" w14:textId="77777777" w:rsidR="00350F25" w:rsidRPr="004739E4" w:rsidRDefault="00350F25" w:rsidP="00350F25">
            <w:pPr>
              <w:pStyle w:val="TableCellText"/>
            </w:pPr>
            <w:r>
              <w:t>This selection does not apply; idle reduction strategies in the Tool are not fueled by electricity.</w:t>
            </w:r>
          </w:p>
        </w:tc>
      </w:tr>
      <w:tr w:rsidR="00350F25" w:rsidRPr="00CC451D" w14:paraId="7D4798FA"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767F1502" w14:textId="77777777" w:rsidR="00350F25" w:rsidRDefault="00350F25" w:rsidP="00350F25">
            <w:pPr>
              <w:pStyle w:val="TableCellText"/>
            </w:pPr>
            <w:r>
              <w:t>CO</w:t>
            </w:r>
            <w:r w:rsidRPr="00F6465A">
              <w:rPr>
                <w:vertAlign w:val="subscript"/>
              </w:rPr>
              <w:t>2</w:t>
            </w:r>
          </w:p>
        </w:tc>
        <w:tc>
          <w:tcPr>
            <w:tcW w:w="962" w:type="pct"/>
            <w:tcBorders>
              <w:top w:val="single" w:sz="4" w:space="0" w:color="0070C0"/>
              <w:left w:val="single" w:sz="4" w:space="0" w:color="0070C0"/>
              <w:bottom w:val="single" w:sz="4" w:space="0" w:color="0070C0"/>
              <w:right w:val="single" w:sz="4" w:space="0" w:color="0070C0"/>
            </w:tcBorders>
          </w:tcPr>
          <w:p w14:paraId="0455F4D4" w14:textId="77777777" w:rsidR="00350F25" w:rsidRDefault="00350F25" w:rsidP="00350F25">
            <w:pPr>
              <w:pStyle w:val="TableCellText"/>
            </w:pPr>
            <w:r>
              <w:t>n/a</w:t>
            </w:r>
          </w:p>
        </w:tc>
        <w:tc>
          <w:tcPr>
            <w:tcW w:w="2837" w:type="pct"/>
            <w:tcBorders>
              <w:top w:val="single" w:sz="4" w:space="0" w:color="0070C0"/>
              <w:left w:val="single" w:sz="4" w:space="0" w:color="0070C0"/>
              <w:bottom w:val="single" w:sz="4" w:space="0" w:color="0070C0"/>
              <w:right w:val="single" w:sz="4" w:space="0" w:color="0070C0"/>
            </w:tcBorders>
          </w:tcPr>
          <w:p w14:paraId="709E203C" w14:textId="77777777" w:rsidR="00350F25" w:rsidRPr="004739E4" w:rsidRDefault="00350F25" w:rsidP="00350F25">
            <w:pPr>
              <w:pStyle w:val="TableCellText"/>
            </w:pPr>
            <w:r>
              <w:t>This selection does not apply; idle reduction strategies in the Tool are not fueled electricity.</w:t>
            </w:r>
          </w:p>
        </w:tc>
      </w:tr>
      <w:tr w:rsidR="00350F25" w:rsidRPr="00CC451D" w14:paraId="1847E447"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3EC4A056" w14:textId="77777777" w:rsidR="00350F25" w:rsidRPr="004739E4" w:rsidRDefault="00350F25" w:rsidP="00350F25">
            <w:pPr>
              <w:pStyle w:val="TableCellText"/>
              <w:keepNext/>
            </w:pPr>
            <w:r w:rsidRPr="00447743">
              <w:rPr>
                <w:b/>
              </w:rPr>
              <w:lastRenderedPageBreak/>
              <w:t>Capital Costs</w:t>
            </w:r>
          </w:p>
        </w:tc>
      </w:tr>
      <w:tr w:rsidR="00350F25" w:rsidRPr="00CC451D" w14:paraId="7E640343"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190D33E3" w14:textId="77777777" w:rsidR="00350F25" w:rsidRDefault="00350F25" w:rsidP="00350F25">
            <w:pPr>
              <w:pStyle w:val="TableCellText"/>
            </w:pPr>
            <w:r>
              <w:t>Cost</w:t>
            </w:r>
          </w:p>
        </w:tc>
        <w:tc>
          <w:tcPr>
            <w:tcW w:w="962" w:type="pct"/>
            <w:tcBorders>
              <w:top w:val="single" w:sz="4" w:space="0" w:color="0070C0"/>
              <w:left w:val="single" w:sz="4" w:space="0" w:color="0070C0"/>
              <w:bottom w:val="single" w:sz="4" w:space="0" w:color="0070C0"/>
              <w:right w:val="single" w:sz="4" w:space="0" w:color="0070C0"/>
            </w:tcBorders>
          </w:tcPr>
          <w:p w14:paraId="2A8C58DE" w14:textId="77777777" w:rsidR="00350F25" w:rsidRDefault="00350F25" w:rsidP="00350F25">
            <w:pPr>
              <w:pStyle w:val="TableCellText"/>
            </w:pPr>
            <w:r>
              <w:t>Leave default values</w:t>
            </w:r>
          </w:p>
        </w:tc>
        <w:tc>
          <w:tcPr>
            <w:tcW w:w="2837" w:type="pct"/>
            <w:tcBorders>
              <w:top w:val="single" w:sz="4" w:space="0" w:color="0070C0"/>
              <w:left w:val="single" w:sz="4" w:space="0" w:color="0070C0"/>
              <w:bottom w:val="single" w:sz="4" w:space="0" w:color="0070C0"/>
              <w:right w:val="single" w:sz="4" w:space="0" w:color="0070C0"/>
            </w:tcBorders>
          </w:tcPr>
          <w:p w14:paraId="653A0879" w14:textId="77777777" w:rsidR="00350F25" w:rsidRPr="004739E4" w:rsidRDefault="00350F25" w:rsidP="00350F25">
            <w:pPr>
              <w:pStyle w:val="TableCellText"/>
            </w:pPr>
            <w:r>
              <w:t>Default values do not include installation costs. Costs vary widely. Replacing defaults with more up-to-date or local averages will improve cost, cost effectiveness, and payback estimates in the results.</w:t>
            </w:r>
          </w:p>
        </w:tc>
      </w:tr>
    </w:tbl>
    <w:p w14:paraId="5DDE2476" w14:textId="77777777" w:rsidR="00350F25" w:rsidRDefault="00350F25" w:rsidP="00350F25">
      <w:pPr>
        <w:pStyle w:val="BodyText"/>
      </w:pPr>
    </w:p>
    <w:p w14:paraId="2E29BE47" w14:textId="77777777" w:rsidR="00350F25" w:rsidRPr="00E103FB" w:rsidRDefault="00350F25" w:rsidP="00350F25">
      <w:pPr>
        <w:pStyle w:val="BodyText"/>
        <w:rPr>
          <w:b/>
        </w:rPr>
      </w:pPr>
      <w:r w:rsidRPr="00E103FB">
        <w:rPr>
          <w:b/>
        </w:rPr>
        <w:t>Results</w:t>
      </w:r>
    </w:p>
    <w:p w14:paraId="1275637E" w14:textId="77777777" w:rsidR="00350F25" w:rsidRDefault="00350F25" w:rsidP="00350F25">
      <w:pPr>
        <w:pStyle w:val="BodyText"/>
        <w:rPr>
          <w:iCs/>
        </w:rPr>
      </w:pPr>
      <w:r>
        <w:rPr>
          <w:iCs/>
        </w:rPr>
        <w:t>The table below shows some of the results from the Incentive Analysis. For each idle reduction option, the Tool shows the amount of emissions reduced, the cost of purchasing 200 pieces of each type of equipment (default values do not include installation costs), and the amount of money saved on fuel by reducing engine idling.</w:t>
      </w:r>
    </w:p>
    <w:p w14:paraId="3C768701" w14:textId="77777777" w:rsidR="00350F25" w:rsidRDefault="00350F25" w:rsidP="00350F25">
      <w:pPr>
        <w:pStyle w:val="BodyText"/>
        <w:rPr>
          <w:iCs/>
        </w:rPr>
      </w:pPr>
      <w:r>
        <w:rPr>
          <w:iCs/>
        </w:rPr>
        <w:t>The results of the Incentive Analysis also show the cost implications of a program administrator providing various levels of funding to cover the equipment cost. The Incentive Level refers to the portion of the capital cost covered by the program administrator, and the Total Program Costs shows how much the administrator would pay for the equipment costs at those different incentive levels.</w:t>
      </w:r>
    </w:p>
    <w:p w14:paraId="2A260DFA" w14:textId="77777777" w:rsidR="00350F25" w:rsidRPr="000A0400" w:rsidRDefault="00350F25" w:rsidP="00350F25">
      <w:pPr>
        <w:pStyle w:val="BodyText"/>
        <w:rPr>
          <w:iCs/>
        </w:rPr>
      </w:pPr>
      <w:r>
        <w:rPr>
          <w:iCs/>
        </w:rPr>
        <w:t>The last column shows the payback period, or the number of years it would take for the truck owners to save enough in fuel costs to recover their portion of the equipment cost. Payback periods of over three years are generally not acceptable to most trucking companies or truck owners. Although program administrators can improve their cost effectiveness and cover more trucks by covering a smaller portion of the equipment cost, truck owners may not be interested in participating if there are long payback periods.</w:t>
      </w:r>
    </w:p>
    <w:tbl>
      <w:tblPr>
        <w:tblStyle w:val="TableGrid"/>
        <w:tblW w:w="9371" w:type="dxa"/>
        <w:tblLook w:val="04A0" w:firstRow="1" w:lastRow="0" w:firstColumn="1" w:lastColumn="0" w:noHBand="0" w:noVBand="1"/>
      </w:tblPr>
      <w:tblGrid>
        <w:gridCol w:w="1390"/>
        <w:gridCol w:w="1296"/>
        <w:gridCol w:w="1296"/>
        <w:gridCol w:w="1152"/>
        <w:gridCol w:w="1152"/>
        <w:gridCol w:w="1309"/>
        <w:gridCol w:w="1776"/>
      </w:tblGrid>
      <w:tr w:rsidR="00350F25" w:rsidRPr="002413B0" w14:paraId="3FECE6A6" w14:textId="77777777" w:rsidTr="0010295D">
        <w:trPr>
          <w:trHeight w:val="1304"/>
        </w:trPr>
        <w:tc>
          <w:tcPr>
            <w:tcW w:w="1390" w:type="dxa"/>
            <w:tcBorders>
              <w:bottom w:val="single" w:sz="4" w:space="0" w:color="0067AB"/>
              <w:right w:val="single" w:sz="4" w:space="0" w:color="FFFFFF" w:themeColor="background1"/>
            </w:tcBorders>
            <w:shd w:val="clear" w:color="auto" w:fill="0067AB"/>
            <w:vAlign w:val="bottom"/>
            <w:hideMark/>
          </w:tcPr>
          <w:p w14:paraId="10F2F6C8" w14:textId="77777777" w:rsidR="00350F25" w:rsidRPr="0010295D" w:rsidRDefault="00350F25" w:rsidP="0010295D">
            <w:pPr>
              <w:pStyle w:val="BodyText"/>
              <w:spacing w:after="60"/>
              <w:jc w:val="center"/>
              <w:rPr>
                <w:rFonts w:cs="Calibri"/>
                <w:b/>
                <w:bCs/>
                <w:iCs/>
                <w:color w:val="FFFFFF" w:themeColor="background1"/>
                <w:sz w:val="20"/>
                <w:szCs w:val="20"/>
              </w:rPr>
            </w:pPr>
            <w:r w:rsidRPr="0010295D">
              <w:rPr>
                <w:rFonts w:cs="Calibri"/>
                <w:b/>
                <w:bCs/>
                <w:iCs/>
                <w:color w:val="FFFFFF" w:themeColor="background1"/>
                <w:sz w:val="20"/>
                <w:szCs w:val="20"/>
              </w:rPr>
              <w:t>Modification</w:t>
            </w:r>
          </w:p>
        </w:tc>
        <w:tc>
          <w:tcPr>
            <w:tcW w:w="1296" w:type="dxa"/>
            <w:tcBorders>
              <w:left w:val="single" w:sz="4" w:space="0" w:color="FFFFFF" w:themeColor="background1"/>
              <w:bottom w:val="single" w:sz="4" w:space="0" w:color="0067AB"/>
              <w:right w:val="single" w:sz="4" w:space="0" w:color="FFFFFF" w:themeColor="background1"/>
            </w:tcBorders>
            <w:shd w:val="clear" w:color="auto" w:fill="0067AB"/>
            <w:vAlign w:val="bottom"/>
            <w:hideMark/>
          </w:tcPr>
          <w:p w14:paraId="53F20AA8" w14:textId="77777777" w:rsidR="00350F25" w:rsidRPr="0010295D" w:rsidRDefault="00350F25" w:rsidP="0010295D">
            <w:pPr>
              <w:pStyle w:val="BodyText"/>
              <w:spacing w:after="60"/>
              <w:jc w:val="center"/>
              <w:rPr>
                <w:rFonts w:cs="Calibri"/>
                <w:b/>
                <w:bCs/>
                <w:iCs/>
                <w:color w:val="FFFFFF" w:themeColor="background1"/>
                <w:sz w:val="20"/>
                <w:szCs w:val="20"/>
              </w:rPr>
            </w:pPr>
            <w:r w:rsidRPr="0010295D">
              <w:rPr>
                <w:rFonts w:cs="Calibri"/>
                <w:b/>
                <w:bCs/>
                <w:iCs/>
                <w:color w:val="FFFFFF" w:themeColor="background1"/>
                <w:sz w:val="20"/>
                <w:szCs w:val="20"/>
              </w:rPr>
              <w:t>PM</w:t>
            </w:r>
            <w:r w:rsidRPr="0010295D">
              <w:rPr>
                <w:rFonts w:cs="Calibri"/>
                <w:b/>
                <w:bCs/>
                <w:iCs/>
                <w:color w:val="FFFFFF" w:themeColor="background1"/>
                <w:sz w:val="20"/>
                <w:szCs w:val="20"/>
                <w:vertAlign w:val="subscript"/>
              </w:rPr>
              <w:t>2.5</w:t>
            </w:r>
            <w:r w:rsidRPr="0010295D">
              <w:rPr>
                <w:rFonts w:cs="Calibri"/>
                <w:b/>
                <w:bCs/>
                <w:iCs/>
                <w:color w:val="FFFFFF" w:themeColor="background1"/>
                <w:sz w:val="20"/>
                <w:szCs w:val="20"/>
              </w:rPr>
              <w:t xml:space="preserve"> Emissions Reduced (tons/yr)</w:t>
            </w:r>
          </w:p>
        </w:tc>
        <w:tc>
          <w:tcPr>
            <w:tcW w:w="1296" w:type="dxa"/>
            <w:tcBorders>
              <w:left w:val="single" w:sz="4" w:space="0" w:color="FFFFFF" w:themeColor="background1"/>
              <w:bottom w:val="single" w:sz="4" w:space="0" w:color="0067AB"/>
              <w:right w:val="single" w:sz="4" w:space="0" w:color="FFFFFF" w:themeColor="background1"/>
            </w:tcBorders>
            <w:shd w:val="clear" w:color="auto" w:fill="0067AB"/>
            <w:vAlign w:val="bottom"/>
            <w:hideMark/>
          </w:tcPr>
          <w:p w14:paraId="078FAB1F" w14:textId="77777777" w:rsidR="00350F25" w:rsidRPr="0010295D" w:rsidRDefault="00350F25" w:rsidP="0010295D">
            <w:pPr>
              <w:pStyle w:val="BodyText"/>
              <w:spacing w:after="60"/>
              <w:jc w:val="center"/>
              <w:rPr>
                <w:rFonts w:cs="Calibri"/>
                <w:b/>
                <w:bCs/>
                <w:iCs/>
                <w:color w:val="FFFFFF" w:themeColor="background1"/>
                <w:sz w:val="20"/>
                <w:szCs w:val="20"/>
              </w:rPr>
            </w:pPr>
            <w:r w:rsidRPr="0010295D">
              <w:rPr>
                <w:rFonts w:cs="Calibri"/>
                <w:b/>
                <w:bCs/>
                <w:iCs/>
                <w:color w:val="FFFFFF" w:themeColor="background1"/>
                <w:sz w:val="20"/>
                <w:szCs w:val="20"/>
              </w:rPr>
              <w:t>Annual Fuel Savings</w:t>
            </w:r>
          </w:p>
        </w:tc>
        <w:tc>
          <w:tcPr>
            <w:tcW w:w="1152" w:type="dxa"/>
            <w:tcBorders>
              <w:left w:val="single" w:sz="4" w:space="0" w:color="FFFFFF" w:themeColor="background1"/>
              <w:bottom w:val="single" w:sz="4" w:space="0" w:color="0067AB"/>
              <w:right w:val="single" w:sz="4" w:space="0" w:color="FFFFFF" w:themeColor="background1"/>
            </w:tcBorders>
            <w:shd w:val="clear" w:color="auto" w:fill="0067AB"/>
            <w:vAlign w:val="bottom"/>
            <w:hideMark/>
          </w:tcPr>
          <w:p w14:paraId="2DA480CE" w14:textId="77777777" w:rsidR="00350F25" w:rsidRPr="0010295D" w:rsidRDefault="00350F25" w:rsidP="0010295D">
            <w:pPr>
              <w:pStyle w:val="BodyText"/>
              <w:spacing w:after="60"/>
              <w:jc w:val="center"/>
              <w:rPr>
                <w:rFonts w:cs="Calibri"/>
                <w:b/>
                <w:bCs/>
                <w:iCs/>
                <w:color w:val="FFFFFF" w:themeColor="background1"/>
                <w:sz w:val="20"/>
                <w:szCs w:val="20"/>
              </w:rPr>
            </w:pPr>
            <w:r w:rsidRPr="0010295D">
              <w:rPr>
                <w:rFonts w:cs="Calibri"/>
                <w:b/>
                <w:bCs/>
                <w:iCs/>
                <w:color w:val="FFFFFF" w:themeColor="background1"/>
                <w:sz w:val="20"/>
                <w:szCs w:val="20"/>
              </w:rPr>
              <w:t>Incentive Level</w:t>
            </w:r>
          </w:p>
        </w:tc>
        <w:tc>
          <w:tcPr>
            <w:tcW w:w="1152" w:type="dxa"/>
            <w:tcBorders>
              <w:left w:val="single" w:sz="4" w:space="0" w:color="FFFFFF" w:themeColor="background1"/>
              <w:bottom w:val="single" w:sz="4" w:space="0" w:color="0067AB"/>
              <w:right w:val="single" w:sz="4" w:space="0" w:color="FFFFFF" w:themeColor="background1"/>
            </w:tcBorders>
            <w:shd w:val="clear" w:color="auto" w:fill="0067AB"/>
            <w:vAlign w:val="bottom"/>
          </w:tcPr>
          <w:p w14:paraId="1AEE2FB0" w14:textId="77777777" w:rsidR="00350F25" w:rsidRPr="0010295D" w:rsidRDefault="00350F25" w:rsidP="0010295D">
            <w:pPr>
              <w:pStyle w:val="BodyText"/>
              <w:spacing w:after="60"/>
              <w:jc w:val="center"/>
              <w:rPr>
                <w:rFonts w:cs="Calibri"/>
                <w:b/>
                <w:bCs/>
                <w:iCs/>
                <w:color w:val="FFFFFF" w:themeColor="background1"/>
                <w:sz w:val="20"/>
                <w:szCs w:val="20"/>
              </w:rPr>
            </w:pPr>
            <w:r w:rsidRPr="0010295D">
              <w:rPr>
                <w:rFonts w:cs="Calibri"/>
                <w:b/>
                <w:bCs/>
                <w:iCs/>
                <w:color w:val="FFFFFF" w:themeColor="background1"/>
                <w:sz w:val="20"/>
                <w:szCs w:val="20"/>
              </w:rPr>
              <w:t>Total Program Costs</w:t>
            </w:r>
          </w:p>
        </w:tc>
        <w:tc>
          <w:tcPr>
            <w:tcW w:w="1309" w:type="dxa"/>
            <w:tcBorders>
              <w:left w:val="single" w:sz="4" w:space="0" w:color="FFFFFF" w:themeColor="background1"/>
              <w:bottom w:val="single" w:sz="4" w:space="0" w:color="0067AB"/>
              <w:right w:val="single" w:sz="4" w:space="0" w:color="FFFFFF" w:themeColor="background1"/>
            </w:tcBorders>
            <w:shd w:val="clear" w:color="auto" w:fill="0067AB"/>
            <w:vAlign w:val="bottom"/>
            <w:hideMark/>
          </w:tcPr>
          <w:p w14:paraId="3EA8260A" w14:textId="057A84BA" w:rsidR="00350F25" w:rsidRPr="0010295D" w:rsidRDefault="001F7075" w:rsidP="0010295D">
            <w:pPr>
              <w:pStyle w:val="BodyText"/>
              <w:spacing w:after="60"/>
              <w:jc w:val="center"/>
              <w:rPr>
                <w:rFonts w:cs="Calibri"/>
                <w:b/>
                <w:bCs/>
                <w:iCs/>
                <w:color w:val="FFFFFF" w:themeColor="background1"/>
                <w:sz w:val="20"/>
                <w:szCs w:val="20"/>
              </w:rPr>
            </w:pPr>
            <w:r>
              <w:rPr>
                <w:rFonts w:cs="Calibri"/>
                <w:b/>
                <w:bCs/>
                <w:iCs/>
                <w:color w:val="FFFFFF" w:themeColor="background1"/>
                <w:sz w:val="20"/>
                <w:szCs w:val="20"/>
              </w:rPr>
              <w:t>Cost effective</w:t>
            </w:r>
            <w:r w:rsidR="00350F25" w:rsidRPr="0010295D">
              <w:rPr>
                <w:rFonts w:cs="Calibri"/>
                <w:b/>
                <w:bCs/>
                <w:iCs/>
                <w:color w:val="FFFFFF" w:themeColor="background1"/>
                <w:sz w:val="20"/>
                <w:szCs w:val="20"/>
              </w:rPr>
              <w:t>ness of Incentive ($/ton)</w:t>
            </w:r>
          </w:p>
        </w:tc>
        <w:tc>
          <w:tcPr>
            <w:tcW w:w="1776" w:type="dxa"/>
            <w:tcBorders>
              <w:left w:val="single" w:sz="4" w:space="0" w:color="FFFFFF" w:themeColor="background1"/>
              <w:bottom w:val="single" w:sz="4" w:space="0" w:color="0067AB"/>
            </w:tcBorders>
            <w:shd w:val="clear" w:color="auto" w:fill="0067AB"/>
            <w:vAlign w:val="bottom"/>
            <w:hideMark/>
          </w:tcPr>
          <w:p w14:paraId="53C822D3" w14:textId="77777777" w:rsidR="00350F25" w:rsidRPr="0010295D" w:rsidRDefault="00350F25" w:rsidP="0010295D">
            <w:pPr>
              <w:pStyle w:val="BodyText"/>
              <w:spacing w:after="60"/>
              <w:jc w:val="center"/>
              <w:rPr>
                <w:rFonts w:cs="Calibri"/>
                <w:b/>
                <w:bCs/>
                <w:iCs/>
                <w:color w:val="FFFFFF" w:themeColor="background1"/>
                <w:sz w:val="20"/>
                <w:szCs w:val="20"/>
              </w:rPr>
            </w:pPr>
            <w:r w:rsidRPr="0010295D">
              <w:rPr>
                <w:rFonts w:cs="Calibri"/>
                <w:b/>
                <w:bCs/>
                <w:iCs/>
                <w:color w:val="FFFFFF" w:themeColor="background1"/>
                <w:sz w:val="20"/>
                <w:szCs w:val="20"/>
              </w:rPr>
              <w:t>Years to Pay Off Non-incentive Capital Costs With Fuel Savings Only</w:t>
            </w:r>
          </w:p>
        </w:tc>
      </w:tr>
      <w:tr w:rsidR="00350F25" w:rsidRPr="002413B0" w14:paraId="02AF5D57" w14:textId="77777777" w:rsidTr="0010295D">
        <w:trPr>
          <w:trHeight w:val="300"/>
        </w:trPr>
        <w:tc>
          <w:tcPr>
            <w:tcW w:w="1390" w:type="dxa"/>
            <w:vMerge w:val="restart"/>
            <w:tcBorders>
              <w:top w:val="single" w:sz="4" w:space="0" w:color="0067AB"/>
              <w:left w:val="single" w:sz="4" w:space="0" w:color="0067AB"/>
              <w:bottom w:val="single" w:sz="4" w:space="0" w:color="0067AB"/>
              <w:right w:val="single" w:sz="4" w:space="0" w:color="0067AB"/>
            </w:tcBorders>
            <w:noWrap/>
            <w:vAlign w:val="center"/>
            <w:hideMark/>
          </w:tcPr>
          <w:p w14:paraId="7E593AA7" w14:textId="77777777" w:rsidR="00350F25" w:rsidRPr="00350F25" w:rsidRDefault="00350F25" w:rsidP="00350F25">
            <w:pPr>
              <w:pStyle w:val="BodyText"/>
              <w:spacing w:after="0"/>
              <w:rPr>
                <w:rFonts w:cs="Calibri"/>
                <w:iCs/>
                <w:sz w:val="20"/>
                <w:szCs w:val="20"/>
              </w:rPr>
            </w:pPr>
            <w:r w:rsidRPr="00350F25">
              <w:rPr>
                <w:rFonts w:cs="Calibri"/>
                <w:sz w:val="20"/>
                <w:szCs w:val="20"/>
              </w:rPr>
              <w:t>Fuel Operated Heater</w:t>
            </w:r>
          </w:p>
        </w:tc>
        <w:tc>
          <w:tcPr>
            <w:tcW w:w="1296" w:type="dxa"/>
            <w:vMerge w:val="restart"/>
            <w:tcBorders>
              <w:top w:val="single" w:sz="4" w:space="0" w:color="0067AB"/>
              <w:left w:val="single" w:sz="4" w:space="0" w:color="0067AB"/>
              <w:bottom w:val="single" w:sz="4" w:space="0" w:color="0067AB"/>
              <w:right w:val="single" w:sz="4" w:space="0" w:color="0067AB"/>
            </w:tcBorders>
            <w:noWrap/>
            <w:vAlign w:val="center"/>
            <w:hideMark/>
          </w:tcPr>
          <w:p w14:paraId="402C1C64" w14:textId="77777777" w:rsidR="00350F25" w:rsidRPr="00350F25" w:rsidRDefault="00350F25" w:rsidP="00350F25">
            <w:pPr>
              <w:pStyle w:val="BodyText"/>
              <w:spacing w:after="0"/>
              <w:jc w:val="center"/>
              <w:rPr>
                <w:rFonts w:cs="Calibri"/>
                <w:iCs/>
                <w:sz w:val="20"/>
                <w:szCs w:val="20"/>
              </w:rPr>
            </w:pPr>
            <w:r w:rsidRPr="00350F25">
              <w:rPr>
                <w:rFonts w:cs="Calibri"/>
                <w:sz w:val="20"/>
                <w:szCs w:val="20"/>
              </w:rPr>
              <w:t>0.351</w:t>
            </w:r>
          </w:p>
        </w:tc>
        <w:tc>
          <w:tcPr>
            <w:tcW w:w="1296" w:type="dxa"/>
            <w:vMerge w:val="restart"/>
            <w:tcBorders>
              <w:top w:val="single" w:sz="4" w:space="0" w:color="0067AB"/>
              <w:left w:val="single" w:sz="4" w:space="0" w:color="0067AB"/>
              <w:bottom w:val="single" w:sz="4" w:space="0" w:color="0067AB"/>
              <w:right w:val="single" w:sz="4" w:space="0" w:color="0067AB"/>
            </w:tcBorders>
            <w:noWrap/>
            <w:vAlign w:val="center"/>
            <w:hideMark/>
          </w:tcPr>
          <w:p w14:paraId="774A0EC1" w14:textId="77777777" w:rsidR="00350F25" w:rsidRPr="00350F25" w:rsidRDefault="00350F25" w:rsidP="00350F25">
            <w:pPr>
              <w:pStyle w:val="BodyText"/>
              <w:spacing w:after="0"/>
              <w:jc w:val="center"/>
              <w:rPr>
                <w:rFonts w:cs="Calibri"/>
                <w:iCs/>
                <w:sz w:val="20"/>
                <w:szCs w:val="20"/>
              </w:rPr>
            </w:pPr>
            <w:r w:rsidRPr="00350F25">
              <w:rPr>
                <w:rFonts w:cs="Calibri"/>
                <w:sz w:val="20"/>
                <w:szCs w:val="20"/>
              </w:rPr>
              <w:t>$345,255</w:t>
            </w:r>
          </w:p>
        </w:tc>
        <w:tc>
          <w:tcPr>
            <w:tcW w:w="1152" w:type="dxa"/>
            <w:tcBorders>
              <w:top w:val="single" w:sz="4" w:space="0" w:color="0067AB"/>
              <w:left w:val="single" w:sz="4" w:space="0" w:color="0067AB"/>
              <w:bottom w:val="single" w:sz="4" w:space="0" w:color="0067AB"/>
              <w:right w:val="single" w:sz="4" w:space="0" w:color="0067AB"/>
            </w:tcBorders>
            <w:noWrap/>
            <w:vAlign w:val="center"/>
            <w:hideMark/>
          </w:tcPr>
          <w:p w14:paraId="6F24E790" w14:textId="77777777" w:rsidR="00350F25" w:rsidRPr="00350F25" w:rsidRDefault="00350F25" w:rsidP="00350F25">
            <w:pPr>
              <w:pStyle w:val="BodyText"/>
              <w:spacing w:after="0"/>
              <w:jc w:val="center"/>
              <w:rPr>
                <w:rFonts w:cs="Calibri"/>
                <w:iCs/>
                <w:sz w:val="20"/>
                <w:szCs w:val="20"/>
              </w:rPr>
            </w:pPr>
            <w:r w:rsidRPr="00350F25">
              <w:rPr>
                <w:rFonts w:cs="Calibri"/>
                <w:sz w:val="20"/>
                <w:szCs w:val="20"/>
              </w:rPr>
              <w:t>25%</w:t>
            </w:r>
          </w:p>
        </w:tc>
        <w:tc>
          <w:tcPr>
            <w:tcW w:w="1152" w:type="dxa"/>
            <w:tcBorders>
              <w:top w:val="single" w:sz="4" w:space="0" w:color="0067AB"/>
              <w:left w:val="single" w:sz="4" w:space="0" w:color="0067AB"/>
              <w:bottom w:val="single" w:sz="4" w:space="0" w:color="0067AB"/>
              <w:right w:val="single" w:sz="4" w:space="0" w:color="0067AB"/>
            </w:tcBorders>
            <w:vAlign w:val="center"/>
          </w:tcPr>
          <w:p w14:paraId="75D47D6A" w14:textId="77777777" w:rsidR="00350F25" w:rsidRPr="00350F25" w:rsidRDefault="00350F25" w:rsidP="00350F25">
            <w:pPr>
              <w:pStyle w:val="BodyText"/>
              <w:spacing w:after="0"/>
              <w:jc w:val="center"/>
              <w:rPr>
                <w:rFonts w:cs="Calibri"/>
                <w:sz w:val="20"/>
                <w:szCs w:val="20"/>
              </w:rPr>
            </w:pPr>
            <w:r w:rsidRPr="00350F25">
              <w:rPr>
                <w:rFonts w:cs="Calibri"/>
                <w:sz w:val="20"/>
                <w:szCs w:val="20"/>
              </w:rPr>
              <w:t>$50,000</w:t>
            </w:r>
          </w:p>
        </w:tc>
        <w:tc>
          <w:tcPr>
            <w:tcW w:w="1309" w:type="dxa"/>
            <w:tcBorders>
              <w:top w:val="single" w:sz="4" w:space="0" w:color="0067AB"/>
              <w:left w:val="single" w:sz="4" w:space="0" w:color="0067AB"/>
              <w:bottom w:val="single" w:sz="4" w:space="0" w:color="0067AB"/>
              <w:right w:val="single" w:sz="4" w:space="0" w:color="0067AB"/>
            </w:tcBorders>
            <w:noWrap/>
            <w:vAlign w:val="center"/>
            <w:hideMark/>
          </w:tcPr>
          <w:p w14:paraId="73DC4051" w14:textId="77777777" w:rsidR="00350F25" w:rsidRPr="00350F25" w:rsidRDefault="00350F25" w:rsidP="00350F25">
            <w:pPr>
              <w:pStyle w:val="BodyText"/>
              <w:spacing w:after="0"/>
              <w:jc w:val="center"/>
              <w:rPr>
                <w:rFonts w:cs="Calibri"/>
                <w:iCs/>
                <w:sz w:val="20"/>
                <w:szCs w:val="20"/>
              </w:rPr>
            </w:pPr>
            <w:r w:rsidRPr="00350F25">
              <w:rPr>
                <w:rFonts w:cs="Calibri"/>
                <w:sz w:val="20"/>
                <w:szCs w:val="20"/>
              </w:rPr>
              <w:t>$28,457</w:t>
            </w:r>
          </w:p>
        </w:tc>
        <w:tc>
          <w:tcPr>
            <w:tcW w:w="1776" w:type="dxa"/>
            <w:tcBorders>
              <w:top w:val="single" w:sz="4" w:space="0" w:color="0067AB"/>
              <w:left w:val="single" w:sz="4" w:space="0" w:color="0067AB"/>
              <w:bottom w:val="single" w:sz="4" w:space="0" w:color="0067AB"/>
              <w:right w:val="single" w:sz="4" w:space="0" w:color="0067AB"/>
            </w:tcBorders>
            <w:noWrap/>
            <w:vAlign w:val="center"/>
            <w:hideMark/>
          </w:tcPr>
          <w:p w14:paraId="639C6A85" w14:textId="77777777" w:rsidR="00350F25" w:rsidRPr="00350F25" w:rsidRDefault="00350F25" w:rsidP="00350F25">
            <w:pPr>
              <w:pStyle w:val="BodyText"/>
              <w:spacing w:after="0"/>
              <w:jc w:val="center"/>
              <w:rPr>
                <w:rFonts w:cs="Calibri"/>
                <w:iCs/>
                <w:sz w:val="20"/>
                <w:szCs w:val="20"/>
              </w:rPr>
            </w:pPr>
            <w:r w:rsidRPr="00350F25">
              <w:rPr>
                <w:rFonts w:cs="Calibri"/>
                <w:sz w:val="20"/>
                <w:szCs w:val="20"/>
              </w:rPr>
              <w:t>0.4</w:t>
            </w:r>
          </w:p>
        </w:tc>
      </w:tr>
      <w:tr w:rsidR="00350F25" w:rsidRPr="002413B0" w14:paraId="544A301A" w14:textId="77777777" w:rsidTr="0010295D">
        <w:trPr>
          <w:trHeight w:val="300"/>
        </w:trPr>
        <w:tc>
          <w:tcPr>
            <w:tcW w:w="1390" w:type="dxa"/>
            <w:vMerge/>
            <w:tcBorders>
              <w:top w:val="single" w:sz="4" w:space="0" w:color="0067AB"/>
              <w:left w:val="single" w:sz="4" w:space="0" w:color="0067AB"/>
              <w:bottom w:val="single" w:sz="4" w:space="0" w:color="0067AB"/>
              <w:right w:val="single" w:sz="4" w:space="0" w:color="0067AB"/>
            </w:tcBorders>
            <w:noWrap/>
            <w:vAlign w:val="center"/>
            <w:hideMark/>
          </w:tcPr>
          <w:p w14:paraId="1C9C9119" w14:textId="77777777" w:rsidR="00350F25" w:rsidRPr="00350F25" w:rsidRDefault="00350F25" w:rsidP="00350F25">
            <w:pPr>
              <w:pStyle w:val="BodyText"/>
              <w:spacing w:after="0"/>
              <w:rPr>
                <w:rFonts w:cs="Calibri"/>
                <w:iCs/>
                <w:sz w:val="20"/>
                <w:szCs w:val="20"/>
              </w:rPr>
            </w:pPr>
          </w:p>
        </w:tc>
        <w:tc>
          <w:tcPr>
            <w:tcW w:w="1296" w:type="dxa"/>
            <w:vMerge/>
            <w:tcBorders>
              <w:top w:val="single" w:sz="4" w:space="0" w:color="0067AB"/>
              <w:left w:val="single" w:sz="4" w:space="0" w:color="0067AB"/>
              <w:bottom w:val="single" w:sz="4" w:space="0" w:color="0067AB"/>
              <w:right w:val="single" w:sz="4" w:space="0" w:color="0067AB"/>
            </w:tcBorders>
            <w:noWrap/>
            <w:vAlign w:val="center"/>
            <w:hideMark/>
          </w:tcPr>
          <w:p w14:paraId="3D77324B" w14:textId="77777777" w:rsidR="00350F25" w:rsidRPr="00350F25" w:rsidRDefault="00350F25" w:rsidP="00350F25">
            <w:pPr>
              <w:pStyle w:val="BodyText"/>
              <w:spacing w:after="0"/>
              <w:jc w:val="center"/>
              <w:rPr>
                <w:rFonts w:cs="Calibri"/>
                <w:iCs/>
                <w:sz w:val="20"/>
                <w:szCs w:val="20"/>
              </w:rPr>
            </w:pPr>
          </w:p>
        </w:tc>
        <w:tc>
          <w:tcPr>
            <w:tcW w:w="1296" w:type="dxa"/>
            <w:vMerge/>
            <w:tcBorders>
              <w:top w:val="single" w:sz="4" w:space="0" w:color="0067AB"/>
              <w:left w:val="single" w:sz="4" w:space="0" w:color="0067AB"/>
              <w:bottom w:val="single" w:sz="4" w:space="0" w:color="0067AB"/>
              <w:right w:val="single" w:sz="4" w:space="0" w:color="0067AB"/>
            </w:tcBorders>
            <w:noWrap/>
            <w:vAlign w:val="center"/>
            <w:hideMark/>
          </w:tcPr>
          <w:p w14:paraId="20D1394B" w14:textId="77777777" w:rsidR="00350F25" w:rsidRPr="00350F25" w:rsidRDefault="00350F25" w:rsidP="00350F25">
            <w:pPr>
              <w:pStyle w:val="BodyText"/>
              <w:spacing w:after="0"/>
              <w:jc w:val="center"/>
              <w:rPr>
                <w:rFonts w:cs="Calibri"/>
                <w:iCs/>
                <w:sz w:val="20"/>
                <w:szCs w:val="20"/>
              </w:rPr>
            </w:pPr>
          </w:p>
        </w:tc>
        <w:tc>
          <w:tcPr>
            <w:tcW w:w="1152" w:type="dxa"/>
            <w:tcBorders>
              <w:top w:val="single" w:sz="4" w:space="0" w:color="0067AB"/>
              <w:left w:val="single" w:sz="4" w:space="0" w:color="0067AB"/>
              <w:bottom w:val="single" w:sz="4" w:space="0" w:color="0067AB"/>
              <w:right w:val="single" w:sz="4" w:space="0" w:color="0067AB"/>
            </w:tcBorders>
            <w:noWrap/>
            <w:vAlign w:val="center"/>
            <w:hideMark/>
          </w:tcPr>
          <w:p w14:paraId="158FC81E" w14:textId="77777777" w:rsidR="00350F25" w:rsidRPr="00350F25" w:rsidRDefault="00350F25" w:rsidP="00350F25">
            <w:pPr>
              <w:pStyle w:val="BodyText"/>
              <w:spacing w:after="0"/>
              <w:jc w:val="center"/>
              <w:rPr>
                <w:rFonts w:cs="Calibri"/>
                <w:iCs/>
                <w:sz w:val="20"/>
                <w:szCs w:val="20"/>
              </w:rPr>
            </w:pPr>
            <w:r w:rsidRPr="00350F25">
              <w:rPr>
                <w:rFonts w:cs="Calibri"/>
                <w:sz w:val="20"/>
                <w:szCs w:val="20"/>
              </w:rPr>
              <w:t>50%</w:t>
            </w:r>
          </w:p>
        </w:tc>
        <w:tc>
          <w:tcPr>
            <w:tcW w:w="1152" w:type="dxa"/>
            <w:tcBorders>
              <w:top w:val="single" w:sz="4" w:space="0" w:color="0067AB"/>
              <w:left w:val="single" w:sz="4" w:space="0" w:color="0067AB"/>
              <w:bottom w:val="single" w:sz="4" w:space="0" w:color="0067AB"/>
              <w:right w:val="single" w:sz="4" w:space="0" w:color="0067AB"/>
            </w:tcBorders>
            <w:vAlign w:val="center"/>
          </w:tcPr>
          <w:p w14:paraId="47FCE085" w14:textId="77777777" w:rsidR="00350F25" w:rsidRPr="00350F25" w:rsidRDefault="00350F25" w:rsidP="00350F25">
            <w:pPr>
              <w:pStyle w:val="BodyText"/>
              <w:spacing w:after="0"/>
              <w:jc w:val="center"/>
              <w:rPr>
                <w:rFonts w:cs="Calibri"/>
                <w:sz w:val="20"/>
                <w:szCs w:val="20"/>
              </w:rPr>
            </w:pPr>
            <w:r w:rsidRPr="00350F25">
              <w:rPr>
                <w:rFonts w:cs="Calibri"/>
                <w:sz w:val="20"/>
                <w:szCs w:val="20"/>
              </w:rPr>
              <w:t>$100,000</w:t>
            </w:r>
          </w:p>
        </w:tc>
        <w:tc>
          <w:tcPr>
            <w:tcW w:w="1309" w:type="dxa"/>
            <w:tcBorders>
              <w:top w:val="single" w:sz="4" w:space="0" w:color="0067AB"/>
              <w:left w:val="single" w:sz="4" w:space="0" w:color="0067AB"/>
              <w:bottom w:val="single" w:sz="4" w:space="0" w:color="0067AB"/>
              <w:right w:val="single" w:sz="4" w:space="0" w:color="0067AB"/>
            </w:tcBorders>
            <w:noWrap/>
            <w:vAlign w:val="center"/>
            <w:hideMark/>
          </w:tcPr>
          <w:p w14:paraId="4B3E1BF1" w14:textId="77777777" w:rsidR="00350F25" w:rsidRPr="00350F25" w:rsidRDefault="00350F25" w:rsidP="00350F25">
            <w:pPr>
              <w:pStyle w:val="BodyText"/>
              <w:spacing w:after="0"/>
              <w:jc w:val="center"/>
              <w:rPr>
                <w:rFonts w:cs="Calibri"/>
                <w:iCs/>
                <w:sz w:val="20"/>
                <w:szCs w:val="20"/>
              </w:rPr>
            </w:pPr>
            <w:r w:rsidRPr="00350F25">
              <w:rPr>
                <w:rFonts w:cs="Calibri"/>
                <w:sz w:val="20"/>
                <w:szCs w:val="20"/>
              </w:rPr>
              <w:t>$56,913</w:t>
            </w:r>
          </w:p>
        </w:tc>
        <w:tc>
          <w:tcPr>
            <w:tcW w:w="1776" w:type="dxa"/>
            <w:tcBorders>
              <w:top w:val="single" w:sz="4" w:space="0" w:color="0067AB"/>
              <w:left w:val="single" w:sz="4" w:space="0" w:color="0067AB"/>
              <w:bottom w:val="single" w:sz="4" w:space="0" w:color="0067AB"/>
              <w:right w:val="single" w:sz="4" w:space="0" w:color="0067AB"/>
            </w:tcBorders>
            <w:noWrap/>
            <w:vAlign w:val="center"/>
            <w:hideMark/>
          </w:tcPr>
          <w:p w14:paraId="28C2CD49" w14:textId="77777777" w:rsidR="00350F25" w:rsidRPr="00350F25" w:rsidRDefault="00350F25" w:rsidP="00350F25">
            <w:pPr>
              <w:pStyle w:val="BodyText"/>
              <w:spacing w:after="0"/>
              <w:jc w:val="center"/>
              <w:rPr>
                <w:rFonts w:cs="Calibri"/>
                <w:iCs/>
                <w:sz w:val="20"/>
                <w:szCs w:val="20"/>
              </w:rPr>
            </w:pPr>
            <w:r w:rsidRPr="00350F25">
              <w:rPr>
                <w:rFonts w:cs="Calibri"/>
                <w:sz w:val="20"/>
                <w:szCs w:val="20"/>
              </w:rPr>
              <w:t>0.3</w:t>
            </w:r>
          </w:p>
        </w:tc>
      </w:tr>
      <w:tr w:rsidR="00350F25" w:rsidRPr="002413B0" w14:paraId="334E0F51" w14:textId="77777777" w:rsidTr="0010295D">
        <w:trPr>
          <w:trHeight w:val="300"/>
        </w:trPr>
        <w:tc>
          <w:tcPr>
            <w:tcW w:w="1390" w:type="dxa"/>
            <w:vMerge/>
            <w:tcBorders>
              <w:top w:val="single" w:sz="4" w:space="0" w:color="0067AB"/>
              <w:left w:val="single" w:sz="4" w:space="0" w:color="0067AB"/>
              <w:bottom w:val="single" w:sz="4" w:space="0" w:color="0067AB"/>
              <w:right w:val="single" w:sz="4" w:space="0" w:color="0067AB"/>
            </w:tcBorders>
            <w:noWrap/>
            <w:vAlign w:val="center"/>
            <w:hideMark/>
          </w:tcPr>
          <w:p w14:paraId="3D243355" w14:textId="77777777" w:rsidR="00350F25" w:rsidRPr="00350F25" w:rsidRDefault="00350F25" w:rsidP="00350F25">
            <w:pPr>
              <w:pStyle w:val="BodyText"/>
              <w:spacing w:after="0"/>
              <w:rPr>
                <w:rFonts w:cs="Calibri"/>
                <w:iCs/>
                <w:sz w:val="20"/>
                <w:szCs w:val="20"/>
              </w:rPr>
            </w:pPr>
          </w:p>
        </w:tc>
        <w:tc>
          <w:tcPr>
            <w:tcW w:w="1296" w:type="dxa"/>
            <w:vMerge/>
            <w:tcBorders>
              <w:top w:val="single" w:sz="4" w:space="0" w:color="0067AB"/>
              <w:left w:val="single" w:sz="4" w:space="0" w:color="0067AB"/>
              <w:bottom w:val="single" w:sz="4" w:space="0" w:color="0067AB"/>
              <w:right w:val="single" w:sz="4" w:space="0" w:color="0067AB"/>
            </w:tcBorders>
            <w:noWrap/>
            <w:vAlign w:val="center"/>
            <w:hideMark/>
          </w:tcPr>
          <w:p w14:paraId="30D20E36" w14:textId="77777777" w:rsidR="00350F25" w:rsidRPr="00350F25" w:rsidRDefault="00350F25" w:rsidP="00350F25">
            <w:pPr>
              <w:pStyle w:val="BodyText"/>
              <w:spacing w:after="0"/>
              <w:jc w:val="center"/>
              <w:rPr>
                <w:rFonts w:cs="Calibri"/>
                <w:iCs/>
                <w:sz w:val="20"/>
                <w:szCs w:val="20"/>
              </w:rPr>
            </w:pPr>
          </w:p>
        </w:tc>
        <w:tc>
          <w:tcPr>
            <w:tcW w:w="1296" w:type="dxa"/>
            <w:vMerge/>
            <w:tcBorders>
              <w:top w:val="single" w:sz="4" w:space="0" w:color="0067AB"/>
              <w:left w:val="single" w:sz="4" w:space="0" w:color="0067AB"/>
              <w:bottom w:val="single" w:sz="4" w:space="0" w:color="0067AB"/>
              <w:right w:val="single" w:sz="4" w:space="0" w:color="0067AB"/>
            </w:tcBorders>
            <w:noWrap/>
            <w:vAlign w:val="center"/>
            <w:hideMark/>
          </w:tcPr>
          <w:p w14:paraId="0577E84A" w14:textId="77777777" w:rsidR="00350F25" w:rsidRPr="00350F25" w:rsidRDefault="00350F25" w:rsidP="00350F25">
            <w:pPr>
              <w:pStyle w:val="BodyText"/>
              <w:spacing w:after="0"/>
              <w:jc w:val="center"/>
              <w:rPr>
                <w:rFonts w:cs="Calibri"/>
                <w:iCs/>
                <w:sz w:val="20"/>
                <w:szCs w:val="20"/>
              </w:rPr>
            </w:pPr>
          </w:p>
        </w:tc>
        <w:tc>
          <w:tcPr>
            <w:tcW w:w="1152" w:type="dxa"/>
            <w:tcBorders>
              <w:top w:val="single" w:sz="4" w:space="0" w:color="0067AB"/>
              <w:left w:val="single" w:sz="4" w:space="0" w:color="0067AB"/>
              <w:bottom w:val="single" w:sz="4" w:space="0" w:color="0067AB"/>
              <w:right w:val="single" w:sz="4" w:space="0" w:color="0067AB"/>
            </w:tcBorders>
            <w:noWrap/>
            <w:vAlign w:val="center"/>
            <w:hideMark/>
          </w:tcPr>
          <w:p w14:paraId="64171AF9" w14:textId="77777777" w:rsidR="00350F25" w:rsidRPr="00350F25" w:rsidRDefault="00350F25" w:rsidP="00350F25">
            <w:pPr>
              <w:pStyle w:val="BodyText"/>
              <w:spacing w:after="0"/>
              <w:jc w:val="center"/>
              <w:rPr>
                <w:rFonts w:cs="Calibri"/>
                <w:iCs/>
                <w:sz w:val="20"/>
                <w:szCs w:val="20"/>
              </w:rPr>
            </w:pPr>
            <w:r w:rsidRPr="00350F25">
              <w:rPr>
                <w:rFonts w:cs="Calibri"/>
                <w:sz w:val="20"/>
                <w:szCs w:val="20"/>
              </w:rPr>
              <w:t>75%</w:t>
            </w:r>
          </w:p>
        </w:tc>
        <w:tc>
          <w:tcPr>
            <w:tcW w:w="1152" w:type="dxa"/>
            <w:tcBorders>
              <w:top w:val="single" w:sz="4" w:space="0" w:color="0067AB"/>
              <w:left w:val="single" w:sz="4" w:space="0" w:color="0067AB"/>
              <w:bottom w:val="single" w:sz="4" w:space="0" w:color="0067AB"/>
              <w:right w:val="single" w:sz="4" w:space="0" w:color="0067AB"/>
            </w:tcBorders>
            <w:vAlign w:val="center"/>
          </w:tcPr>
          <w:p w14:paraId="6572B638" w14:textId="77777777" w:rsidR="00350F25" w:rsidRPr="00350F25" w:rsidRDefault="00350F25" w:rsidP="00350F25">
            <w:pPr>
              <w:pStyle w:val="BodyText"/>
              <w:spacing w:after="0"/>
              <w:jc w:val="center"/>
              <w:rPr>
                <w:rFonts w:cs="Calibri"/>
                <w:sz w:val="20"/>
                <w:szCs w:val="20"/>
              </w:rPr>
            </w:pPr>
            <w:r w:rsidRPr="00350F25">
              <w:rPr>
                <w:rFonts w:cs="Calibri"/>
                <w:sz w:val="20"/>
                <w:szCs w:val="20"/>
              </w:rPr>
              <w:t>$150,000</w:t>
            </w:r>
          </w:p>
        </w:tc>
        <w:tc>
          <w:tcPr>
            <w:tcW w:w="1309" w:type="dxa"/>
            <w:tcBorders>
              <w:top w:val="single" w:sz="4" w:space="0" w:color="0067AB"/>
              <w:left w:val="single" w:sz="4" w:space="0" w:color="0067AB"/>
              <w:bottom w:val="single" w:sz="4" w:space="0" w:color="0067AB"/>
              <w:right w:val="single" w:sz="4" w:space="0" w:color="0067AB"/>
            </w:tcBorders>
            <w:noWrap/>
            <w:vAlign w:val="center"/>
            <w:hideMark/>
          </w:tcPr>
          <w:p w14:paraId="7CC57488" w14:textId="77777777" w:rsidR="00350F25" w:rsidRPr="00350F25" w:rsidRDefault="00350F25" w:rsidP="00350F25">
            <w:pPr>
              <w:pStyle w:val="BodyText"/>
              <w:spacing w:after="0"/>
              <w:jc w:val="center"/>
              <w:rPr>
                <w:rFonts w:cs="Calibri"/>
                <w:iCs/>
                <w:sz w:val="20"/>
                <w:szCs w:val="20"/>
              </w:rPr>
            </w:pPr>
            <w:r w:rsidRPr="00350F25">
              <w:rPr>
                <w:rFonts w:cs="Calibri"/>
                <w:sz w:val="20"/>
                <w:szCs w:val="20"/>
              </w:rPr>
              <w:t>$85,370</w:t>
            </w:r>
          </w:p>
        </w:tc>
        <w:tc>
          <w:tcPr>
            <w:tcW w:w="1776" w:type="dxa"/>
            <w:tcBorders>
              <w:top w:val="single" w:sz="4" w:space="0" w:color="0067AB"/>
              <w:left w:val="single" w:sz="4" w:space="0" w:color="0067AB"/>
              <w:bottom w:val="single" w:sz="4" w:space="0" w:color="0067AB"/>
              <w:right w:val="single" w:sz="4" w:space="0" w:color="0067AB"/>
            </w:tcBorders>
            <w:noWrap/>
            <w:vAlign w:val="center"/>
            <w:hideMark/>
          </w:tcPr>
          <w:p w14:paraId="3E147EB7" w14:textId="77777777" w:rsidR="00350F25" w:rsidRPr="00350F25" w:rsidRDefault="00350F25" w:rsidP="00350F25">
            <w:pPr>
              <w:pStyle w:val="BodyText"/>
              <w:spacing w:after="0"/>
              <w:jc w:val="center"/>
              <w:rPr>
                <w:rFonts w:cs="Calibri"/>
                <w:iCs/>
                <w:sz w:val="20"/>
                <w:szCs w:val="20"/>
              </w:rPr>
            </w:pPr>
            <w:r w:rsidRPr="00350F25">
              <w:rPr>
                <w:rFonts w:cs="Calibri"/>
                <w:sz w:val="20"/>
                <w:szCs w:val="20"/>
              </w:rPr>
              <w:t>0.1</w:t>
            </w:r>
          </w:p>
        </w:tc>
      </w:tr>
      <w:tr w:rsidR="00350F25" w:rsidRPr="002413B0" w14:paraId="118B9BE9" w14:textId="77777777" w:rsidTr="0010295D">
        <w:trPr>
          <w:trHeight w:val="300"/>
        </w:trPr>
        <w:tc>
          <w:tcPr>
            <w:tcW w:w="1390" w:type="dxa"/>
            <w:vMerge w:val="restart"/>
            <w:tcBorders>
              <w:top w:val="single" w:sz="4" w:space="0" w:color="0067AB"/>
              <w:left w:val="single" w:sz="4" w:space="0" w:color="0067AB"/>
              <w:bottom w:val="single" w:sz="4" w:space="0" w:color="0067AB"/>
              <w:right w:val="single" w:sz="4" w:space="0" w:color="0067AB"/>
            </w:tcBorders>
            <w:noWrap/>
            <w:vAlign w:val="center"/>
            <w:hideMark/>
          </w:tcPr>
          <w:p w14:paraId="54AE7249" w14:textId="77777777" w:rsidR="00350F25" w:rsidRPr="00350F25" w:rsidRDefault="00350F25" w:rsidP="00350F25">
            <w:pPr>
              <w:pStyle w:val="BodyText"/>
              <w:spacing w:after="0"/>
              <w:rPr>
                <w:rFonts w:cs="Calibri"/>
                <w:iCs/>
                <w:sz w:val="20"/>
                <w:szCs w:val="20"/>
              </w:rPr>
            </w:pPr>
            <w:r w:rsidRPr="00350F25">
              <w:rPr>
                <w:rFonts w:cs="Calibri"/>
                <w:sz w:val="20"/>
                <w:szCs w:val="20"/>
              </w:rPr>
              <w:t>Auxiliary Power Unit</w:t>
            </w:r>
          </w:p>
        </w:tc>
        <w:tc>
          <w:tcPr>
            <w:tcW w:w="1296" w:type="dxa"/>
            <w:vMerge w:val="restart"/>
            <w:tcBorders>
              <w:top w:val="single" w:sz="4" w:space="0" w:color="0067AB"/>
              <w:left w:val="single" w:sz="4" w:space="0" w:color="0067AB"/>
              <w:bottom w:val="single" w:sz="4" w:space="0" w:color="0067AB"/>
              <w:right w:val="single" w:sz="4" w:space="0" w:color="0067AB"/>
            </w:tcBorders>
            <w:noWrap/>
            <w:vAlign w:val="center"/>
            <w:hideMark/>
          </w:tcPr>
          <w:p w14:paraId="43634EE2" w14:textId="77777777" w:rsidR="00350F25" w:rsidRPr="00350F25" w:rsidRDefault="00350F25" w:rsidP="00350F25">
            <w:pPr>
              <w:pStyle w:val="BodyText"/>
              <w:spacing w:after="0"/>
              <w:jc w:val="center"/>
              <w:rPr>
                <w:rFonts w:cs="Calibri"/>
                <w:iCs/>
                <w:sz w:val="20"/>
                <w:szCs w:val="20"/>
              </w:rPr>
            </w:pPr>
            <w:r w:rsidRPr="00350F25">
              <w:rPr>
                <w:rFonts w:cs="Calibri"/>
                <w:sz w:val="20"/>
                <w:szCs w:val="20"/>
              </w:rPr>
              <w:t>0.390</w:t>
            </w:r>
          </w:p>
        </w:tc>
        <w:tc>
          <w:tcPr>
            <w:tcW w:w="1296" w:type="dxa"/>
            <w:vMerge w:val="restart"/>
            <w:tcBorders>
              <w:top w:val="single" w:sz="4" w:space="0" w:color="0067AB"/>
              <w:left w:val="single" w:sz="4" w:space="0" w:color="0067AB"/>
              <w:bottom w:val="single" w:sz="4" w:space="0" w:color="0067AB"/>
              <w:right w:val="single" w:sz="4" w:space="0" w:color="0067AB"/>
            </w:tcBorders>
            <w:noWrap/>
            <w:vAlign w:val="center"/>
            <w:hideMark/>
          </w:tcPr>
          <w:p w14:paraId="53D61150" w14:textId="77777777" w:rsidR="00350F25" w:rsidRPr="00350F25" w:rsidRDefault="00350F25" w:rsidP="00350F25">
            <w:pPr>
              <w:pStyle w:val="BodyText"/>
              <w:spacing w:after="0"/>
              <w:jc w:val="center"/>
              <w:rPr>
                <w:rFonts w:cs="Calibri"/>
                <w:iCs/>
                <w:sz w:val="20"/>
                <w:szCs w:val="20"/>
              </w:rPr>
            </w:pPr>
            <w:r w:rsidRPr="00350F25">
              <w:rPr>
                <w:rFonts w:cs="Calibri"/>
                <w:sz w:val="20"/>
                <w:szCs w:val="20"/>
              </w:rPr>
              <w:t>$383,617</w:t>
            </w:r>
          </w:p>
        </w:tc>
        <w:tc>
          <w:tcPr>
            <w:tcW w:w="1152" w:type="dxa"/>
            <w:tcBorders>
              <w:top w:val="single" w:sz="4" w:space="0" w:color="0067AB"/>
              <w:left w:val="single" w:sz="4" w:space="0" w:color="0067AB"/>
              <w:bottom w:val="single" w:sz="4" w:space="0" w:color="0067AB"/>
              <w:right w:val="single" w:sz="4" w:space="0" w:color="0067AB"/>
            </w:tcBorders>
            <w:noWrap/>
            <w:vAlign w:val="center"/>
            <w:hideMark/>
          </w:tcPr>
          <w:p w14:paraId="56630267" w14:textId="77777777" w:rsidR="00350F25" w:rsidRPr="00350F25" w:rsidRDefault="00350F25" w:rsidP="00350F25">
            <w:pPr>
              <w:pStyle w:val="BodyText"/>
              <w:spacing w:after="0"/>
              <w:jc w:val="center"/>
              <w:rPr>
                <w:rFonts w:cs="Calibri"/>
                <w:iCs/>
                <w:sz w:val="20"/>
                <w:szCs w:val="20"/>
              </w:rPr>
            </w:pPr>
            <w:r w:rsidRPr="00350F25">
              <w:rPr>
                <w:rFonts w:cs="Calibri"/>
                <w:sz w:val="20"/>
                <w:szCs w:val="20"/>
              </w:rPr>
              <w:t>25%</w:t>
            </w:r>
          </w:p>
        </w:tc>
        <w:tc>
          <w:tcPr>
            <w:tcW w:w="1152" w:type="dxa"/>
            <w:tcBorders>
              <w:top w:val="single" w:sz="4" w:space="0" w:color="0067AB"/>
              <w:left w:val="single" w:sz="4" w:space="0" w:color="0067AB"/>
              <w:bottom w:val="single" w:sz="4" w:space="0" w:color="0067AB"/>
              <w:right w:val="single" w:sz="4" w:space="0" w:color="0067AB"/>
            </w:tcBorders>
            <w:vAlign w:val="center"/>
          </w:tcPr>
          <w:p w14:paraId="2F60092D" w14:textId="77777777" w:rsidR="00350F25" w:rsidRPr="00350F25" w:rsidRDefault="00350F25" w:rsidP="00350F25">
            <w:pPr>
              <w:pStyle w:val="BodyText"/>
              <w:spacing w:after="0"/>
              <w:jc w:val="center"/>
              <w:rPr>
                <w:rFonts w:cs="Calibri"/>
                <w:sz w:val="20"/>
                <w:szCs w:val="20"/>
              </w:rPr>
            </w:pPr>
            <w:r w:rsidRPr="00350F25">
              <w:rPr>
                <w:rFonts w:cs="Calibri"/>
                <w:sz w:val="20"/>
                <w:szCs w:val="20"/>
              </w:rPr>
              <w:t>$600,000</w:t>
            </w:r>
          </w:p>
        </w:tc>
        <w:tc>
          <w:tcPr>
            <w:tcW w:w="1309" w:type="dxa"/>
            <w:tcBorders>
              <w:top w:val="single" w:sz="4" w:space="0" w:color="0067AB"/>
              <w:left w:val="single" w:sz="4" w:space="0" w:color="0067AB"/>
              <w:bottom w:val="single" w:sz="4" w:space="0" w:color="0067AB"/>
              <w:right w:val="single" w:sz="4" w:space="0" w:color="0067AB"/>
            </w:tcBorders>
            <w:noWrap/>
            <w:vAlign w:val="center"/>
            <w:hideMark/>
          </w:tcPr>
          <w:p w14:paraId="124CE26F" w14:textId="77777777" w:rsidR="00350F25" w:rsidRPr="00350F25" w:rsidRDefault="00350F25" w:rsidP="00350F25">
            <w:pPr>
              <w:pStyle w:val="BodyText"/>
              <w:spacing w:after="0"/>
              <w:jc w:val="center"/>
              <w:rPr>
                <w:rFonts w:cs="Calibri"/>
                <w:iCs/>
                <w:sz w:val="20"/>
                <w:szCs w:val="20"/>
              </w:rPr>
            </w:pPr>
            <w:r w:rsidRPr="00350F25">
              <w:rPr>
                <w:rFonts w:cs="Calibri"/>
                <w:sz w:val="20"/>
                <w:szCs w:val="20"/>
              </w:rPr>
              <w:t>$307,330</w:t>
            </w:r>
          </w:p>
        </w:tc>
        <w:tc>
          <w:tcPr>
            <w:tcW w:w="1776" w:type="dxa"/>
            <w:tcBorders>
              <w:top w:val="single" w:sz="4" w:space="0" w:color="0067AB"/>
              <w:left w:val="single" w:sz="4" w:space="0" w:color="0067AB"/>
              <w:bottom w:val="single" w:sz="4" w:space="0" w:color="0067AB"/>
              <w:right w:val="single" w:sz="4" w:space="0" w:color="0067AB"/>
            </w:tcBorders>
            <w:noWrap/>
            <w:vAlign w:val="center"/>
            <w:hideMark/>
          </w:tcPr>
          <w:p w14:paraId="2A97830F" w14:textId="77777777" w:rsidR="00350F25" w:rsidRPr="00350F25" w:rsidRDefault="00350F25" w:rsidP="00350F25">
            <w:pPr>
              <w:pStyle w:val="BodyText"/>
              <w:spacing w:after="0"/>
              <w:jc w:val="center"/>
              <w:rPr>
                <w:rFonts w:cs="Calibri"/>
                <w:iCs/>
                <w:sz w:val="20"/>
                <w:szCs w:val="20"/>
              </w:rPr>
            </w:pPr>
            <w:r w:rsidRPr="00350F25">
              <w:rPr>
                <w:rFonts w:cs="Calibri"/>
                <w:sz w:val="20"/>
                <w:szCs w:val="20"/>
              </w:rPr>
              <w:t>4.7</w:t>
            </w:r>
          </w:p>
        </w:tc>
      </w:tr>
      <w:tr w:rsidR="00350F25" w:rsidRPr="002413B0" w14:paraId="30A8E9F5" w14:textId="77777777" w:rsidTr="0010295D">
        <w:trPr>
          <w:trHeight w:val="300"/>
        </w:trPr>
        <w:tc>
          <w:tcPr>
            <w:tcW w:w="1390" w:type="dxa"/>
            <w:vMerge/>
            <w:tcBorders>
              <w:top w:val="single" w:sz="4" w:space="0" w:color="0067AB"/>
              <w:left w:val="single" w:sz="4" w:space="0" w:color="0067AB"/>
              <w:bottom w:val="single" w:sz="4" w:space="0" w:color="0067AB"/>
              <w:right w:val="single" w:sz="4" w:space="0" w:color="0067AB"/>
            </w:tcBorders>
            <w:noWrap/>
            <w:vAlign w:val="center"/>
            <w:hideMark/>
          </w:tcPr>
          <w:p w14:paraId="33E8FBBB" w14:textId="77777777" w:rsidR="00350F25" w:rsidRPr="00350F25" w:rsidRDefault="00350F25" w:rsidP="00350F25">
            <w:pPr>
              <w:pStyle w:val="BodyText"/>
              <w:spacing w:after="0"/>
              <w:rPr>
                <w:rFonts w:cs="Calibri"/>
                <w:iCs/>
                <w:sz w:val="20"/>
                <w:szCs w:val="20"/>
              </w:rPr>
            </w:pPr>
          </w:p>
        </w:tc>
        <w:tc>
          <w:tcPr>
            <w:tcW w:w="1296" w:type="dxa"/>
            <w:vMerge/>
            <w:tcBorders>
              <w:top w:val="single" w:sz="4" w:space="0" w:color="0067AB"/>
              <w:left w:val="single" w:sz="4" w:space="0" w:color="0067AB"/>
              <w:bottom w:val="single" w:sz="4" w:space="0" w:color="0067AB"/>
              <w:right w:val="single" w:sz="4" w:space="0" w:color="0067AB"/>
            </w:tcBorders>
            <w:noWrap/>
            <w:vAlign w:val="center"/>
            <w:hideMark/>
          </w:tcPr>
          <w:p w14:paraId="0C0E16B8" w14:textId="77777777" w:rsidR="00350F25" w:rsidRPr="00350F25" w:rsidRDefault="00350F25" w:rsidP="00350F25">
            <w:pPr>
              <w:pStyle w:val="BodyText"/>
              <w:spacing w:after="0"/>
              <w:jc w:val="center"/>
              <w:rPr>
                <w:rFonts w:cs="Calibri"/>
                <w:iCs/>
                <w:sz w:val="20"/>
                <w:szCs w:val="20"/>
              </w:rPr>
            </w:pPr>
          </w:p>
        </w:tc>
        <w:tc>
          <w:tcPr>
            <w:tcW w:w="1296" w:type="dxa"/>
            <w:vMerge/>
            <w:tcBorders>
              <w:top w:val="single" w:sz="4" w:space="0" w:color="0067AB"/>
              <w:left w:val="single" w:sz="4" w:space="0" w:color="0067AB"/>
              <w:bottom w:val="single" w:sz="4" w:space="0" w:color="0067AB"/>
              <w:right w:val="single" w:sz="4" w:space="0" w:color="0067AB"/>
            </w:tcBorders>
            <w:noWrap/>
            <w:vAlign w:val="center"/>
            <w:hideMark/>
          </w:tcPr>
          <w:p w14:paraId="138A45E5" w14:textId="77777777" w:rsidR="00350F25" w:rsidRPr="00350F25" w:rsidRDefault="00350F25" w:rsidP="00350F25">
            <w:pPr>
              <w:pStyle w:val="BodyText"/>
              <w:spacing w:after="0"/>
              <w:jc w:val="center"/>
              <w:rPr>
                <w:rFonts w:cs="Calibri"/>
                <w:iCs/>
                <w:sz w:val="20"/>
                <w:szCs w:val="20"/>
              </w:rPr>
            </w:pPr>
          </w:p>
        </w:tc>
        <w:tc>
          <w:tcPr>
            <w:tcW w:w="1152" w:type="dxa"/>
            <w:tcBorders>
              <w:top w:val="single" w:sz="4" w:space="0" w:color="0067AB"/>
              <w:left w:val="single" w:sz="4" w:space="0" w:color="0067AB"/>
              <w:bottom w:val="single" w:sz="4" w:space="0" w:color="0067AB"/>
              <w:right w:val="single" w:sz="4" w:space="0" w:color="0067AB"/>
            </w:tcBorders>
            <w:noWrap/>
            <w:vAlign w:val="center"/>
            <w:hideMark/>
          </w:tcPr>
          <w:p w14:paraId="3AA82CBF" w14:textId="77777777" w:rsidR="00350F25" w:rsidRPr="00350F25" w:rsidRDefault="00350F25" w:rsidP="00350F25">
            <w:pPr>
              <w:pStyle w:val="BodyText"/>
              <w:spacing w:after="0"/>
              <w:jc w:val="center"/>
              <w:rPr>
                <w:rFonts w:cs="Calibri"/>
                <w:iCs/>
                <w:sz w:val="20"/>
                <w:szCs w:val="20"/>
              </w:rPr>
            </w:pPr>
            <w:r w:rsidRPr="00350F25">
              <w:rPr>
                <w:rFonts w:cs="Calibri"/>
                <w:sz w:val="20"/>
                <w:szCs w:val="20"/>
              </w:rPr>
              <w:t>50%</w:t>
            </w:r>
          </w:p>
        </w:tc>
        <w:tc>
          <w:tcPr>
            <w:tcW w:w="1152" w:type="dxa"/>
            <w:tcBorders>
              <w:top w:val="single" w:sz="4" w:space="0" w:color="0067AB"/>
              <w:left w:val="single" w:sz="4" w:space="0" w:color="0067AB"/>
              <w:bottom w:val="single" w:sz="4" w:space="0" w:color="0067AB"/>
              <w:right w:val="single" w:sz="4" w:space="0" w:color="0067AB"/>
            </w:tcBorders>
            <w:vAlign w:val="center"/>
          </w:tcPr>
          <w:p w14:paraId="60C96AF5" w14:textId="77777777" w:rsidR="00350F25" w:rsidRPr="00350F25" w:rsidRDefault="00350F25" w:rsidP="00350F25">
            <w:pPr>
              <w:pStyle w:val="BodyText"/>
              <w:spacing w:after="0"/>
              <w:jc w:val="center"/>
              <w:rPr>
                <w:rFonts w:cs="Calibri"/>
                <w:sz w:val="20"/>
                <w:szCs w:val="20"/>
              </w:rPr>
            </w:pPr>
            <w:r w:rsidRPr="00350F25">
              <w:rPr>
                <w:rFonts w:cs="Calibri"/>
                <w:sz w:val="20"/>
                <w:szCs w:val="20"/>
              </w:rPr>
              <w:t>$1,200,000</w:t>
            </w:r>
          </w:p>
        </w:tc>
        <w:tc>
          <w:tcPr>
            <w:tcW w:w="1309" w:type="dxa"/>
            <w:tcBorders>
              <w:top w:val="single" w:sz="4" w:space="0" w:color="0067AB"/>
              <w:left w:val="single" w:sz="4" w:space="0" w:color="0067AB"/>
              <w:bottom w:val="single" w:sz="4" w:space="0" w:color="0067AB"/>
              <w:right w:val="single" w:sz="4" w:space="0" w:color="0067AB"/>
            </w:tcBorders>
            <w:noWrap/>
            <w:vAlign w:val="center"/>
            <w:hideMark/>
          </w:tcPr>
          <w:p w14:paraId="2A193576" w14:textId="77777777" w:rsidR="00350F25" w:rsidRPr="00350F25" w:rsidRDefault="00350F25" w:rsidP="00350F25">
            <w:pPr>
              <w:pStyle w:val="BodyText"/>
              <w:spacing w:after="0"/>
              <w:jc w:val="center"/>
              <w:rPr>
                <w:rFonts w:cs="Calibri"/>
                <w:iCs/>
                <w:sz w:val="20"/>
                <w:szCs w:val="20"/>
              </w:rPr>
            </w:pPr>
            <w:r w:rsidRPr="00350F25">
              <w:rPr>
                <w:rFonts w:cs="Calibri"/>
                <w:sz w:val="20"/>
                <w:szCs w:val="20"/>
              </w:rPr>
              <w:t>$614,661</w:t>
            </w:r>
          </w:p>
        </w:tc>
        <w:tc>
          <w:tcPr>
            <w:tcW w:w="1776" w:type="dxa"/>
            <w:tcBorders>
              <w:top w:val="single" w:sz="4" w:space="0" w:color="0067AB"/>
              <w:left w:val="single" w:sz="4" w:space="0" w:color="0067AB"/>
              <w:bottom w:val="single" w:sz="4" w:space="0" w:color="0067AB"/>
              <w:right w:val="single" w:sz="4" w:space="0" w:color="0067AB"/>
            </w:tcBorders>
            <w:noWrap/>
            <w:vAlign w:val="center"/>
            <w:hideMark/>
          </w:tcPr>
          <w:p w14:paraId="2424BE65" w14:textId="77777777" w:rsidR="00350F25" w:rsidRPr="00350F25" w:rsidRDefault="00350F25" w:rsidP="00350F25">
            <w:pPr>
              <w:pStyle w:val="BodyText"/>
              <w:spacing w:after="0"/>
              <w:jc w:val="center"/>
              <w:rPr>
                <w:rFonts w:cs="Calibri"/>
                <w:iCs/>
                <w:sz w:val="20"/>
                <w:szCs w:val="20"/>
              </w:rPr>
            </w:pPr>
            <w:r w:rsidRPr="00350F25">
              <w:rPr>
                <w:rFonts w:cs="Calibri"/>
                <w:sz w:val="20"/>
                <w:szCs w:val="20"/>
              </w:rPr>
              <w:t>3.1</w:t>
            </w:r>
          </w:p>
        </w:tc>
      </w:tr>
      <w:tr w:rsidR="00350F25" w:rsidRPr="002413B0" w14:paraId="44B9AE45" w14:textId="77777777" w:rsidTr="0010295D">
        <w:trPr>
          <w:trHeight w:val="300"/>
        </w:trPr>
        <w:tc>
          <w:tcPr>
            <w:tcW w:w="1390" w:type="dxa"/>
            <w:vMerge/>
            <w:tcBorders>
              <w:top w:val="single" w:sz="4" w:space="0" w:color="0067AB"/>
              <w:left w:val="single" w:sz="4" w:space="0" w:color="0067AB"/>
              <w:bottom w:val="single" w:sz="4" w:space="0" w:color="0067AB"/>
              <w:right w:val="single" w:sz="4" w:space="0" w:color="0067AB"/>
            </w:tcBorders>
            <w:noWrap/>
            <w:vAlign w:val="center"/>
            <w:hideMark/>
          </w:tcPr>
          <w:p w14:paraId="5B24177F" w14:textId="77777777" w:rsidR="00350F25" w:rsidRPr="00350F25" w:rsidRDefault="00350F25" w:rsidP="00350F25">
            <w:pPr>
              <w:pStyle w:val="BodyText"/>
              <w:spacing w:after="0"/>
              <w:rPr>
                <w:rFonts w:cs="Calibri"/>
                <w:iCs/>
                <w:sz w:val="20"/>
                <w:szCs w:val="20"/>
              </w:rPr>
            </w:pPr>
          </w:p>
        </w:tc>
        <w:tc>
          <w:tcPr>
            <w:tcW w:w="1296" w:type="dxa"/>
            <w:vMerge/>
            <w:tcBorders>
              <w:top w:val="single" w:sz="4" w:space="0" w:color="0067AB"/>
              <w:left w:val="single" w:sz="4" w:space="0" w:color="0067AB"/>
              <w:bottom w:val="single" w:sz="4" w:space="0" w:color="0067AB"/>
              <w:right w:val="single" w:sz="4" w:space="0" w:color="0067AB"/>
            </w:tcBorders>
            <w:noWrap/>
            <w:vAlign w:val="center"/>
            <w:hideMark/>
          </w:tcPr>
          <w:p w14:paraId="12A64585" w14:textId="77777777" w:rsidR="00350F25" w:rsidRPr="00350F25" w:rsidRDefault="00350F25" w:rsidP="00350F25">
            <w:pPr>
              <w:pStyle w:val="BodyText"/>
              <w:spacing w:after="0"/>
              <w:jc w:val="center"/>
              <w:rPr>
                <w:rFonts w:cs="Calibri"/>
                <w:iCs/>
                <w:sz w:val="20"/>
                <w:szCs w:val="20"/>
              </w:rPr>
            </w:pPr>
          </w:p>
        </w:tc>
        <w:tc>
          <w:tcPr>
            <w:tcW w:w="1296" w:type="dxa"/>
            <w:vMerge/>
            <w:tcBorders>
              <w:top w:val="single" w:sz="4" w:space="0" w:color="0067AB"/>
              <w:left w:val="single" w:sz="4" w:space="0" w:color="0067AB"/>
              <w:bottom w:val="single" w:sz="4" w:space="0" w:color="0067AB"/>
              <w:right w:val="single" w:sz="4" w:space="0" w:color="0067AB"/>
            </w:tcBorders>
            <w:noWrap/>
            <w:vAlign w:val="center"/>
            <w:hideMark/>
          </w:tcPr>
          <w:p w14:paraId="0FC5C5C1" w14:textId="77777777" w:rsidR="00350F25" w:rsidRPr="00350F25" w:rsidRDefault="00350F25" w:rsidP="00350F25">
            <w:pPr>
              <w:pStyle w:val="BodyText"/>
              <w:spacing w:after="0"/>
              <w:jc w:val="center"/>
              <w:rPr>
                <w:rFonts w:cs="Calibri"/>
                <w:iCs/>
                <w:sz w:val="20"/>
                <w:szCs w:val="20"/>
              </w:rPr>
            </w:pPr>
          </w:p>
        </w:tc>
        <w:tc>
          <w:tcPr>
            <w:tcW w:w="1152" w:type="dxa"/>
            <w:tcBorders>
              <w:top w:val="single" w:sz="4" w:space="0" w:color="0067AB"/>
              <w:left w:val="single" w:sz="4" w:space="0" w:color="0067AB"/>
              <w:bottom w:val="single" w:sz="4" w:space="0" w:color="0067AB"/>
              <w:right w:val="single" w:sz="4" w:space="0" w:color="0067AB"/>
            </w:tcBorders>
            <w:noWrap/>
            <w:vAlign w:val="center"/>
            <w:hideMark/>
          </w:tcPr>
          <w:p w14:paraId="314026B3" w14:textId="77777777" w:rsidR="00350F25" w:rsidRPr="00350F25" w:rsidRDefault="00350F25" w:rsidP="00350F25">
            <w:pPr>
              <w:pStyle w:val="BodyText"/>
              <w:spacing w:after="0"/>
              <w:jc w:val="center"/>
              <w:rPr>
                <w:rFonts w:cs="Calibri"/>
                <w:iCs/>
                <w:sz w:val="20"/>
                <w:szCs w:val="20"/>
              </w:rPr>
            </w:pPr>
            <w:r w:rsidRPr="00350F25">
              <w:rPr>
                <w:rFonts w:cs="Calibri"/>
                <w:sz w:val="20"/>
                <w:szCs w:val="20"/>
              </w:rPr>
              <w:t>75%</w:t>
            </w:r>
          </w:p>
        </w:tc>
        <w:tc>
          <w:tcPr>
            <w:tcW w:w="1152" w:type="dxa"/>
            <w:tcBorders>
              <w:top w:val="single" w:sz="4" w:space="0" w:color="0067AB"/>
              <w:left w:val="single" w:sz="4" w:space="0" w:color="0067AB"/>
              <w:bottom w:val="single" w:sz="4" w:space="0" w:color="0067AB"/>
              <w:right w:val="single" w:sz="4" w:space="0" w:color="0067AB"/>
            </w:tcBorders>
            <w:vAlign w:val="center"/>
          </w:tcPr>
          <w:p w14:paraId="0519739A" w14:textId="77777777" w:rsidR="00350F25" w:rsidRPr="00350F25" w:rsidRDefault="00350F25" w:rsidP="00350F25">
            <w:pPr>
              <w:pStyle w:val="BodyText"/>
              <w:spacing w:after="0"/>
              <w:jc w:val="center"/>
              <w:rPr>
                <w:rFonts w:cs="Calibri"/>
                <w:sz w:val="20"/>
                <w:szCs w:val="20"/>
              </w:rPr>
            </w:pPr>
            <w:r w:rsidRPr="00350F25">
              <w:rPr>
                <w:rFonts w:cs="Calibri"/>
                <w:sz w:val="20"/>
                <w:szCs w:val="20"/>
              </w:rPr>
              <w:t>$1,800,000</w:t>
            </w:r>
          </w:p>
        </w:tc>
        <w:tc>
          <w:tcPr>
            <w:tcW w:w="1309" w:type="dxa"/>
            <w:tcBorders>
              <w:top w:val="single" w:sz="4" w:space="0" w:color="0067AB"/>
              <w:left w:val="single" w:sz="4" w:space="0" w:color="0067AB"/>
              <w:bottom w:val="single" w:sz="4" w:space="0" w:color="0067AB"/>
              <w:right w:val="single" w:sz="4" w:space="0" w:color="0067AB"/>
            </w:tcBorders>
            <w:noWrap/>
            <w:vAlign w:val="center"/>
            <w:hideMark/>
          </w:tcPr>
          <w:p w14:paraId="3C7494DE" w14:textId="77777777" w:rsidR="00350F25" w:rsidRPr="00350F25" w:rsidRDefault="00350F25" w:rsidP="00350F25">
            <w:pPr>
              <w:pStyle w:val="BodyText"/>
              <w:spacing w:after="0"/>
              <w:jc w:val="center"/>
              <w:rPr>
                <w:rFonts w:cs="Calibri"/>
                <w:iCs/>
                <w:sz w:val="20"/>
                <w:szCs w:val="20"/>
              </w:rPr>
            </w:pPr>
            <w:r w:rsidRPr="00350F25">
              <w:rPr>
                <w:rFonts w:cs="Calibri"/>
                <w:sz w:val="20"/>
                <w:szCs w:val="20"/>
              </w:rPr>
              <w:t>$921,991</w:t>
            </w:r>
          </w:p>
        </w:tc>
        <w:tc>
          <w:tcPr>
            <w:tcW w:w="1776" w:type="dxa"/>
            <w:tcBorders>
              <w:top w:val="single" w:sz="4" w:space="0" w:color="0067AB"/>
              <w:left w:val="single" w:sz="4" w:space="0" w:color="0067AB"/>
              <w:bottom w:val="single" w:sz="4" w:space="0" w:color="0067AB"/>
              <w:right w:val="single" w:sz="4" w:space="0" w:color="0067AB"/>
            </w:tcBorders>
            <w:noWrap/>
            <w:vAlign w:val="center"/>
            <w:hideMark/>
          </w:tcPr>
          <w:p w14:paraId="5F7FCBC8" w14:textId="77777777" w:rsidR="00350F25" w:rsidRPr="00350F25" w:rsidRDefault="00350F25" w:rsidP="00350F25">
            <w:pPr>
              <w:pStyle w:val="BodyText"/>
              <w:spacing w:after="0"/>
              <w:jc w:val="center"/>
              <w:rPr>
                <w:rFonts w:cs="Calibri"/>
                <w:iCs/>
                <w:sz w:val="20"/>
                <w:szCs w:val="20"/>
              </w:rPr>
            </w:pPr>
            <w:r w:rsidRPr="00350F25">
              <w:rPr>
                <w:rFonts w:cs="Calibri"/>
                <w:sz w:val="20"/>
                <w:szCs w:val="20"/>
              </w:rPr>
              <w:t>1.6</w:t>
            </w:r>
          </w:p>
        </w:tc>
      </w:tr>
      <w:tr w:rsidR="00350F25" w:rsidRPr="002413B0" w14:paraId="3E4E7B5E" w14:textId="77777777" w:rsidTr="0010295D">
        <w:trPr>
          <w:trHeight w:val="300"/>
        </w:trPr>
        <w:tc>
          <w:tcPr>
            <w:tcW w:w="1390" w:type="dxa"/>
            <w:vMerge w:val="restart"/>
            <w:tcBorders>
              <w:top w:val="single" w:sz="4" w:space="0" w:color="0067AB"/>
              <w:left w:val="single" w:sz="4" w:space="0" w:color="0067AB"/>
              <w:bottom w:val="single" w:sz="4" w:space="0" w:color="0067AB"/>
              <w:right w:val="single" w:sz="4" w:space="0" w:color="0067AB"/>
            </w:tcBorders>
            <w:noWrap/>
            <w:vAlign w:val="center"/>
          </w:tcPr>
          <w:p w14:paraId="225F5526" w14:textId="77777777" w:rsidR="00350F25" w:rsidRPr="00350F25" w:rsidRDefault="00350F25" w:rsidP="00350F25">
            <w:pPr>
              <w:pStyle w:val="BodyText"/>
              <w:spacing w:after="0"/>
              <w:rPr>
                <w:rFonts w:cs="Calibri"/>
                <w:iCs/>
                <w:sz w:val="20"/>
                <w:szCs w:val="20"/>
              </w:rPr>
            </w:pPr>
            <w:r w:rsidRPr="00350F25">
              <w:rPr>
                <w:rFonts w:cs="Calibri"/>
                <w:sz w:val="20"/>
                <w:szCs w:val="20"/>
              </w:rPr>
              <w:t>Auto Stop/Start</w:t>
            </w:r>
          </w:p>
        </w:tc>
        <w:tc>
          <w:tcPr>
            <w:tcW w:w="1296" w:type="dxa"/>
            <w:vMerge w:val="restart"/>
            <w:tcBorders>
              <w:top w:val="single" w:sz="4" w:space="0" w:color="0067AB"/>
              <w:left w:val="single" w:sz="4" w:space="0" w:color="0067AB"/>
              <w:bottom w:val="single" w:sz="4" w:space="0" w:color="0067AB"/>
              <w:right w:val="single" w:sz="4" w:space="0" w:color="0067AB"/>
            </w:tcBorders>
            <w:noWrap/>
            <w:vAlign w:val="center"/>
          </w:tcPr>
          <w:p w14:paraId="3E52629B" w14:textId="77777777" w:rsidR="00350F25" w:rsidRPr="00350F25" w:rsidRDefault="00350F25" w:rsidP="00350F25">
            <w:pPr>
              <w:pStyle w:val="BodyText"/>
              <w:spacing w:after="0"/>
              <w:jc w:val="center"/>
              <w:rPr>
                <w:rFonts w:cs="Calibri"/>
                <w:iCs/>
                <w:sz w:val="20"/>
                <w:szCs w:val="20"/>
              </w:rPr>
            </w:pPr>
            <w:r w:rsidRPr="00350F25">
              <w:rPr>
                <w:rFonts w:cs="Calibri"/>
                <w:sz w:val="20"/>
                <w:szCs w:val="20"/>
              </w:rPr>
              <w:t>0.390</w:t>
            </w:r>
          </w:p>
        </w:tc>
        <w:tc>
          <w:tcPr>
            <w:tcW w:w="1296" w:type="dxa"/>
            <w:vMerge w:val="restart"/>
            <w:tcBorders>
              <w:top w:val="single" w:sz="4" w:space="0" w:color="0067AB"/>
              <w:left w:val="single" w:sz="4" w:space="0" w:color="0067AB"/>
              <w:bottom w:val="single" w:sz="4" w:space="0" w:color="0067AB"/>
              <w:right w:val="single" w:sz="4" w:space="0" w:color="0067AB"/>
            </w:tcBorders>
            <w:noWrap/>
            <w:vAlign w:val="center"/>
          </w:tcPr>
          <w:p w14:paraId="799D98F1" w14:textId="77777777" w:rsidR="00350F25" w:rsidRPr="00350F25" w:rsidRDefault="00350F25" w:rsidP="00350F25">
            <w:pPr>
              <w:pStyle w:val="BodyText"/>
              <w:spacing w:after="0"/>
              <w:jc w:val="center"/>
              <w:rPr>
                <w:rFonts w:cs="Calibri"/>
                <w:iCs/>
                <w:sz w:val="20"/>
                <w:szCs w:val="20"/>
              </w:rPr>
            </w:pPr>
            <w:r w:rsidRPr="00350F25">
              <w:rPr>
                <w:rFonts w:cs="Calibri"/>
                <w:sz w:val="20"/>
                <w:szCs w:val="20"/>
              </w:rPr>
              <w:t>$383,617</w:t>
            </w:r>
          </w:p>
        </w:tc>
        <w:tc>
          <w:tcPr>
            <w:tcW w:w="1152" w:type="dxa"/>
            <w:tcBorders>
              <w:top w:val="single" w:sz="4" w:space="0" w:color="0067AB"/>
              <w:left w:val="single" w:sz="4" w:space="0" w:color="0067AB"/>
              <w:bottom w:val="single" w:sz="4" w:space="0" w:color="0067AB"/>
              <w:right w:val="single" w:sz="4" w:space="0" w:color="0067AB"/>
            </w:tcBorders>
            <w:noWrap/>
            <w:vAlign w:val="center"/>
          </w:tcPr>
          <w:p w14:paraId="2E013E14" w14:textId="77777777" w:rsidR="00350F25" w:rsidRPr="00350F25" w:rsidRDefault="00350F25" w:rsidP="00350F25">
            <w:pPr>
              <w:pStyle w:val="BodyText"/>
              <w:spacing w:after="0"/>
              <w:jc w:val="center"/>
              <w:rPr>
                <w:rFonts w:cs="Calibri"/>
                <w:iCs/>
                <w:sz w:val="20"/>
                <w:szCs w:val="20"/>
              </w:rPr>
            </w:pPr>
            <w:r w:rsidRPr="00350F25">
              <w:rPr>
                <w:rFonts w:cs="Calibri"/>
                <w:sz w:val="20"/>
                <w:szCs w:val="20"/>
              </w:rPr>
              <w:t>25%</w:t>
            </w:r>
          </w:p>
        </w:tc>
        <w:tc>
          <w:tcPr>
            <w:tcW w:w="1152" w:type="dxa"/>
            <w:tcBorders>
              <w:top w:val="single" w:sz="4" w:space="0" w:color="0067AB"/>
              <w:left w:val="single" w:sz="4" w:space="0" w:color="0067AB"/>
              <w:bottom w:val="single" w:sz="4" w:space="0" w:color="0067AB"/>
              <w:right w:val="single" w:sz="4" w:space="0" w:color="0067AB"/>
            </w:tcBorders>
            <w:vAlign w:val="center"/>
          </w:tcPr>
          <w:p w14:paraId="00B747BB" w14:textId="77777777" w:rsidR="00350F25" w:rsidRPr="00350F25" w:rsidRDefault="00350F25" w:rsidP="00350F25">
            <w:pPr>
              <w:pStyle w:val="BodyText"/>
              <w:spacing w:after="0"/>
              <w:jc w:val="center"/>
              <w:rPr>
                <w:rFonts w:cs="Calibri"/>
                <w:sz w:val="20"/>
                <w:szCs w:val="20"/>
              </w:rPr>
            </w:pPr>
            <w:r w:rsidRPr="00350F25">
              <w:rPr>
                <w:rFonts w:cs="Calibri"/>
                <w:sz w:val="20"/>
                <w:szCs w:val="20"/>
              </w:rPr>
              <w:t>$100,000</w:t>
            </w:r>
          </w:p>
        </w:tc>
        <w:tc>
          <w:tcPr>
            <w:tcW w:w="1309" w:type="dxa"/>
            <w:tcBorders>
              <w:top w:val="single" w:sz="4" w:space="0" w:color="0067AB"/>
              <w:left w:val="single" w:sz="4" w:space="0" w:color="0067AB"/>
              <w:bottom w:val="single" w:sz="4" w:space="0" w:color="0067AB"/>
              <w:right w:val="single" w:sz="4" w:space="0" w:color="0067AB"/>
            </w:tcBorders>
            <w:noWrap/>
            <w:vAlign w:val="center"/>
          </w:tcPr>
          <w:p w14:paraId="124788D5" w14:textId="77777777" w:rsidR="00350F25" w:rsidRPr="00350F25" w:rsidRDefault="00350F25" w:rsidP="00350F25">
            <w:pPr>
              <w:pStyle w:val="BodyText"/>
              <w:spacing w:after="0"/>
              <w:jc w:val="center"/>
              <w:rPr>
                <w:rFonts w:cs="Calibri"/>
                <w:sz w:val="20"/>
                <w:szCs w:val="20"/>
              </w:rPr>
            </w:pPr>
            <w:r w:rsidRPr="00350F25">
              <w:rPr>
                <w:rFonts w:cs="Calibri"/>
                <w:sz w:val="20"/>
                <w:szCs w:val="20"/>
              </w:rPr>
              <w:t>$51,222</w:t>
            </w:r>
          </w:p>
        </w:tc>
        <w:tc>
          <w:tcPr>
            <w:tcW w:w="1776" w:type="dxa"/>
            <w:tcBorders>
              <w:top w:val="single" w:sz="4" w:space="0" w:color="0067AB"/>
              <w:left w:val="single" w:sz="4" w:space="0" w:color="0067AB"/>
              <w:bottom w:val="single" w:sz="4" w:space="0" w:color="0067AB"/>
              <w:right w:val="single" w:sz="4" w:space="0" w:color="0067AB"/>
            </w:tcBorders>
            <w:noWrap/>
            <w:vAlign w:val="center"/>
          </w:tcPr>
          <w:p w14:paraId="5D591A30" w14:textId="77777777" w:rsidR="00350F25" w:rsidRPr="00350F25" w:rsidRDefault="00350F25" w:rsidP="00350F25">
            <w:pPr>
              <w:pStyle w:val="BodyText"/>
              <w:spacing w:after="0"/>
              <w:jc w:val="center"/>
              <w:rPr>
                <w:rFonts w:cs="Calibri"/>
                <w:iCs/>
                <w:sz w:val="20"/>
                <w:szCs w:val="20"/>
              </w:rPr>
            </w:pPr>
            <w:r w:rsidRPr="00350F25">
              <w:rPr>
                <w:rFonts w:cs="Calibri"/>
                <w:sz w:val="20"/>
                <w:szCs w:val="20"/>
              </w:rPr>
              <w:t>0.8</w:t>
            </w:r>
          </w:p>
        </w:tc>
      </w:tr>
      <w:tr w:rsidR="00350F25" w:rsidRPr="002413B0" w14:paraId="2B01BBC6" w14:textId="77777777" w:rsidTr="0010295D">
        <w:trPr>
          <w:trHeight w:val="300"/>
        </w:trPr>
        <w:tc>
          <w:tcPr>
            <w:tcW w:w="1390" w:type="dxa"/>
            <w:vMerge/>
            <w:tcBorders>
              <w:top w:val="single" w:sz="4" w:space="0" w:color="0067AB"/>
              <w:left w:val="single" w:sz="4" w:space="0" w:color="0067AB"/>
              <w:bottom w:val="single" w:sz="4" w:space="0" w:color="0067AB"/>
              <w:right w:val="single" w:sz="4" w:space="0" w:color="0067AB"/>
            </w:tcBorders>
            <w:noWrap/>
          </w:tcPr>
          <w:p w14:paraId="63DF91B9" w14:textId="77777777" w:rsidR="00350F25" w:rsidRPr="00350F25" w:rsidRDefault="00350F25" w:rsidP="00350F25">
            <w:pPr>
              <w:pStyle w:val="BodyText"/>
              <w:spacing w:after="0"/>
              <w:rPr>
                <w:rFonts w:cs="Calibri"/>
                <w:iCs/>
                <w:sz w:val="20"/>
                <w:szCs w:val="20"/>
              </w:rPr>
            </w:pPr>
          </w:p>
        </w:tc>
        <w:tc>
          <w:tcPr>
            <w:tcW w:w="1296" w:type="dxa"/>
            <w:vMerge/>
            <w:tcBorders>
              <w:top w:val="single" w:sz="4" w:space="0" w:color="0067AB"/>
              <w:left w:val="single" w:sz="4" w:space="0" w:color="0067AB"/>
              <w:bottom w:val="single" w:sz="4" w:space="0" w:color="0067AB"/>
              <w:right w:val="single" w:sz="4" w:space="0" w:color="0067AB"/>
            </w:tcBorders>
            <w:noWrap/>
            <w:vAlign w:val="center"/>
          </w:tcPr>
          <w:p w14:paraId="12E6587A" w14:textId="77777777" w:rsidR="00350F25" w:rsidRPr="00350F25" w:rsidRDefault="00350F25" w:rsidP="00350F25">
            <w:pPr>
              <w:pStyle w:val="BodyText"/>
              <w:spacing w:after="0"/>
              <w:jc w:val="center"/>
              <w:rPr>
                <w:rFonts w:cs="Calibri"/>
                <w:iCs/>
                <w:sz w:val="20"/>
                <w:szCs w:val="20"/>
              </w:rPr>
            </w:pPr>
          </w:p>
        </w:tc>
        <w:tc>
          <w:tcPr>
            <w:tcW w:w="1296" w:type="dxa"/>
            <w:vMerge/>
            <w:tcBorders>
              <w:top w:val="single" w:sz="4" w:space="0" w:color="0067AB"/>
              <w:left w:val="single" w:sz="4" w:space="0" w:color="0067AB"/>
              <w:bottom w:val="single" w:sz="4" w:space="0" w:color="0067AB"/>
              <w:right w:val="single" w:sz="4" w:space="0" w:color="0067AB"/>
            </w:tcBorders>
            <w:noWrap/>
            <w:vAlign w:val="center"/>
          </w:tcPr>
          <w:p w14:paraId="29DCF3DF" w14:textId="77777777" w:rsidR="00350F25" w:rsidRPr="00350F25" w:rsidRDefault="00350F25" w:rsidP="00350F25">
            <w:pPr>
              <w:pStyle w:val="BodyText"/>
              <w:spacing w:after="0"/>
              <w:jc w:val="center"/>
              <w:rPr>
                <w:rFonts w:cs="Calibri"/>
                <w:iCs/>
                <w:sz w:val="20"/>
                <w:szCs w:val="20"/>
              </w:rPr>
            </w:pPr>
          </w:p>
        </w:tc>
        <w:tc>
          <w:tcPr>
            <w:tcW w:w="1152" w:type="dxa"/>
            <w:tcBorders>
              <w:top w:val="single" w:sz="4" w:space="0" w:color="0067AB"/>
              <w:left w:val="single" w:sz="4" w:space="0" w:color="0067AB"/>
              <w:bottom w:val="single" w:sz="4" w:space="0" w:color="0067AB"/>
              <w:right w:val="single" w:sz="4" w:space="0" w:color="0067AB"/>
            </w:tcBorders>
            <w:noWrap/>
            <w:vAlign w:val="center"/>
          </w:tcPr>
          <w:p w14:paraId="1C848AA8" w14:textId="77777777" w:rsidR="00350F25" w:rsidRPr="00350F25" w:rsidRDefault="00350F25" w:rsidP="00350F25">
            <w:pPr>
              <w:pStyle w:val="BodyText"/>
              <w:spacing w:after="0"/>
              <w:jc w:val="center"/>
              <w:rPr>
                <w:rFonts w:cs="Calibri"/>
                <w:iCs/>
                <w:sz w:val="20"/>
                <w:szCs w:val="20"/>
              </w:rPr>
            </w:pPr>
            <w:r w:rsidRPr="00350F25">
              <w:rPr>
                <w:rFonts w:cs="Calibri"/>
                <w:sz w:val="20"/>
                <w:szCs w:val="20"/>
              </w:rPr>
              <w:t>50%</w:t>
            </w:r>
          </w:p>
        </w:tc>
        <w:tc>
          <w:tcPr>
            <w:tcW w:w="1152" w:type="dxa"/>
            <w:tcBorders>
              <w:top w:val="single" w:sz="4" w:space="0" w:color="0067AB"/>
              <w:left w:val="single" w:sz="4" w:space="0" w:color="0067AB"/>
              <w:bottom w:val="single" w:sz="4" w:space="0" w:color="0067AB"/>
              <w:right w:val="single" w:sz="4" w:space="0" w:color="0067AB"/>
            </w:tcBorders>
            <w:vAlign w:val="center"/>
          </w:tcPr>
          <w:p w14:paraId="23C7FDF0" w14:textId="77777777" w:rsidR="00350F25" w:rsidRPr="00350F25" w:rsidRDefault="00350F25" w:rsidP="00350F25">
            <w:pPr>
              <w:pStyle w:val="BodyText"/>
              <w:spacing w:after="0"/>
              <w:jc w:val="center"/>
              <w:rPr>
                <w:rFonts w:cs="Calibri"/>
                <w:sz w:val="20"/>
                <w:szCs w:val="20"/>
              </w:rPr>
            </w:pPr>
            <w:r w:rsidRPr="00350F25">
              <w:rPr>
                <w:rFonts w:cs="Calibri"/>
                <w:sz w:val="20"/>
                <w:szCs w:val="20"/>
              </w:rPr>
              <w:t>$200,000</w:t>
            </w:r>
          </w:p>
        </w:tc>
        <w:tc>
          <w:tcPr>
            <w:tcW w:w="1309" w:type="dxa"/>
            <w:tcBorders>
              <w:top w:val="single" w:sz="4" w:space="0" w:color="0067AB"/>
              <w:left w:val="single" w:sz="4" w:space="0" w:color="0067AB"/>
              <w:bottom w:val="single" w:sz="4" w:space="0" w:color="0067AB"/>
              <w:right w:val="single" w:sz="4" w:space="0" w:color="0067AB"/>
            </w:tcBorders>
            <w:noWrap/>
            <w:vAlign w:val="center"/>
          </w:tcPr>
          <w:p w14:paraId="4A65AEC9" w14:textId="77777777" w:rsidR="00350F25" w:rsidRPr="00350F25" w:rsidRDefault="00350F25" w:rsidP="00350F25">
            <w:pPr>
              <w:pStyle w:val="BodyText"/>
              <w:spacing w:after="0"/>
              <w:jc w:val="center"/>
              <w:rPr>
                <w:rFonts w:cs="Calibri"/>
                <w:sz w:val="20"/>
                <w:szCs w:val="20"/>
              </w:rPr>
            </w:pPr>
            <w:r w:rsidRPr="00350F25">
              <w:rPr>
                <w:rFonts w:cs="Calibri"/>
                <w:sz w:val="20"/>
                <w:szCs w:val="20"/>
              </w:rPr>
              <w:t>$102,443</w:t>
            </w:r>
          </w:p>
        </w:tc>
        <w:tc>
          <w:tcPr>
            <w:tcW w:w="1776" w:type="dxa"/>
            <w:tcBorders>
              <w:top w:val="single" w:sz="4" w:space="0" w:color="0067AB"/>
              <w:left w:val="single" w:sz="4" w:space="0" w:color="0067AB"/>
              <w:bottom w:val="single" w:sz="4" w:space="0" w:color="0067AB"/>
              <w:right w:val="single" w:sz="4" w:space="0" w:color="0067AB"/>
            </w:tcBorders>
            <w:noWrap/>
            <w:vAlign w:val="center"/>
          </w:tcPr>
          <w:p w14:paraId="39EF439D" w14:textId="77777777" w:rsidR="00350F25" w:rsidRPr="00350F25" w:rsidRDefault="00350F25" w:rsidP="00350F25">
            <w:pPr>
              <w:pStyle w:val="BodyText"/>
              <w:spacing w:after="0"/>
              <w:jc w:val="center"/>
              <w:rPr>
                <w:rFonts w:cs="Calibri"/>
                <w:iCs/>
                <w:sz w:val="20"/>
                <w:szCs w:val="20"/>
              </w:rPr>
            </w:pPr>
            <w:r w:rsidRPr="00350F25">
              <w:rPr>
                <w:rFonts w:cs="Calibri"/>
                <w:sz w:val="20"/>
                <w:szCs w:val="20"/>
              </w:rPr>
              <w:t>0.5</w:t>
            </w:r>
          </w:p>
        </w:tc>
      </w:tr>
      <w:tr w:rsidR="00350F25" w:rsidRPr="002413B0" w14:paraId="356F186F" w14:textId="77777777" w:rsidTr="0010295D">
        <w:trPr>
          <w:trHeight w:val="300"/>
        </w:trPr>
        <w:tc>
          <w:tcPr>
            <w:tcW w:w="1390" w:type="dxa"/>
            <w:vMerge/>
            <w:tcBorders>
              <w:top w:val="single" w:sz="4" w:space="0" w:color="0067AB"/>
              <w:left w:val="single" w:sz="4" w:space="0" w:color="0067AB"/>
              <w:bottom w:val="single" w:sz="4" w:space="0" w:color="0067AB"/>
              <w:right w:val="single" w:sz="4" w:space="0" w:color="0067AB"/>
            </w:tcBorders>
            <w:noWrap/>
          </w:tcPr>
          <w:p w14:paraId="7C8D5752" w14:textId="77777777" w:rsidR="00350F25" w:rsidRPr="00350F25" w:rsidRDefault="00350F25" w:rsidP="00350F25">
            <w:pPr>
              <w:pStyle w:val="BodyText"/>
              <w:spacing w:after="0"/>
              <w:rPr>
                <w:rFonts w:cs="Calibri"/>
                <w:iCs/>
                <w:sz w:val="20"/>
                <w:szCs w:val="20"/>
              </w:rPr>
            </w:pPr>
          </w:p>
        </w:tc>
        <w:tc>
          <w:tcPr>
            <w:tcW w:w="1296" w:type="dxa"/>
            <w:vMerge/>
            <w:tcBorders>
              <w:top w:val="single" w:sz="4" w:space="0" w:color="0067AB"/>
              <w:left w:val="single" w:sz="4" w:space="0" w:color="0067AB"/>
              <w:bottom w:val="single" w:sz="4" w:space="0" w:color="0067AB"/>
              <w:right w:val="single" w:sz="4" w:space="0" w:color="0067AB"/>
            </w:tcBorders>
            <w:noWrap/>
            <w:vAlign w:val="center"/>
          </w:tcPr>
          <w:p w14:paraId="555BCE10" w14:textId="77777777" w:rsidR="00350F25" w:rsidRPr="00350F25" w:rsidRDefault="00350F25" w:rsidP="00350F25">
            <w:pPr>
              <w:pStyle w:val="BodyText"/>
              <w:spacing w:after="0"/>
              <w:jc w:val="center"/>
              <w:rPr>
                <w:rFonts w:cs="Calibri"/>
                <w:iCs/>
                <w:sz w:val="20"/>
                <w:szCs w:val="20"/>
              </w:rPr>
            </w:pPr>
          </w:p>
        </w:tc>
        <w:tc>
          <w:tcPr>
            <w:tcW w:w="1296" w:type="dxa"/>
            <w:vMerge/>
            <w:tcBorders>
              <w:top w:val="single" w:sz="4" w:space="0" w:color="0067AB"/>
              <w:left w:val="single" w:sz="4" w:space="0" w:color="0067AB"/>
              <w:bottom w:val="single" w:sz="4" w:space="0" w:color="0067AB"/>
              <w:right w:val="single" w:sz="4" w:space="0" w:color="0067AB"/>
            </w:tcBorders>
            <w:noWrap/>
            <w:vAlign w:val="center"/>
          </w:tcPr>
          <w:p w14:paraId="3DFD1D98" w14:textId="77777777" w:rsidR="00350F25" w:rsidRPr="00350F25" w:rsidRDefault="00350F25" w:rsidP="00350F25">
            <w:pPr>
              <w:pStyle w:val="BodyText"/>
              <w:spacing w:after="0"/>
              <w:jc w:val="center"/>
              <w:rPr>
                <w:rFonts w:cs="Calibri"/>
                <w:iCs/>
                <w:sz w:val="20"/>
                <w:szCs w:val="20"/>
              </w:rPr>
            </w:pPr>
          </w:p>
        </w:tc>
        <w:tc>
          <w:tcPr>
            <w:tcW w:w="1152" w:type="dxa"/>
            <w:tcBorders>
              <w:top w:val="single" w:sz="4" w:space="0" w:color="0067AB"/>
              <w:left w:val="single" w:sz="4" w:space="0" w:color="0067AB"/>
              <w:bottom w:val="single" w:sz="4" w:space="0" w:color="0067AB"/>
              <w:right w:val="single" w:sz="4" w:space="0" w:color="0067AB"/>
            </w:tcBorders>
            <w:noWrap/>
            <w:vAlign w:val="center"/>
          </w:tcPr>
          <w:p w14:paraId="32652BA2" w14:textId="77777777" w:rsidR="00350F25" w:rsidRPr="00350F25" w:rsidRDefault="00350F25" w:rsidP="00350F25">
            <w:pPr>
              <w:pStyle w:val="BodyText"/>
              <w:spacing w:after="0"/>
              <w:jc w:val="center"/>
              <w:rPr>
                <w:rFonts w:cs="Calibri"/>
                <w:iCs/>
                <w:sz w:val="20"/>
                <w:szCs w:val="20"/>
              </w:rPr>
            </w:pPr>
            <w:r w:rsidRPr="00350F25">
              <w:rPr>
                <w:rFonts w:cs="Calibri"/>
                <w:sz w:val="20"/>
                <w:szCs w:val="20"/>
              </w:rPr>
              <w:t>75%</w:t>
            </w:r>
          </w:p>
        </w:tc>
        <w:tc>
          <w:tcPr>
            <w:tcW w:w="1152" w:type="dxa"/>
            <w:tcBorders>
              <w:top w:val="single" w:sz="4" w:space="0" w:color="0067AB"/>
              <w:left w:val="single" w:sz="4" w:space="0" w:color="0067AB"/>
              <w:bottom w:val="single" w:sz="4" w:space="0" w:color="0067AB"/>
              <w:right w:val="single" w:sz="4" w:space="0" w:color="0067AB"/>
            </w:tcBorders>
            <w:vAlign w:val="center"/>
          </w:tcPr>
          <w:p w14:paraId="6E47B067" w14:textId="77777777" w:rsidR="00350F25" w:rsidRPr="00350F25" w:rsidRDefault="00350F25" w:rsidP="00350F25">
            <w:pPr>
              <w:pStyle w:val="BodyText"/>
              <w:spacing w:after="0"/>
              <w:jc w:val="center"/>
              <w:rPr>
                <w:rFonts w:cs="Calibri"/>
                <w:sz w:val="20"/>
                <w:szCs w:val="20"/>
              </w:rPr>
            </w:pPr>
            <w:r w:rsidRPr="00350F25">
              <w:rPr>
                <w:rFonts w:cs="Calibri"/>
                <w:sz w:val="20"/>
                <w:szCs w:val="20"/>
              </w:rPr>
              <w:t>$300,000</w:t>
            </w:r>
          </w:p>
        </w:tc>
        <w:tc>
          <w:tcPr>
            <w:tcW w:w="1309" w:type="dxa"/>
            <w:tcBorders>
              <w:top w:val="single" w:sz="4" w:space="0" w:color="0067AB"/>
              <w:left w:val="single" w:sz="4" w:space="0" w:color="0067AB"/>
              <w:bottom w:val="single" w:sz="4" w:space="0" w:color="0067AB"/>
              <w:right w:val="single" w:sz="4" w:space="0" w:color="0067AB"/>
            </w:tcBorders>
            <w:noWrap/>
            <w:vAlign w:val="center"/>
          </w:tcPr>
          <w:p w14:paraId="4F47555B" w14:textId="77777777" w:rsidR="00350F25" w:rsidRPr="00350F25" w:rsidRDefault="00350F25" w:rsidP="00350F25">
            <w:pPr>
              <w:pStyle w:val="BodyText"/>
              <w:spacing w:after="0"/>
              <w:jc w:val="center"/>
              <w:rPr>
                <w:rFonts w:cs="Calibri"/>
                <w:sz w:val="20"/>
                <w:szCs w:val="20"/>
              </w:rPr>
            </w:pPr>
            <w:r w:rsidRPr="00350F25">
              <w:rPr>
                <w:rFonts w:cs="Calibri"/>
                <w:sz w:val="20"/>
                <w:szCs w:val="20"/>
              </w:rPr>
              <w:t>$153,665</w:t>
            </w:r>
          </w:p>
        </w:tc>
        <w:tc>
          <w:tcPr>
            <w:tcW w:w="1776" w:type="dxa"/>
            <w:tcBorders>
              <w:top w:val="single" w:sz="4" w:space="0" w:color="0067AB"/>
              <w:left w:val="single" w:sz="4" w:space="0" w:color="0067AB"/>
              <w:bottom w:val="single" w:sz="4" w:space="0" w:color="0067AB"/>
              <w:right w:val="single" w:sz="4" w:space="0" w:color="0067AB"/>
            </w:tcBorders>
            <w:noWrap/>
            <w:vAlign w:val="center"/>
          </w:tcPr>
          <w:p w14:paraId="7EA25A4C" w14:textId="77777777" w:rsidR="00350F25" w:rsidRPr="00350F25" w:rsidRDefault="00350F25" w:rsidP="00350F25">
            <w:pPr>
              <w:pStyle w:val="BodyText"/>
              <w:spacing w:after="0"/>
              <w:jc w:val="center"/>
              <w:rPr>
                <w:rFonts w:cs="Calibri"/>
                <w:iCs/>
                <w:sz w:val="20"/>
                <w:szCs w:val="20"/>
              </w:rPr>
            </w:pPr>
            <w:r w:rsidRPr="00350F25">
              <w:rPr>
                <w:rFonts w:cs="Calibri"/>
                <w:sz w:val="20"/>
                <w:szCs w:val="20"/>
              </w:rPr>
              <w:t>0.3</w:t>
            </w:r>
          </w:p>
        </w:tc>
      </w:tr>
    </w:tbl>
    <w:p w14:paraId="020939DD" w14:textId="77777777" w:rsidR="00350F25" w:rsidRPr="00C513C2" w:rsidRDefault="00350F25" w:rsidP="00350F25">
      <w:pPr>
        <w:pStyle w:val="BodyText"/>
        <w:rPr>
          <w:b/>
        </w:rPr>
      </w:pPr>
    </w:p>
    <w:p w14:paraId="36FD771A" w14:textId="77777777" w:rsidR="00350F25" w:rsidRDefault="00350F25" w:rsidP="00350F25">
      <w:pPr>
        <w:pStyle w:val="BodyText"/>
      </w:pPr>
      <w:r>
        <w:lastRenderedPageBreak/>
        <w:t>As shown in the results, modifying 200 trucks with the different idle reduction options yields PM reductions ranging from 0.35 to 0.39 tons per year.</w:t>
      </w:r>
    </w:p>
    <w:p w14:paraId="34CEF38B" w14:textId="77777777" w:rsidR="00350F25" w:rsidRDefault="00350F25" w:rsidP="00350F25">
      <w:pPr>
        <w:pStyle w:val="BodyText"/>
      </w:pPr>
      <w:r>
        <w:t xml:space="preserve">Although the reductions are similar, the costs vary widely between idling equipment types. Per year, costs range from $40,000 for fuel operated heaters to $480,000 for auxiliary power units for 200 trucks; thus, assuming a five-year useful lifetime for the equipment, fuel operated heaters would cost $200,000 while an APU program would cost $2.4 million. </w:t>
      </w:r>
    </w:p>
    <w:p w14:paraId="0261F6D6" w14:textId="77777777" w:rsidR="00350F25" w:rsidRDefault="00350F25" w:rsidP="00350F25">
      <w:pPr>
        <w:pStyle w:val="BodyText"/>
      </w:pPr>
      <w:r>
        <w:t>Many funding programs do not cover the full cost of the upgrade and require vehicle owners or users to cover the remaining costs. The results of the Incentive Analysis show the cost effectiveness and years to pay off the remaining equipment cost for the truck owner (in fuel savings) if the funding agency covers 25%, 50%, or 75% of the capital cost.</w:t>
      </w:r>
    </w:p>
    <w:p w14:paraId="03473355" w14:textId="77777777" w:rsidR="00350F25" w:rsidRDefault="00350F25" w:rsidP="00350F25">
      <w:pPr>
        <w:pStyle w:val="BodyText"/>
      </w:pPr>
      <w:r>
        <w:t>Because of the relatively low cost for fuel operated heaters, a truck owner would save enough money in fuel to pay off the equipment in less than half a year, even if the agency only covers 25% of the cost. Additionally, such a program would only cost the agency $50,000 to cover 25% of the cost of heaters. In contrast, at a 25% incentive level, the more expensive APUs would take nearly five years to payback in fuel savings, which is nearly the assumed useful lifetime of an APU.</w:t>
      </w:r>
    </w:p>
    <w:p w14:paraId="5D88F136" w14:textId="48427630" w:rsidR="00350F25" w:rsidRDefault="00350F25" w:rsidP="00350F25">
      <w:pPr>
        <w:pStyle w:val="BodyText"/>
      </w:pPr>
      <w:r>
        <w:t xml:space="preserve">As with any of the clean truck strategies, an implementing agency must consider other factors beyond </w:t>
      </w:r>
      <w:r w:rsidR="001F7075">
        <w:t>cost effective</w:t>
      </w:r>
      <w:r>
        <w:t>ness when selecting a strategy. For example, direct fire heaters are unnecessary in warm climates and will not be attractive for drivers in those areas. Automatic stop/start strategies may not be popular with drivers and may require additional incentives and/or outreach for implementation.</w:t>
      </w:r>
    </w:p>
    <w:p w14:paraId="699A9155" w14:textId="77777777" w:rsidR="00350F25" w:rsidRPr="00140664" w:rsidRDefault="00350F25" w:rsidP="00350F25">
      <w:pPr>
        <w:pStyle w:val="BodyText"/>
      </w:pPr>
    </w:p>
    <w:p w14:paraId="69C65194" w14:textId="77777777" w:rsidR="00350F25" w:rsidRPr="00140664" w:rsidRDefault="00350F25" w:rsidP="00350F25">
      <w:pPr>
        <w:pStyle w:val="BodyText"/>
        <w:pBdr>
          <w:top w:val="single" w:sz="4" w:space="1" w:color="auto"/>
          <w:left w:val="single" w:sz="4" w:space="4" w:color="auto"/>
          <w:bottom w:val="single" w:sz="4" w:space="1" w:color="auto"/>
          <w:right w:val="single" w:sz="4" w:space="4" w:color="auto"/>
        </w:pBdr>
        <w:shd w:val="clear" w:color="auto" w:fill="E3E3DF" w:themeFill="background2"/>
        <w:rPr>
          <w:b/>
          <w:i/>
        </w:rPr>
      </w:pPr>
      <w:r>
        <w:rPr>
          <w:b/>
          <w:i/>
        </w:rPr>
        <w:t>Scenario: The Tennessee DOT has received $2 million</w:t>
      </w:r>
      <w:r w:rsidRPr="00140664">
        <w:rPr>
          <w:b/>
          <w:i/>
        </w:rPr>
        <w:t xml:space="preserve"> to reduce </w:t>
      </w:r>
      <w:r>
        <w:rPr>
          <w:b/>
          <w:i/>
        </w:rPr>
        <w:t xml:space="preserve">PM </w:t>
      </w:r>
      <w:r w:rsidRPr="00140664">
        <w:rPr>
          <w:b/>
          <w:i/>
        </w:rPr>
        <w:t>emissions from urban delivery tru</w:t>
      </w:r>
      <w:r>
        <w:rPr>
          <w:b/>
          <w:i/>
        </w:rPr>
        <w:t xml:space="preserve">cks operating in the state by incentivizing </w:t>
      </w:r>
      <w:r w:rsidRPr="00140664">
        <w:rPr>
          <w:b/>
          <w:i/>
        </w:rPr>
        <w:t>truck owners to replace their vehicles with alternative fuel trucks</w:t>
      </w:r>
      <w:r>
        <w:rPr>
          <w:b/>
          <w:i/>
        </w:rPr>
        <w:t xml:space="preserve">. The agency </w:t>
      </w:r>
      <w:r w:rsidRPr="00140664">
        <w:rPr>
          <w:b/>
          <w:i/>
        </w:rPr>
        <w:t>want</w:t>
      </w:r>
      <w:r>
        <w:rPr>
          <w:b/>
          <w:i/>
        </w:rPr>
        <w:t>s</w:t>
      </w:r>
      <w:r w:rsidRPr="00140664">
        <w:rPr>
          <w:b/>
          <w:i/>
        </w:rPr>
        <w:t xml:space="preserve"> to know </w:t>
      </w:r>
      <w:r>
        <w:rPr>
          <w:b/>
          <w:i/>
        </w:rPr>
        <w:t>which</w:t>
      </w:r>
      <w:r w:rsidRPr="00140664">
        <w:rPr>
          <w:b/>
          <w:i/>
        </w:rPr>
        <w:t xml:space="preserve"> strategy is the most cost effective</w:t>
      </w:r>
      <w:r w:rsidRPr="00F70BA3">
        <w:rPr>
          <w:b/>
          <w:i/>
        </w:rPr>
        <w:t xml:space="preserve"> </w:t>
      </w:r>
      <w:r w:rsidRPr="00140664">
        <w:rPr>
          <w:b/>
          <w:i/>
        </w:rPr>
        <w:t xml:space="preserve">and </w:t>
      </w:r>
      <w:r>
        <w:rPr>
          <w:b/>
          <w:i/>
        </w:rPr>
        <w:t>which</w:t>
      </w:r>
      <w:r w:rsidRPr="00140664">
        <w:rPr>
          <w:b/>
          <w:i/>
        </w:rPr>
        <w:t xml:space="preserve"> trucks</w:t>
      </w:r>
      <w:r>
        <w:rPr>
          <w:b/>
          <w:i/>
        </w:rPr>
        <w:t xml:space="preserve"> and fuels to target</w:t>
      </w:r>
      <w:r w:rsidRPr="00140664">
        <w:rPr>
          <w:b/>
          <w:i/>
        </w:rPr>
        <w:t>.</w:t>
      </w:r>
    </w:p>
    <w:p w14:paraId="78348396" w14:textId="77777777" w:rsidR="00350F25" w:rsidRPr="00140664" w:rsidRDefault="00350F25" w:rsidP="00350F25">
      <w:pPr>
        <w:pStyle w:val="Heading3"/>
      </w:pPr>
      <w:bookmarkStart w:id="113" w:name="_Toc482973576"/>
      <w:r w:rsidRPr="00140664">
        <w:t>Truck Deployment Analysis – Alternative Fuels</w:t>
      </w:r>
      <w:bookmarkEnd w:id="113"/>
    </w:p>
    <w:p w14:paraId="11A9161E" w14:textId="77777777" w:rsidR="00350F25" w:rsidRDefault="00350F25" w:rsidP="00350F25">
      <w:pPr>
        <w:pStyle w:val="BodyText"/>
        <w:rPr>
          <w:iCs/>
        </w:rPr>
      </w:pPr>
      <w:r>
        <w:rPr>
          <w:iCs/>
        </w:rPr>
        <w:t xml:space="preserve">The Truck Deployment Analysis lets the user estimate the full emissions and cost impacts of different strategies to reduce PM emissions in the urban delivery trucks being targeted in this hypothetical scenario. Using this analysis, the user can compare the impacts of different alternative fuel strategies. </w:t>
      </w:r>
    </w:p>
    <w:p w14:paraId="1EC243DC" w14:textId="77777777" w:rsidR="00350F25" w:rsidRDefault="00350F25" w:rsidP="00350F25">
      <w:pPr>
        <w:pStyle w:val="BodyText"/>
      </w:pPr>
      <w:r>
        <w:t>For each input option, enter the selections presented in the table below.</w:t>
      </w:r>
    </w:p>
    <w:tbl>
      <w:tblPr>
        <w:tblStyle w:val="TemplateTable"/>
        <w:tblW w:w="5000" w:type="pct"/>
        <w:tblLayout w:type="fixed"/>
        <w:tblCellMar>
          <w:top w:w="0" w:type="dxa"/>
          <w:bottom w:w="0" w:type="dxa"/>
        </w:tblCellMar>
        <w:tblLook w:val="04A0" w:firstRow="1" w:lastRow="0" w:firstColumn="1" w:lastColumn="0" w:noHBand="0" w:noVBand="1"/>
      </w:tblPr>
      <w:tblGrid>
        <w:gridCol w:w="2246"/>
        <w:gridCol w:w="1801"/>
        <w:gridCol w:w="5303"/>
      </w:tblGrid>
      <w:tr w:rsidR="00350F25" w:rsidRPr="00CC451D" w14:paraId="55AF2903" w14:textId="77777777" w:rsidTr="00350F25">
        <w:trPr>
          <w:cnfStyle w:val="100000000000" w:firstRow="1" w:lastRow="0" w:firstColumn="0" w:lastColumn="0" w:oddVBand="0" w:evenVBand="0" w:oddHBand="0" w:evenHBand="0" w:firstRowFirstColumn="0" w:firstRowLastColumn="0" w:lastRowFirstColumn="0" w:lastRowLastColumn="0"/>
          <w:trHeight w:val="24"/>
        </w:trPr>
        <w:tc>
          <w:tcPr>
            <w:tcW w:w="1201" w:type="pct"/>
            <w:tcBorders>
              <w:bottom w:val="single" w:sz="4" w:space="0" w:color="0070C0"/>
            </w:tcBorders>
            <w:noWrap/>
            <w:vAlign w:val="bottom"/>
          </w:tcPr>
          <w:p w14:paraId="1DB202ED" w14:textId="77777777" w:rsidR="00350F25" w:rsidRPr="004739E4" w:rsidRDefault="00350F25" w:rsidP="0010295D">
            <w:pPr>
              <w:pStyle w:val="TableColumnHeading"/>
            </w:pPr>
            <w:r>
              <w:lastRenderedPageBreak/>
              <w:t>Category</w:t>
            </w:r>
          </w:p>
        </w:tc>
        <w:tc>
          <w:tcPr>
            <w:tcW w:w="963" w:type="pct"/>
            <w:tcBorders>
              <w:bottom w:val="single" w:sz="4" w:space="0" w:color="0070C0"/>
            </w:tcBorders>
            <w:vAlign w:val="bottom"/>
          </w:tcPr>
          <w:p w14:paraId="5126F3D2" w14:textId="77777777" w:rsidR="00350F25" w:rsidRPr="004739E4" w:rsidRDefault="00350F25" w:rsidP="0010295D">
            <w:pPr>
              <w:pStyle w:val="TableColumnHeading"/>
            </w:pPr>
            <w:r>
              <w:t>Selection</w:t>
            </w:r>
          </w:p>
        </w:tc>
        <w:tc>
          <w:tcPr>
            <w:tcW w:w="2836" w:type="pct"/>
            <w:tcBorders>
              <w:bottom w:val="single" w:sz="4" w:space="0" w:color="0070C0"/>
            </w:tcBorders>
            <w:vAlign w:val="bottom"/>
          </w:tcPr>
          <w:p w14:paraId="5E64A231" w14:textId="77777777" w:rsidR="00350F25" w:rsidRPr="004739E4" w:rsidRDefault="00350F25" w:rsidP="0010295D">
            <w:pPr>
              <w:pStyle w:val="TableColumnHeading"/>
            </w:pPr>
            <w:r>
              <w:t>Notes</w:t>
            </w:r>
          </w:p>
        </w:tc>
      </w:tr>
      <w:tr w:rsidR="00350F25" w:rsidRPr="00CC451D" w14:paraId="170AE9C8"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3BC5318E" w14:textId="77777777" w:rsidR="00350F25" w:rsidRPr="004739E4" w:rsidRDefault="00350F25" w:rsidP="0010295D">
            <w:pPr>
              <w:pStyle w:val="TableCellText"/>
              <w:keepNext/>
            </w:pPr>
            <w:r w:rsidRPr="00F6465A">
              <w:rPr>
                <w:b/>
              </w:rPr>
              <w:t>Analysis</w:t>
            </w:r>
          </w:p>
        </w:tc>
      </w:tr>
      <w:tr w:rsidR="00350F25" w:rsidRPr="00CC451D" w14:paraId="775AA7CE"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18B7654A" w14:textId="77777777" w:rsidR="00350F25" w:rsidRPr="004739E4" w:rsidRDefault="00350F25" w:rsidP="0010295D">
            <w:pPr>
              <w:pStyle w:val="TableCellText"/>
              <w:keepNext/>
            </w:pPr>
            <w:r>
              <w:t>Analysis</w:t>
            </w:r>
          </w:p>
        </w:tc>
        <w:tc>
          <w:tcPr>
            <w:tcW w:w="963" w:type="pct"/>
            <w:tcBorders>
              <w:top w:val="single" w:sz="4" w:space="0" w:color="0070C0"/>
              <w:left w:val="single" w:sz="4" w:space="0" w:color="0070C0"/>
              <w:bottom w:val="single" w:sz="4" w:space="0" w:color="0070C0"/>
              <w:right w:val="single" w:sz="4" w:space="0" w:color="0070C0"/>
            </w:tcBorders>
          </w:tcPr>
          <w:p w14:paraId="4EB5943C" w14:textId="77777777" w:rsidR="00350F25" w:rsidRPr="004739E4" w:rsidRDefault="00350F25" w:rsidP="0010295D">
            <w:pPr>
              <w:pStyle w:val="TableCellText"/>
              <w:keepNext/>
            </w:pPr>
            <w:r>
              <w:t>Truck Deployment Analysis</w:t>
            </w:r>
          </w:p>
        </w:tc>
        <w:tc>
          <w:tcPr>
            <w:tcW w:w="2836" w:type="pct"/>
            <w:tcBorders>
              <w:top w:val="single" w:sz="4" w:space="0" w:color="0070C0"/>
              <w:left w:val="single" w:sz="4" w:space="0" w:color="0070C0"/>
              <w:bottom w:val="single" w:sz="4" w:space="0" w:color="0070C0"/>
              <w:right w:val="single" w:sz="4" w:space="0" w:color="0070C0"/>
            </w:tcBorders>
          </w:tcPr>
          <w:p w14:paraId="27049F29" w14:textId="77777777" w:rsidR="00350F25" w:rsidRPr="004739E4" w:rsidRDefault="00350F25" w:rsidP="0010295D">
            <w:pPr>
              <w:pStyle w:val="TableCellText"/>
              <w:keepNext/>
            </w:pPr>
            <w:r>
              <w:t>This analysis allows the user t</w:t>
            </w:r>
            <w:r w:rsidRPr="00140664">
              <w:t xml:space="preserve">o </w:t>
            </w:r>
            <w:r>
              <w:t>estimate full costs and emissions impacts of a program.</w:t>
            </w:r>
          </w:p>
        </w:tc>
      </w:tr>
      <w:tr w:rsidR="00350F25" w:rsidRPr="00CC451D" w14:paraId="39375751"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6BE487B7" w14:textId="77777777" w:rsidR="00350F25" w:rsidRPr="004739E4" w:rsidRDefault="00350F25" w:rsidP="00350F25">
            <w:pPr>
              <w:pStyle w:val="TableCellText"/>
            </w:pPr>
            <w:r w:rsidRPr="00447743">
              <w:rPr>
                <w:b/>
              </w:rPr>
              <w:t>Scope</w:t>
            </w:r>
          </w:p>
        </w:tc>
      </w:tr>
      <w:tr w:rsidR="00350F25" w:rsidRPr="00CC451D" w14:paraId="31054E5E"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1B1D7E31" w14:textId="77777777" w:rsidR="00350F25" w:rsidRDefault="00350F25" w:rsidP="00350F25">
            <w:pPr>
              <w:pStyle w:val="TableCellText"/>
            </w:pPr>
            <w:r>
              <w:t>Year of Modification</w:t>
            </w:r>
          </w:p>
        </w:tc>
        <w:tc>
          <w:tcPr>
            <w:tcW w:w="963" w:type="pct"/>
            <w:tcBorders>
              <w:top w:val="single" w:sz="4" w:space="0" w:color="0070C0"/>
              <w:left w:val="single" w:sz="4" w:space="0" w:color="0070C0"/>
              <w:bottom w:val="single" w:sz="4" w:space="0" w:color="0070C0"/>
              <w:right w:val="single" w:sz="4" w:space="0" w:color="0070C0"/>
            </w:tcBorders>
          </w:tcPr>
          <w:p w14:paraId="557EE761" w14:textId="77777777" w:rsidR="00350F25" w:rsidRDefault="00350F25" w:rsidP="00350F25">
            <w:pPr>
              <w:pStyle w:val="TableCellText"/>
            </w:pPr>
            <w:r>
              <w:t>2020</w:t>
            </w:r>
          </w:p>
        </w:tc>
        <w:tc>
          <w:tcPr>
            <w:tcW w:w="2836" w:type="pct"/>
            <w:tcBorders>
              <w:top w:val="single" w:sz="4" w:space="0" w:color="0070C0"/>
              <w:left w:val="single" w:sz="4" w:space="0" w:color="0070C0"/>
              <w:bottom w:val="single" w:sz="4" w:space="0" w:color="0070C0"/>
              <w:right w:val="single" w:sz="4" w:space="0" w:color="0070C0"/>
            </w:tcBorders>
          </w:tcPr>
          <w:p w14:paraId="007F5C51" w14:textId="77777777" w:rsidR="00350F25" w:rsidRPr="004739E4" w:rsidRDefault="00350F25" w:rsidP="00350F25">
            <w:pPr>
              <w:pStyle w:val="TableCellText"/>
            </w:pPr>
            <w:r>
              <w:t>The modification</w:t>
            </w:r>
            <w:r w:rsidRPr="00140664">
              <w:t xml:space="preserve"> year is when the modifications take place</w:t>
            </w:r>
            <w:r>
              <w:t>. In this scenario, the user should select the year closest to when the program is being fully implemented. Note that the later the modification year, the lower the reduction benefits will be because the Tool assumes that the average truck will be cleaner in the future.</w:t>
            </w:r>
          </w:p>
        </w:tc>
      </w:tr>
      <w:tr w:rsidR="00350F25" w:rsidRPr="00CC451D" w14:paraId="514413F6"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339C35CE" w14:textId="77777777" w:rsidR="00350F25" w:rsidRDefault="00350F25" w:rsidP="00350F25">
            <w:pPr>
              <w:pStyle w:val="TableCellText"/>
            </w:pPr>
            <w:r>
              <w:t>Area of Interest</w:t>
            </w:r>
          </w:p>
        </w:tc>
        <w:tc>
          <w:tcPr>
            <w:tcW w:w="963" w:type="pct"/>
            <w:tcBorders>
              <w:top w:val="single" w:sz="4" w:space="0" w:color="0070C0"/>
              <w:left w:val="single" w:sz="4" w:space="0" w:color="0070C0"/>
              <w:bottom w:val="single" w:sz="4" w:space="0" w:color="0070C0"/>
              <w:right w:val="single" w:sz="4" w:space="0" w:color="0070C0"/>
            </w:tcBorders>
          </w:tcPr>
          <w:p w14:paraId="0AC8F405" w14:textId="77777777" w:rsidR="00350F25" w:rsidRDefault="00350F25" w:rsidP="00350F25">
            <w:pPr>
              <w:pStyle w:val="TableCellText"/>
            </w:pPr>
            <w:r>
              <w:t>State</w:t>
            </w:r>
          </w:p>
        </w:tc>
        <w:tc>
          <w:tcPr>
            <w:tcW w:w="2836" w:type="pct"/>
            <w:tcBorders>
              <w:top w:val="single" w:sz="4" w:space="0" w:color="0070C0"/>
              <w:left w:val="single" w:sz="4" w:space="0" w:color="0070C0"/>
              <w:bottom w:val="single" w:sz="4" w:space="0" w:color="0070C0"/>
              <w:right w:val="single" w:sz="4" w:space="0" w:color="0070C0"/>
            </w:tcBorders>
          </w:tcPr>
          <w:p w14:paraId="5A462D48" w14:textId="77777777" w:rsidR="00350F25" w:rsidRPr="004739E4" w:rsidRDefault="00350F25" w:rsidP="00350F25">
            <w:pPr>
              <w:pStyle w:val="TableCellText"/>
            </w:pPr>
            <w:r w:rsidRPr="00CE6761">
              <w:t xml:space="preserve">Geographic scale determines the emission factors used in the calculations. The larger the geographic scale </w:t>
            </w:r>
            <w:r>
              <w:t>assume</w:t>
            </w:r>
            <w:r w:rsidRPr="00CE6761">
              <w:t xml:space="preserve"> more freeways </w:t>
            </w:r>
            <w:r>
              <w:t xml:space="preserve">are </w:t>
            </w:r>
            <w:r w:rsidRPr="00CE6761">
              <w:t>used, while the smaller geographic scales have more local roads</w:t>
            </w:r>
            <w:r>
              <w:t xml:space="preserve">. </w:t>
            </w:r>
          </w:p>
        </w:tc>
      </w:tr>
      <w:tr w:rsidR="00350F25" w:rsidRPr="00CC451D" w14:paraId="08EC2662"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3BBE9CA2" w14:textId="77777777" w:rsidR="00350F25" w:rsidRDefault="00350F25" w:rsidP="00350F25">
            <w:pPr>
              <w:pStyle w:val="TableCellText"/>
            </w:pPr>
            <w:r>
              <w:t>Type of Truck</w:t>
            </w:r>
          </w:p>
        </w:tc>
        <w:tc>
          <w:tcPr>
            <w:tcW w:w="963" w:type="pct"/>
            <w:tcBorders>
              <w:top w:val="single" w:sz="4" w:space="0" w:color="0070C0"/>
              <w:left w:val="single" w:sz="4" w:space="0" w:color="0070C0"/>
              <w:bottom w:val="single" w:sz="4" w:space="0" w:color="0070C0"/>
              <w:right w:val="single" w:sz="4" w:space="0" w:color="0070C0"/>
            </w:tcBorders>
          </w:tcPr>
          <w:p w14:paraId="1A8BCBA5" w14:textId="77777777" w:rsidR="00350F25" w:rsidRDefault="00350F25" w:rsidP="00350F25">
            <w:pPr>
              <w:pStyle w:val="TableCellText"/>
            </w:pPr>
            <w:r>
              <w:t>Single Unit Short Haul, Gas and Diesel</w:t>
            </w:r>
          </w:p>
        </w:tc>
        <w:tc>
          <w:tcPr>
            <w:tcW w:w="2836" w:type="pct"/>
            <w:tcBorders>
              <w:top w:val="single" w:sz="4" w:space="0" w:color="0070C0"/>
              <w:left w:val="single" w:sz="4" w:space="0" w:color="0070C0"/>
              <w:bottom w:val="single" w:sz="4" w:space="0" w:color="0070C0"/>
              <w:right w:val="single" w:sz="4" w:space="0" w:color="0070C0"/>
            </w:tcBorders>
          </w:tcPr>
          <w:p w14:paraId="001035CA" w14:textId="77777777" w:rsidR="00350F25" w:rsidRPr="004739E4" w:rsidRDefault="00350F25" w:rsidP="00350F25">
            <w:pPr>
              <w:pStyle w:val="TableCellText"/>
            </w:pPr>
            <w:r>
              <w:t>Single</w:t>
            </w:r>
            <w:r w:rsidRPr="00140664">
              <w:t xml:space="preserve"> </w:t>
            </w:r>
            <w:r>
              <w:t>unit short haul trucks most closely represent local delivery trucks targeted in this scenario</w:t>
            </w:r>
            <w:r w:rsidRPr="00140664">
              <w:t>.</w:t>
            </w:r>
          </w:p>
        </w:tc>
      </w:tr>
      <w:tr w:rsidR="00350F25" w:rsidRPr="00CC451D" w14:paraId="043C7DFA"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66892038" w14:textId="77777777" w:rsidR="00350F25" w:rsidRDefault="00350F25" w:rsidP="00350F25">
            <w:pPr>
              <w:pStyle w:val="TableCellText"/>
            </w:pPr>
            <w:r>
              <w:t>Type of Modification</w:t>
            </w:r>
          </w:p>
        </w:tc>
        <w:tc>
          <w:tcPr>
            <w:tcW w:w="963" w:type="pct"/>
            <w:tcBorders>
              <w:top w:val="single" w:sz="4" w:space="0" w:color="0070C0"/>
              <w:left w:val="single" w:sz="4" w:space="0" w:color="0070C0"/>
              <w:bottom w:val="single" w:sz="4" w:space="0" w:color="0070C0"/>
              <w:right w:val="single" w:sz="4" w:space="0" w:color="0070C0"/>
            </w:tcBorders>
          </w:tcPr>
          <w:p w14:paraId="35A5E8B1" w14:textId="77777777" w:rsidR="00350F25" w:rsidRDefault="00350F25" w:rsidP="00350F25">
            <w:pPr>
              <w:pStyle w:val="TableCellText"/>
            </w:pPr>
            <w:r>
              <w:t>Alternative Fuel</w:t>
            </w:r>
          </w:p>
        </w:tc>
        <w:tc>
          <w:tcPr>
            <w:tcW w:w="2836" w:type="pct"/>
            <w:tcBorders>
              <w:top w:val="single" w:sz="4" w:space="0" w:color="0070C0"/>
              <w:left w:val="single" w:sz="4" w:space="0" w:color="0070C0"/>
              <w:bottom w:val="single" w:sz="4" w:space="0" w:color="0070C0"/>
              <w:right w:val="single" w:sz="4" w:space="0" w:color="0070C0"/>
            </w:tcBorders>
          </w:tcPr>
          <w:p w14:paraId="38DCA897" w14:textId="77777777" w:rsidR="00350F25" w:rsidRPr="004739E4" w:rsidRDefault="00350F25" w:rsidP="00350F25">
            <w:pPr>
              <w:pStyle w:val="TableCellText"/>
            </w:pPr>
            <w:r>
              <w:t>Indicated in the scenario.</w:t>
            </w:r>
          </w:p>
        </w:tc>
      </w:tr>
      <w:tr w:rsidR="00350F25" w:rsidRPr="00CC451D" w14:paraId="2F4E8585"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1FB9A07C" w14:textId="77777777" w:rsidR="00350F25" w:rsidRPr="004739E4" w:rsidRDefault="00350F25" w:rsidP="00350F25">
            <w:pPr>
              <w:pStyle w:val="TableCellText"/>
            </w:pPr>
            <w:r w:rsidRPr="00447743">
              <w:rPr>
                <w:b/>
              </w:rPr>
              <w:t>Modifications</w:t>
            </w:r>
          </w:p>
        </w:tc>
      </w:tr>
      <w:tr w:rsidR="00350F25" w:rsidRPr="00CC451D" w14:paraId="344B21E6"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72651C4D" w14:textId="77777777" w:rsidR="00350F25" w:rsidRDefault="00350F25" w:rsidP="00350F25">
            <w:pPr>
              <w:pStyle w:val="TableCellText"/>
            </w:pPr>
            <w:r>
              <w:t>Alternative Fuel(s)</w:t>
            </w:r>
          </w:p>
        </w:tc>
        <w:tc>
          <w:tcPr>
            <w:tcW w:w="963" w:type="pct"/>
            <w:tcBorders>
              <w:top w:val="single" w:sz="4" w:space="0" w:color="0070C0"/>
              <w:left w:val="single" w:sz="4" w:space="0" w:color="0070C0"/>
              <w:bottom w:val="single" w:sz="4" w:space="0" w:color="0070C0"/>
              <w:right w:val="single" w:sz="4" w:space="0" w:color="0070C0"/>
            </w:tcBorders>
          </w:tcPr>
          <w:p w14:paraId="2BFB9FC6" w14:textId="77777777" w:rsidR="00350F25" w:rsidRDefault="00350F25" w:rsidP="00350F25">
            <w:pPr>
              <w:pStyle w:val="TableCellText"/>
            </w:pPr>
            <w:r>
              <w:t>Select all</w:t>
            </w:r>
          </w:p>
        </w:tc>
        <w:tc>
          <w:tcPr>
            <w:tcW w:w="2836" w:type="pct"/>
            <w:tcBorders>
              <w:top w:val="single" w:sz="4" w:space="0" w:color="0070C0"/>
              <w:left w:val="single" w:sz="4" w:space="0" w:color="0070C0"/>
              <w:bottom w:val="single" w:sz="4" w:space="0" w:color="0070C0"/>
              <w:right w:val="single" w:sz="4" w:space="0" w:color="0070C0"/>
            </w:tcBorders>
          </w:tcPr>
          <w:p w14:paraId="6F2D34AF" w14:textId="77777777" w:rsidR="00350F25" w:rsidRPr="004739E4" w:rsidRDefault="00350F25" w:rsidP="00350F25">
            <w:pPr>
              <w:pStyle w:val="TableCellText"/>
            </w:pPr>
            <w:r>
              <w:t>Click the checkmark button at the top of the column to select all. LNG is not selectable because LNG is not typically considered for short haul trucks. Results will be displayed for each fuel separately. Strategies involving “drop-in” alternative fuels (i.e., biodiesel and renewable diesel) can be used in existing diesel trucks; all other alternative fuel selections assume existing trucks are gasoline or diesel trucks that must be replaced as part of the strategy.</w:t>
            </w:r>
          </w:p>
        </w:tc>
      </w:tr>
      <w:tr w:rsidR="00350F25" w:rsidRPr="00CC451D" w14:paraId="256A58DA"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41604601" w14:textId="77777777" w:rsidR="00350F25" w:rsidRPr="004739E4" w:rsidRDefault="00350F25" w:rsidP="00350F25">
            <w:pPr>
              <w:pStyle w:val="TableCellText"/>
            </w:pPr>
            <w:r w:rsidRPr="00447743">
              <w:rPr>
                <w:b/>
              </w:rPr>
              <w:t>Vehicle Data</w:t>
            </w:r>
          </w:p>
        </w:tc>
      </w:tr>
      <w:tr w:rsidR="00350F25" w:rsidRPr="00CC451D" w14:paraId="5DFF6EFC"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7BDF576B" w14:textId="77777777" w:rsidR="00350F25" w:rsidRDefault="00350F25" w:rsidP="00350F25">
            <w:pPr>
              <w:pStyle w:val="TableCellText"/>
            </w:pPr>
            <w:r>
              <w:t>Number of Trucks to Be Replaced</w:t>
            </w:r>
          </w:p>
        </w:tc>
        <w:tc>
          <w:tcPr>
            <w:tcW w:w="963" w:type="pct"/>
            <w:tcBorders>
              <w:top w:val="single" w:sz="4" w:space="0" w:color="0070C0"/>
              <w:left w:val="single" w:sz="4" w:space="0" w:color="0070C0"/>
              <w:bottom w:val="single" w:sz="4" w:space="0" w:color="0070C0"/>
              <w:right w:val="single" w:sz="4" w:space="0" w:color="0070C0"/>
            </w:tcBorders>
          </w:tcPr>
          <w:p w14:paraId="422994DD" w14:textId="77777777" w:rsidR="00350F25" w:rsidRDefault="00350F25" w:rsidP="00350F25">
            <w:pPr>
              <w:pStyle w:val="TableCellText"/>
            </w:pPr>
            <w:r>
              <w:t>Leave default values (100)</w:t>
            </w:r>
          </w:p>
        </w:tc>
        <w:tc>
          <w:tcPr>
            <w:tcW w:w="2836" w:type="pct"/>
            <w:tcBorders>
              <w:top w:val="single" w:sz="4" w:space="0" w:color="0070C0"/>
              <w:left w:val="single" w:sz="4" w:space="0" w:color="0070C0"/>
              <w:bottom w:val="single" w:sz="4" w:space="0" w:color="0070C0"/>
              <w:right w:val="single" w:sz="4" w:space="0" w:color="0070C0"/>
            </w:tcBorders>
          </w:tcPr>
          <w:p w14:paraId="5040B8D4" w14:textId="77777777" w:rsidR="00350F25" w:rsidRPr="004739E4" w:rsidRDefault="00350F25" w:rsidP="00350F25">
            <w:pPr>
              <w:pStyle w:val="TableCellText"/>
            </w:pPr>
            <w:r>
              <w:t>The results can be divided by 100 to calculate the per-truck impacts.</w:t>
            </w:r>
          </w:p>
        </w:tc>
      </w:tr>
      <w:tr w:rsidR="00350F25" w:rsidRPr="00CC451D" w14:paraId="3F9E1ED2"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2B51AED0" w14:textId="77777777" w:rsidR="00350F25" w:rsidRDefault="00350F25" w:rsidP="00350F25">
            <w:pPr>
              <w:pStyle w:val="TableCellText"/>
            </w:pPr>
            <w:r>
              <w:t>Average Annual Mileage Accumulation</w:t>
            </w:r>
          </w:p>
        </w:tc>
        <w:tc>
          <w:tcPr>
            <w:tcW w:w="963" w:type="pct"/>
            <w:tcBorders>
              <w:top w:val="single" w:sz="4" w:space="0" w:color="0070C0"/>
              <w:left w:val="single" w:sz="4" w:space="0" w:color="0070C0"/>
              <w:bottom w:val="single" w:sz="4" w:space="0" w:color="0070C0"/>
              <w:right w:val="single" w:sz="4" w:space="0" w:color="0070C0"/>
            </w:tcBorders>
          </w:tcPr>
          <w:p w14:paraId="77AC1F4D" w14:textId="77777777" w:rsidR="00350F25" w:rsidRDefault="00350F25" w:rsidP="00350F25">
            <w:pPr>
              <w:pStyle w:val="TableCellText"/>
            </w:pPr>
            <w:r>
              <w:t>Leave default values</w:t>
            </w:r>
          </w:p>
        </w:tc>
        <w:tc>
          <w:tcPr>
            <w:tcW w:w="2836" w:type="pct"/>
            <w:tcBorders>
              <w:top w:val="single" w:sz="4" w:space="0" w:color="0070C0"/>
              <w:left w:val="single" w:sz="4" w:space="0" w:color="0070C0"/>
              <w:bottom w:val="single" w:sz="4" w:space="0" w:color="0070C0"/>
              <w:right w:val="single" w:sz="4" w:space="0" w:color="0070C0"/>
            </w:tcBorders>
          </w:tcPr>
          <w:p w14:paraId="2139C097" w14:textId="77777777" w:rsidR="00350F25" w:rsidRPr="004739E4" w:rsidRDefault="00350F25" w:rsidP="00350F25">
            <w:pPr>
              <w:pStyle w:val="TableCellText"/>
            </w:pPr>
            <w:r>
              <w:t>The</w:t>
            </w:r>
            <w:r w:rsidRPr="0050596A">
              <w:t xml:space="preserve"> default </w:t>
            </w:r>
            <w:r>
              <w:t>values come</w:t>
            </w:r>
            <w:r w:rsidRPr="0050596A">
              <w:t xml:space="preserve"> from </w:t>
            </w:r>
            <w:r>
              <w:t xml:space="preserve">the </w:t>
            </w:r>
            <w:r w:rsidRPr="0050596A">
              <w:t>MOVES</w:t>
            </w:r>
            <w:r>
              <w:t xml:space="preserve"> model</w:t>
            </w:r>
            <w:r w:rsidRPr="0050596A">
              <w:t xml:space="preserve">. </w:t>
            </w:r>
            <w:r>
              <w:t>M</w:t>
            </w:r>
            <w:r w:rsidRPr="0050596A">
              <w:t xml:space="preserve">ore annual miles </w:t>
            </w:r>
            <w:r>
              <w:t>will result in</w:t>
            </w:r>
            <w:r w:rsidRPr="0050596A">
              <w:t xml:space="preserve"> more emissions benefits</w:t>
            </w:r>
            <w:r>
              <w:t>.</w:t>
            </w:r>
          </w:p>
        </w:tc>
      </w:tr>
      <w:tr w:rsidR="00350F25" w:rsidRPr="00CC451D" w14:paraId="77A6E2C0"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30114072" w14:textId="77777777" w:rsidR="00350F25" w:rsidRDefault="00350F25" w:rsidP="00350F25">
            <w:pPr>
              <w:pStyle w:val="TableCellText"/>
            </w:pPr>
            <w:r>
              <w:t>Range of Model Years to Modify/Scrap (inclusive)</w:t>
            </w:r>
          </w:p>
        </w:tc>
        <w:tc>
          <w:tcPr>
            <w:tcW w:w="963" w:type="pct"/>
            <w:tcBorders>
              <w:top w:val="single" w:sz="4" w:space="0" w:color="0070C0"/>
              <w:left w:val="single" w:sz="4" w:space="0" w:color="0070C0"/>
              <w:bottom w:val="single" w:sz="4" w:space="0" w:color="0070C0"/>
              <w:right w:val="single" w:sz="4" w:space="0" w:color="0070C0"/>
            </w:tcBorders>
          </w:tcPr>
          <w:p w14:paraId="20E22D4F" w14:textId="77777777" w:rsidR="00350F25" w:rsidRDefault="00350F25" w:rsidP="00350F25">
            <w:pPr>
              <w:pStyle w:val="TableCellText"/>
            </w:pPr>
            <w:r>
              <w:t>Leave default values (1990-2009)</w:t>
            </w:r>
          </w:p>
        </w:tc>
        <w:tc>
          <w:tcPr>
            <w:tcW w:w="2836" w:type="pct"/>
            <w:tcBorders>
              <w:top w:val="single" w:sz="4" w:space="0" w:color="0070C0"/>
              <w:left w:val="single" w:sz="4" w:space="0" w:color="0070C0"/>
              <w:bottom w:val="single" w:sz="4" w:space="0" w:color="0070C0"/>
              <w:right w:val="single" w:sz="4" w:space="0" w:color="0070C0"/>
            </w:tcBorders>
          </w:tcPr>
          <w:p w14:paraId="1FF0E5A6" w14:textId="77777777" w:rsidR="00350F25" w:rsidRPr="004739E4" w:rsidRDefault="00350F25" w:rsidP="00350F25">
            <w:pPr>
              <w:pStyle w:val="TableCellText"/>
            </w:pPr>
            <w:r>
              <w:t>A user would adjust the values to represent the ages of trucks the agency wants to target.</w:t>
            </w:r>
          </w:p>
        </w:tc>
      </w:tr>
      <w:tr w:rsidR="00350F25" w:rsidRPr="00CC451D" w14:paraId="5D84C582"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5855CA99" w14:textId="38BCE621" w:rsidR="00350F25" w:rsidRDefault="006771E4" w:rsidP="00350F25">
            <w:pPr>
              <w:pStyle w:val="TableCellText"/>
            </w:pPr>
            <w:r>
              <w:t>Long haul</w:t>
            </w:r>
            <w:r w:rsidR="00350F25">
              <w:t xml:space="preserve"> Annual Idle Hours</w:t>
            </w:r>
          </w:p>
        </w:tc>
        <w:tc>
          <w:tcPr>
            <w:tcW w:w="963" w:type="pct"/>
            <w:tcBorders>
              <w:top w:val="single" w:sz="4" w:space="0" w:color="0070C0"/>
              <w:left w:val="single" w:sz="4" w:space="0" w:color="0070C0"/>
              <w:bottom w:val="single" w:sz="4" w:space="0" w:color="0070C0"/>
              <w:right w:val="single" w:sz="4" w:space="0" w:color="0070C0"/>
            </w:tcBorders>
          </w:tcPr>
          <w:p w14:paraId="6E4A2A51" w14:textId="77777777" w:rsidR="00350F25" w:rsidRDefault="00350F25" w:rsidP="00350F25">
            <w:pPr>
              <w:pStyle w:val="TableCellText"/>
            </w:pPr>
            <w:r>
              <w:t>n/a</w:t>
            </w:r>
          </w:p>
        </w:tc>
        <w:tc>
          <w:tcPr>
            <w:tcW w:w="2836" w:type="pct"/>
            <w:tcBorders>
              <w:top w:val="single" w:sz="4" w:space="0" w:color="0070C0"/>
              <w:left w:val="single" w:sz="4" w:space="0" w:color="0070C0"/>
              <w:bottom w:val="single" w:sz="4" w:space="0" w:color="0070C0"/>
              <w:right w:val="single" w:sz="4" w:space="0" w:color="0070C0"/>
            </w:tcBorders>
          </w:tcPr>
          <w:p w14:paraId="2E46645B" w14:textId="77777777" w:rsidR="00350F25" w:rsidRPr="004739E4" w:rsidRDefault="00350F25" w:rsidP="00350F25">
            <w:pPr>
              <w:pStyle w:val="TableCellText"/>
            </w:pPr>
            <w:r>
              <w:t>Only applicable for strategies involving combo unit long haul trucks.</w:t>
            </w:r>
          </w:p>
        </w:tc>
      </w:tr>
      <w:tr w:rsidR="00350F25" w:rsidRPr="00CC451D" w14:paraId="31218015"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4999ECE2" w14:textId="77777777" w:rsidR="00350F25" w:rsidRPr="004739E4" w:rsidRDefault="00350F25" w:rsidP="00350F25">
            <w:pPr>
              <w:pStyle w:val="TableCellText"/>
            </w:pPr>
            <w:r w:rsidRPr="00447743">
              <w:rPr>
                <w:b/>
              </w:rPr>
              <w:t>Fuel Costs</w:t>
            </w:r>
          </w:p>
        </w:tc>
      </w:tr>
      <w:tr w:rsidR="00350F25" w:rsidRPr="00CC451D" w14:paraId="72B51719"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6D3B6145" w14:textId="77777777" w:rsidR="00350F25" w:rsidRDefault="00350F25" w:rsidP="00350F25">
            <w:pPr>
              <w:pStyle w:val="TableCellText"/>
            </w:pPr>
            <w:r>
              <w:t>Cost per Unit</w:t>
            </w:r>
          </w:p>
        </w:tc>
        <w:tc>
          <w:tcPr>
            <w:tcW w:w="963" w:type="pct"/>
            <w:tcBorders>
              <w:top w:val="single" w:sz="4" w:space="0" w:color="0070C0"/>
              <w:left w:val="single" w:sz="4" w:space="0" w:color="0070C0"/>
              <w:bottom w:val="single" w:sz="4" w:space="0" w:color="0070C0"/>
              <w:right w:val="single" w:sz="4" w:space="0" w:color="0070C0"/>
            </w:tcBorders>
          </w:tcPr>
          <w:p w14:paraId="1A0F8463" w14:textId="77777777" w:rsidR="00350F25" w:rsidRDefault="00350F25" w:rsidP="00350F25">
            <w:pPr>
              <w:pStyle w:val="TableCellText"/>
            </w:pPr>
            <w:r>
              <w:t>Leave default values</w:t>
            </w:r>
          </w:p>
        </w:tc>
        <w:tc>
          <w:tcPr>
            <w:tcW w:w="2836" w:type="pct"/>
            <w:tcBorders>
              <w:top w:val="single" w:sz="4" w:space="0" w:color="0070C0"/>
              <w:left w:val="single" w:sz="4" w:space="0" w:color="0070C0"/>
              <w:bottom w:val="single" w:sz="4" w:space="0" w:color="0070C0"/>
              <w:right w:val="single" w:sz="4" w:space="0" w:color="0070C0"/>
            </w:tcBorders>
          </w:tcPr>
          <w:p w14:paraId="6056883B" w14:textId="77777777" w:rsidR="00350F25" w:rsidRPr="004739E4" w:rsidRDefault="00350F25" w:rsidP="00350F25">
            <w:pPr>
              <w:pStyle w:val="TableCellText"/>
            </w:pPr>
            <w:r>
              <w:t xml:space="preserve">Default values are national averages; more up-to-date and regional fuel prices can be found at the Alternative Fuels Data Center’s </w:t>
            </w:r>
            <w:hyperlink r:id="rId85" w:history="1">
              <w:r w:rsidRPr="009E5B70">
                <w:rPr>
                  <w:rStyle w:val="Hyperlink"/>
                </w:rPr>
                <w:t>Fuel Prices webpage</w:t>
              </w:r>
            </w:hyperlink>
            <w:r>
              <w:t>.</w:t>
            </w:r>
          </w:p>
        </w:tc>
      </w:tr>
      <w:tr w:rsidR="00350F25" w:rsidRPr="00CC451D" w14:paraId="2D271F0A"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284407DB" w14:textId="77777777" w:rsidR="00350F25" w:rsidRDefault="00350F25" w:rsidP="00350F25">
            <w:pPr>
              <w:pStyle w:val="TableCellText"/>
            </w:pPr>
            <w:r>
              <w:t>Electricity Generation Region</w:t>
            </w:r>
          </w:p>
        </w:tc>
        <w:tc>
          <w:tcPr>
            <w:tcW w:w="963" w:type="pct"/>
            <w:tcBorders>
              <w:top w:val="single" w:sz="4" w:space="0" w:color="0070C0"/>
              <w:left w:val="single" w:sz="4" w:space="0" w:color="0070C0"/>
              <w:bottom w:val="single" w:sz="4" w:space="0" w:color="0070C0"/>
              <w:right w:val="single" w:sz="4" w:space="0" w:color="0070C0"/>
            </w:tcBorders>
          </w:tcPr>
          <w:p w14:paraId="54EE1414" w14:textId="77777777" w:rsidR="00350F25" w:rsidRDefault="00350F25" w:rsidP="00350F25">
            <w:pPr>
              <w:pStyle w:val="TableCellText"/>
            </w:pPr>
            <w:r>
              <w:t>SERC</w:t>
            </w:r>
          </w:p>
        </w:tc>
        <w:tc>
          <w:tcPr>
            <w:tcW w:w="2836" w:type="pct"/>
            <w:tcBorders>
              <w:top w:val="single" w:sz="4" w:space="0" w:color="0070C0"/>
              <w:left w:val="single" w:sz="4" w:space="0" w:color="0070C0"/>
              <w:bottom w:val="single" w:sz="4" w:space="0" w:color="0070C0"/>
              <w:right w:val="single" w:sz="4" w:space="0" w:color="0070C0"/>
            </w:tcBorders>
          </w:tcPr>
          <w:p w14:paraId="4C8533F5" w14:textId="77777777" w:rsidR="00350F25" w:rsidRPr="004739E4" w:rsidRDefault="00350F25" w:rsidP="00350F25">
            <w:pPr>
              <w:pStyle w:val="TableCellText"/>
            </w:pPr>
            <w:r>
              <w:t>This electricity region includes Tennessee. Note, however, that this selection only affects CO</w:t>
            </w:r>
            <w:r w:rsidRPr="00A25388">
              <w:rPr>
                <w:vertAlign w:val="subscript"/>
              </w:rPr>
              <w:t>2</w:t>
            </w:r>
            <w:r>
              <w:t xml:space="preserve"> emissions.</w:t>
            </w:r>
          </w:p>
        </w:tc>
      </w:tr>
      <w:tr w:rsidR="00350F25" w:rsidRPr="00CC451D" w14:paraId="5B277177"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50DE7EB9" w14:textId="77777777" w:rsidR="00350F25" w:rsidRDefault="00350F25" w:rsidP="00350F25">
            <w:pPr>
              <w:pStyle w:val="TableCellText"/>
            </w:pPr>
            <w:r>
              <w:t>CO</w:t>
            </w:r>
            <w:r w:rsidRPr="00F6465A">
              <w:rPr>
                <w:vertAlign w:val="subscript"/>
              </w:rPr>
              <w:t>2</w:t>
            </w:r>
          </w:p>
        </w:tc>
        <w:tc>
          <w:tcPr>
            <w:tcW w:w="963" w:type="pct"/>
            <w:tcBorders>
              <w:top w:val="single" w:sz="4" w:space="0" w:color="0070C0"/>
              <w:left w:val="single" w:sz="4" w:space="0" w:color="0070C0"/>
              <w:bottom w:val="single" w:sz="4" w:space="0" w:color="0070C0"/>
              <w:right w:val="single" w:sz="4" w:space="0" w:color="0070C0"/>
            </w:tcBorders>
          </w:tcPr>
          <w:p w14:paraId="02B072FA" w14:textId="77777777" w:rsidR="00350F25" w:rsidRDefault="00350F25" w:rsidP="00350F25">
            <w:pPr>
              <w:pStyle w:val="TableCellText"/>
            </w:pPr>
            <w:r>
              <w:t>Leave default value (588 g/kWh)</w:t>
            </w:r>
          </w:p>
        </w:tc>
        <w:tc>
          <w:tcPr>
            <w:tcW w:w="2836" w:type="pct"/>
            <w:tcBorders>
              <w:top w:val="single" w:sz="4" w:space="0" w:color="0070C0"/>
              <w:left w:val="single" w:sz="4" w:space="0" w:color="0070C0"/>
              <w:bottom w:val="single" w:sz="4" w:space="0" w:color="0070C0"/>
              <w:right w:val="single" w:sz="4" w:space="0" w:color="0070C0"/>
            </w:tcBorders>
          </w:tcPr>
          <w:p w14:paraId="46378649" w14:textId="77777777" w:rsidR="00350F25" w:rsidRPr="004739E4" w:rsidRDefault="00350F25" w:rsidP="00350F25">
            <w:pPr>
              <w:pStyle w:val="TableCellText"/>
            </w:pPr>
            <w:r>
              <w:t>The default value will update depending on the Electricity Generation Region selected.</w:t>
            </w:r>
          </w:p>
        </w:tc>
      </w:tr>
      <w:tr w:rsidR="00350F25" w:rsidRPr="00CC451D" w14:paraId="06766378"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1338D5FF" w14:textId="77777777" w:rsidR="00350F25" w:rsidRPr="004739E4" w:rsidRDefault="00350F25" w:rsidP="00350F25">
            <w:pPr>
              <w:pStyle w:val="TableCellText"/>
            </w:pPr>
            <w:r w:rsidRPr="00447743">
              <w:rPr>
                <w:b/>
              </w:rPr>
              <w:t>Capital Costs</w:t>
            </w:r>
          </w:p>
        </w:tc>
      </w:tr>
      <w:tr w:rsidR="00350F25" w:rsidRPr="00CC451D" w14:paraId="1371B74D"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06D29F2E" w14:textId="77777777" w:rsidR="00350F25" w:rsidRDefault="00350F25" w:rsidP="00350F25">
            <w:pPr>
              <w:pStyle w:val="TableCellText"/>
            </w:pPr>
            <w:r>
              <w:t>Cost</w:t>
            </w:r>
          </w:p>
        </w:tc>
        <w:tc>
          <w:tcPr>
            <w:tcW w:w="963" w:type="pct"/>
            <w:tcBorders>
              <w:top w:val="single" w:sz="4" w:space="0" w:color="0070C0"/>
              <w:left w:val="single" w:sz="4" w:space="0" w:color="0070C0"/>
              <w:bottom w:val="single" w:sz="4" w:space="0" w:color="0070C0"/>
              <w:right w:val="single" w:sz="4" w:space="0" w:color="0070C0"/>
            </w:tcBorders>
          </w:tcPr>
          <w:p w14:paraId="59315E1C" w14:textId="77777777" w:rsidR="00350F25" w:rsidRDefault="00350F25" w:rsidP="00350F25">
            <w:pPr>
              <w:pStyle w:val="TableCellText"/>
            </w:pPr>
            <w:r>
              <w:t>Leave default values</w:t>
            </w:r>
          </w:p>
        </w:tc>
        <w:tc>
          <w:tcPr>
            <w:tcW w:w="2836" w:type="pct"/>
            <w:tcBorders>
              <w:top w:val="single" w:sz="4" w:space="0" w:color="0070C0"/>
              <w:left w:val="single" w:sz="4" w:space="0" w:color="0070C0"/>
              <w:bottom w:val="single" w:sz="4" w:space="0" w:color="0070C0"/>
              <w:right w:val="single" w:sz="4" w:space="0" w:color="0070C0"/>
            </w:tcBorders>
          </w:tcPr>
          <w:p w14:paraId="55F42D11" w14:textId="77777777" w:rsidR="00350F25" w:rsidRPr="004739E4" w:rsidRDefault="00350F25" w:rsidP="00350F25">
            <w:pPr>
              <w:pStyle w:val="TableCellText"/>
            </w:pPr>
            <w:r>
              <w:t>Default values are based on recent (2015) estimates. Replacing defaults with more up-to-date or local averages will improve cost and cost effectiveness estimates in the results.</w:t>
            </w:r>
          </w:p>
        </w:tc>
      </w:tr>
    </w:tbl>
    <w:p w14:paraId="0C91BB73" w14:textId="77777777" w:rsidR="00350F25" w:rsidRDefault="00350F25" w:rsidP="00350F25">
      <w:pPr>
        <w:pStyle w:val="BodyText"/>
        <w:rPr>
          <w:iCs/>
        </w:rPr>
      </w:pPr>
    </w:p>
    <w:p w14:paraId="4DD0E047" w14:textId="77777777" w:rsidR="00350F25" w:rsidRPr="003152E9" w:rsidRDefault="00350F25" w:rsidP="00350F25">
      <w:pPr>
        <w:pStyle w:val="BodyText"/>
        <w:rPr>
          <w:b/>
          <w:iCs/>
        </w:rPr>
      </w:pPr>
      <w:r w:rsidRPr="003152E9">
        <w:rPr>
          <w:b/>
          <w:iCs/>
        </w:rPr>
        <w:lastRenderedPageBreak/>
        <w:t>Results</w:t>
      </w:r>
    </w:p>
    <w:p w14:paraId="6138D1CB" w14:textId="77777777" w:rsidR="00350F25" w:rsidRDefault="00350F25" w:rsidP="00350F25">
      <w:pPr>
        <w:pStyle w:val="BodyText"/>
        <w:rPr>
          <w:iCs/>
        </w:rPr>
      </w:pPr>
      <w:r>
        <w:rPr>
          <w:iCs/>
        </w:rPr>
        <w:t>The results from the Truck Deployment Analysis are summarized in the table below. Because there are gasoline options for single unit short haul trucks, the emission reduction results depend on the baseline fuel of the truck being replaced. Gasoline trucks generally have lower PM emissions than equivalent diesel trucks, so PM reductions are smaller when switching from gasoline to an alternative fuel truck. Certain modifications – biodiesel and renewable diesel – are drop-in fuels that replace diesel fuel and thus only apply to diesel baselines.</w:t>
      </w:r>
    </w:p>
    <w:p w14:paraId="5BD535F5" w14:textId="77777777" w:rsidR="00350F25" w:rsidRDefault="00350F25" w:rsidP="00350F25">
      <w:pPr>
        <w:pStyle w:val="BodyText"/>
        <w:rPr>
          <w:iCs/>
        </w:rPr>
      </w:pPr>
      <w:r>
        <w:rPr>
          <w:iCs/>
        </w:rPr>
        <w:t>The Tool calculates emission reductions for NOx, PM2.5, and CO</w:t>
      </w:r>
      <w:r w:rsidRPr="00186B15">
        <w:rPr>
          <w:iCs/>
          <w:vertAlign w:val="subscript"/>
        </w:rPr>
        <w:t>2</w:t>
      </w:r>
      <w:r>
        <w:rPr>
          <w:iCs/>
        </w:rPr>
        <w:t>, but only the PM2.5 reductions are shown in the table below since they were the targeted pollutant in this scenario.</w:t>
      </w:r>
    </w:p>
    <w:p w14:paraId="1D83D059" w14:textId="77777777" w:rsidR="00350F25" w:rsidRDefault="00350F25" w:rsidP="00350F25">
      <w:pPr>
        <w:pStyle w:val="BodyText"/>
        <w:rPr>
          <w:iCs/>
        </w:rPr>
      </w:pPr>
      <w:r>
        <w:rPr>
          <w:iCs/>
        </w:rPr>
        <w:t xml:space="preserve">In the Truck Deployment Analysis, the </w:t>
      </w:r>
      <w:r w:rsidRPr="003B25C3">
        <w:rPr>
          <w:b/>
          <w:iCs/>
        </w:rPr>
        <w:t>A</w:t>
      </w:r>
      <w:r>
        <w:rPr>
          <w:b/>
          <w:iCs/>
        </w:rPr>
        <w:t>dditional A</w:t>
      </w:r>
      <w:r w:rsidRPr="003B25C3">
        <w:rPr>
          <w:b/>
          <w:iCs/>
        </w:rPr>
        <w:t>nnual Costs</w:t>
      </w:r>
      <w:r>
        <w:rPr>
          <w:iCs/>
        </w:rPr>
        <w:t xml:space="preserve"> take into account the annualized costs of the replacement trucks (the upfront cost divided by the assumed useful life of the trucks, which is eight years for single unit short haul trucks) and the costs or savings in operational fuel costs. The cost effectiveness is the annual costs divided by the emission reduction tons per year.</w:t>
      </w:r>
    </w:p>
    <w:tbl>
      <w:tblPr>
        <w:tblStyle w:val="TableGrid"/>
        <w:tblW w:w="0" w:type="auto"/>
        <w:tblLook w:val="04A0" w:firstRow="1" w:lastRow="0" w:firstColumn="1" w:lastColumn="0" w:noHBand="0" w:noVBand="1"/>
      </w:tblPr>
      <w:tblGrid>
        <w:gridCol w:w="1584"/>
        <w:gridCol w:w="2304"/>
        <w:gridCol w:w="1872"/>
        <w:gridCol w:w="1584"/>
        <w:gridCol w:w="1728"/>
      </w:tblGrid>
      <w:tr w:rsidR="00350F25" w:rsidRPr="009D037F" w14:paraId="2FCB0340" w14:textId="77777777" w:rsidTr="0010295D">
        <w:trPr>
          <w:trHeight w:val="600"/>
          <w:tblHeader/>
        </w:trPr>
        <w:tc>
          <w:tcPr>
            <w:tcW w:w="1584" w:type="dxa"/>
            <w:tcBorders>
              <w:bottom w:val="single" w:sz="4" w:space="0" w:color="0067AB"/>
              <w:right w:val="single" w:sz="4" w:space="0" w:color="FFFFFF" w:themeColor="background1"/>
            </w:tcBorders>
            <w:shd w:val="clear" w:color="auto" w:fill="0067AB"/>
            <w:vAlign w:val="bottom"/>
            <w:hideMark/>
          </w:tcPr>
          <w:p w14:paraId="64DC9FBA" w14:textId="77777777" w:rsidR="00350F25" w:rsidRPr="0010295D" w:rsidRDefault="00350F25" w:rsidP="0010295D">
            <w:pPr>
              <w:pStyle w:val="BodyText"/>
              <w:spacing w:after="0"/>
              <w:jc w:val="center"/>
              <w:rPr>
                <w:rFonts w:asciiTheme="minorHAnsi" w:hAnsiTheme="minorHAnsi" w:cstheme="minorHAnsi"/>
                <w:b/>
                <w:bCs/>
                <w:iCs/>
                <w:color w:val="FFFFFF" w:themeColor="background1"/>
                <w:sz w:val="20"/>
                <w:szCs w:val="20"/>
              </w:rPr>
            </w:pPr>
            <w:r w:rsidRPr="0010295D">
              <w:rPr>
                <w:rFonts w:asciiTheme="minorHAnsi" w:hAnsiTheme="minorHAnsi" w:cstheme="minorHAnsi"/>
                <w:b/>
                <w:bCs/>
                <w:iCs/>
                <w:color w:val="FFFFFF" w:themeColor="background1"/>
                <w:sz w:val="20"/>
                <w:szCs w:val="20"/>
              </w:rPr>
              <w:t>Baseline Fuel</w:t>
            </w:r>
          </w:p>
        </w:tc>
        <w:tc>
          <w:tcPr>
            <w:tcW w:w="2304" w:type="dxa"/>
            <w:tcBorders>
              <w:left w:val="single" w:sz="4" w:space="0" w:color="FFFFFF" w:themeColor="background1"/>
              <w:bottom w:val="single" w:sz="4" w:space="0" w:color="0067AB"/>
              <w:right w:val="single" w:sz="4" w:space="0" w:color="FFFFFF" w:themeColor="background1"/>
            </w:tcBorders>
            <w:shd w:val="clear" w:color="auto" w:fill="0067AB"/>
            <w:vAlign w:val="bottom"/>
            <w:hideMark/>
          </w:tcPr>
          <w:p w14:paraId="7EE881A7" w14:textId="77777777" w:rsidR="00350F25" w:rsidRPr="0010295D" w:rsidRDefault="00350F25" w:rsidP="0010295D">
            <w:pPr>
              <w:pStyle w:val="BodyText"/>
              <w:spacing w:after="0"/>
              <w:jc w:val="center"/>
              <w:rPr>
                <w:rFonts w:asciiTheme="minorHAnsi" w:hAnsiTheme="minorHAnsi" w:cstheme="minorHAnsi"/>
                <w:b/>
                <w:bCs/>
                <w:iCs/>
                <w:color w:val="FFFFFF" w:themeColor="background1"/>
                <w:sz w:val="20"/>
                <w:szCs w:val="20"/>
              </w:rPr>
            </w:pPr>
            <w:r w:rsidRPr="0010295D">
              <w:rPr>
                <w:rFonts w:asciiTheme="minorHAnsi" w:hAnsiTheme="minorHAnsi" w:cstheme="minorHAnsi"/>
                <w:b/>
                <w:bCs/>
                <w:iCs/>
                <w:color w:val="FFFFFF" w:themeColor="background1"/>
                <w:sz w:val="20"/>
                <w:szCs w:val="20"/>
              </w:rPr>
              <w:t>Modification</w:t>
            </w:r>
          </w:p>
        </w:tc>
        <w:tc>
          <w:tcPr>
            <w:tcW w:w="1872" w:type="dxa"/>
            <w:tcBorders>
              <w:left w:val="single" w:sz="4" w:space="0" w:color="FFFFFF" w:themeColor="background1"/>
              <w:bottom w:val="single" w:sz="4" w:space="0" w:color="0067AB"/>
              <w:right w:val="single" w:sz="4" w:space="0" w:color="FFFFFF" w:themeColor="background1"/>
            </w:tcBorders>
            <w:shd w:val="clear" w:color="auto" w:fill="0067AB"/>
            <w:vAlign w:val="bottom"/>
            <w:hideMark/>
          </w:tcPr>
          <w:p w14:paraId="38C2D0C4" w14:textId="77777777" w:rsidR="00350F25" w:rsidRPr="0010295D" w:rsidRDefault="00350F25" w:rsidP="0010295D">
            <w:pPr>
              <w:pStyle w:val="BodyText"/>
              <w:spacing w:after="0"/>
              <w:jc w:val="center"/>
              <w:rPr>
                <w:rFonts w:asciiTheme="minorHAnsi" w:hAnsiTheme="minorHAnsi" w:cstheme="minorHAnsi"/>
                <w:b/>
                <w:bCs/>
                <w:iCs/>
                <w:color w:val="FFFFFF" w:themeColor="background1"/>
                <w:sz w:val="20"/>
                <w:szCs w:val="20"/>
              </w:rPr>
            </w:pPr>
            <w:r w:rsidRPr="0010295D">
              <w:rPr>
                <w:rFonts w:asciiTheme="minorHAnsi" w:hAnsiTheme="minorHAnsi" w:cstheme="minorHAnsi"/>
                <w:b/>
                <w:bCs/>
                <w:iCs/>
                <w:color w:val="FFFFFF" w:themeColor="background1"/>
                <w:sz w:val="20"/>
                <w:szCs w:val="20"/>
              </w:rPr>
              <w:t>Annual PM</w:t>
            </w:r>
            <w:r w:rsidRPr="0010295D">
              <w:rPr>
                <w:rFonts w:asciiTheme="minorHAnsi" w:hAnsiTheme="minorHAnsi" w:cstheme="minorHAnsi"/>
                <w:b/>
                <w:bCs/>
                <w:iCs/>
                <w:color w:val="FFFFFF" w:themeColor="background1"/>
                <w:sz w:val="20"/>
                <w:szCs w:val="20"/>
                <w:vertAlign w:val="subscript"/>
              </w:rPr>
              <w:t>2.5</w:t>
            </w:r>
            <w:r w:rsidRPr="0010295D">
              <w:rPr>
                <w:rFonts w:asciiTheme="minorHAnsi" w:hAnsiTheme="minorHAnsi" w:cstheme="minorHAnsi"/>
                <w:b/>
                <w:bCs/>
                <w:iCs/>
                <w:color w:val="FFFFFF" w:themeColor="background1"/>
                <w:sz w:val="20"/>
                <w:szCs w:val="20"/>
              </w:rPr>
              <w:t xml:space="preserve"> Emissions Reduced (tons)</w:t>
            </w:r>
          </w:p>
        </w:tc>
        <w:tc>
          <w:tcPr>
            <w:tcW w:w="1584" w:type="dxa"/>
            <w:tcBorders>
              <w:left w:val="single" w:sz="4" w:space="0" w:color="FFFFFF" w:themeColor="background1"/>
              <w:bottom w:val="single" w:sz="4" w:space="0" w:color="0067AB"/>
              <w:right w:val="single" w:sz="4" w:space="0" w:color="FFFFFF" w:themeColor="background1"/>
            </w:tcBorders>
            <w:shd w:val="clear" w:color="auto" w:fill="0067AB"/>
            <w:vAlign w:val="bottom"/>
          </w:tcPr>
          <w:p w14:paraId="24CFB4AA" w14:textId="77777777" w:rsidR="00350F25" w:rsidRPr="0010295D" w:rsidRDefault="00350F25" w:rsidP="0010295D">
            <w:pPr>
              <w:pStyle w:val="BodyText"/>
              <w:spacing w:after="0"/>
              <w:jc w:val="center"/>
              <w:rPr>
                <w:rFonts w:asciiTheme="minorHAnsi" w:hAnsiTheme="minorHAnsi" w:cstheme="minorHAnsi"/>
                <w:b/>
                <w:bCs/>
                <w:iCs/>
                <w:color w:val="FFFFFF" w:themeColor="background1"/>
                <w:sz w:val="20"/>
                <w:szCs w:val="20"/>
              </w:rPr>
            </w:pPr>
            <w:r w:rsidRPr="0010295D">
              <w:rPr>
                <w:rFonts w:asciiTheme="minorHAnsi" w:hAnsiTheme="minorHAnsi" w:cstheme="minorHAnsi"/>
                <w:b/>
                <w:color w:val="FFFFFF" w:themeColor="background1"/>
                <w:sz w:val="20"/>
                <w:szCs w:val="20"/>
              </w:rPr>
              <w:t>Additional Annual Costs</w:t>
            </w:r>
          </w:p>
        </w:tc>
        <w:tc>
          <w:tcPr>
            <w:tcW w:w="1728" w:type="dxa"/>
            <w:tcBorders>
              <w:left w:val="single" w:sz="4" w:space="0" w:color="FFFFFF" w:themeColor="background1"/>
              <w:bottom w:val="single" w:sz="4" w:space="0" w:color="0067AB"/>
            </w:tcBorders>
            <w:shd w:val="clear" w:color="auto" w:fill="0067AB"/>
            <w:vAlign w:val="bottom"/>
            <w:hideMark/>
          </w:tcPr>
          <w:p w14:paraId="4F529FD8" w14:textId="77777777" w:rsidR="00350F25" w:rsidRPr="0010295D" w:rsidRDefault="00350F25" w:rsidP="0010295D">
            <w:pPr>
              <w:pStyle w:val="BodyText"/>
              <w:spacing w:after="0"/>
              <w:jc w:val="center"/>
              <w:rPr>
                <w:rFonts w:asciiTheme="minorHAnsi" w:hAnsiTheme="minorHAnsi" w:cstheme="minorHAnsi"/>
                <w:b/>
                <w:bCs/>
                <w:iCs/>
                <w:color w:val="FFFFFF" w:themeColor="background1"/>
                <w:sz w:val="20"/>
                <w:szCs w:val="20"/>
              </w:rPr>
            </w:pPr>
            <w:r w:rsidRPr="0010295D">
              <w:rPr>
                <w:rFonts w:asciiTheme="minorHAnsi" w:hAnsiTheme="minorHAnsi" w:cstheme="minorHAnsi"/>
                <w:b/>
                <w:bCs/>
                <w:iCs/>
                <w:color w:val="FFFFFF" w:themeColor="background1"/>
                <w:sz w:val="20"/>
                <w:szCs w:val="20"/>
              </w:rPr>
              <w:t>Cost Effectiveness ($/ton)</w:t>
            </w:r>
          </w:p>
        </w:tc>
      </w:tr>
      <w:tr w:rsidR="00350F25" w:rsidRPr="009D037F" w14:paraId="1A05271E" w14:textId="77777777" w:rsidTr="0010295D">
        <w:trPr>
          <w:trHeight w:val="300"/>
        </w:trPr>
        <w:tc>
          <w:tcPr>
            <w:tcW w:w="1584" w:type="dxa"/>
            <w:tcBorders>
              <w:top w:val="single" w:sz="4" w:space="0" w:color="0067AB"/>
              <w:left w:val="single" w:sz="4" w:space="0" w:color="0067AB"/>
              <w:bottom w:val="single" w:sz="4" w:space="0" w:color="0067AB"/>
              <w:right w:val="single" w:sz="4" w:space="0" w:color="0067AB"/>
            </w:tcBorders>
            <w:noWrap/>
            <w:hideMark/>
          </w:tcPr>
          <w:p w14:paraId="1A4889AA"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iCs/>
                <w:sz w:val="20"/>
                <w:szCs w:val="20"/>
              </w:rPr>
              <w:t>Gasoline</w:t>
            </w:r>
          </w:p>
        </w:tc>
        <w:tc>
          <w:tcPr>
            <w:tcW w:w="2304" w:type="dxa"/>
            <w:tcBorders>
              <w:top w:val="single" w:sz="4" w:space="0" w:color="0067AB"/>
              <w:left w:val="single" w:sz="4" w:space="0" w:color="0067AB"/>
              <w:bottom w:val="single" w:sz="4" w:space="0" w:color="0067AB"/>
              <w:right w:val="single" w:sz="4" w:space="0" w:color="0067AB"/>
            </w:tcBorders>
            <w:noWrap/>
            <w:hideMark/>
          </w:tcPr>
          <w:p w14:paraId="6BD6094F"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iCs/>
                <w:sz w:val="20"/>
                <w:szCs w:val="20"/>
              </w:rPr>
              <w:t>CNG</w:t>
            </w:r>
          </w:p>
        </w:tc>
        <w:tc>
          <w:tcPr>
            <w:tcW w:w="1872" w:type="dxa"/>
            <w:tcBorders>
              <w:top w:val="single" w:sz="4" w:space="0" w:color="0067AB"/>
              <w:left w:val="single" w:sz="4" w:space="0" w:color="0067AB"/>
              <w:bottom w:val="single" w:sz="4" w:space="0" w:color="0067AB"/>
              <w:right w:val="single" w:sz="4" w:space="0" w:color="0067AB"/>
            </w:tcBorders>
            <w:noWrap/>
            <w:hideMark/>
          </w:tcPr>
          <w:p w14:paraId="0D3011A4"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0.070</w:t>
            </w:r>
          </w:p>
        </w:tc>
        <w:tc>
          <w:tcPr>
            <w:tcW w:w="1584" w:type="dxa"/>
            <w:tcBorders>
              <w:top w:val="single" w:sz="4" w:space="0" w:color="0067AB"/>
              <w:left w:val="single" w:sz="4" w:space="0" w:color="0067AB"/>
              <w:bottom w:val="single" w:sz="4" w:space="0" w:color="0067AB"/>
              <w:right w:val="single" w:sz="4" w:space="0" w:color="0067AB"/>
            </w:tcBorders>
          </w:tcPr>
          <w:p w14:paraId="08217076"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$1,147,788</w:t>
            </w:r>
          </w:p>
        </w:tc>
        <w:tc>
          <w:tcPr>
            <w:tcW w:w="1728" w:type="dxa"/>
            <w:tcBorders>
              <w:top w:val="single" w:sz="4" w:space="0" w:color="0067AB"/>
              <w:left w:val="single" w:sz="4" w:space="0" w:color="0067AB"/>
              <w:bottom w:val="single" w:sz="4" w:space="0" w:color="0067AB"/>
              <w:right w:val="single" w:sz="4" w:space="0" w:color="0067AB"/>
            </w:tcBorders>
            <w:noWrap/>
            <w:hideMark/>
          </w:tcPr>
          <w:p w14:paraId="05E414F8"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iCs/>
                <w:sz w:val="20"/>
                <w:szCs w:val="20"/>
              </w:rPr>
              <w:t>$16,392,968</w:t>
            </w:r>
          </w:p>
        </w:tc>
      </w:tr>
      <w:tr w:rsidR="00350F25" w:rsidRPr="009D037F" w14:paraId="3E737AEF" w14:textId="77777777" w:rsidTr="0010295D">
        <w:trPr>
          <w:trHeight w:val="300"/>
        </w:trPr>
        <w:tc>
          <w:tcPr>
            <w:tcW w:w="1584" w:type="dxa"/>
            <w:tcBorders>
              <w:top w:val="single" w:sz="4" w:space="0" w:color="0067AB"/>
              <w:left w:val="single" w:sz="4" w:space="0" w:color="0067AB"/>
              <w:bottom w:val="single" w:sz="4" w:space="0" w:color="0067AB"/>
              <w:right w:val="single" w:sz="4" w:space="0" w:color="0067AB"/>
            </w:tcBorders>
            <w:noWrap/>
            <w:hideMark/>
          </w:tcPr>
          <w:p w14:paraId="52BA6624"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iCs/>
                <w:sz w:val="20"/>
                <w:szCs w:val="20"/>
              </w:rPr>
              <w:t>Gasoline</w:t>
            </w:r>
          </w:p>
        </w:tc>
        <w:tc>
          <w:tcPr>
            <w:tcW w:w="2304" w:type="dxa"/>
            <w:tcBorders>
              <w:top w:val="single" w:sz="4" w:space="0" w:color="0067AB"/>
              <w:left w:val="single" w:sz="4" w:space="0" w:color="0067AB"/>
              <w:bottom w:val="single" w:sz="4" w:space="0" w:color="0067AB"/>
              <w:right w:val="single" w:sz="4" w:space="0" w:color="0067AB"/>
            </w:tcBorders>
            <w:noWrap/>
            <w:hideMark/>
          </w:tcPr>
          <w:p w14:paraId="53ED4E6A"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iCs/>
                <w:sz w:val="20"/>
                <w:szCs w:val="20"/>
              </w:rPr>
              <w:t>RCNG</w:t>
            </w:r>
          </w:p>
        </w:tc>
        <w:tc>
          <w:tcPr>
            <w:tcW w:w="1872" w:type="dxa"/>
            <w:tcBorders>
              <w:top w:val="single" w:sz="4" w:space="0" w:color="0067AB"/>
              <w:left w:val="single" w:sz="4" w:space="0" w:color="0067AB"/>
              <w:bottom w:val="single" w:sz="4" w:space="0" w:color="0067AB"/>
              <w:right w:val="single" w:sz="4" w:space="0" w:color="0067AB"/>
            </w:tcBorders>
            <w:noWrap/>
            <w:hideMark/>
          </w:tcPr>
          <w:p w14:paraId="51E62275"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0.070</w:t>
            </w:r>
          </w:p>
        </w:tc>
        <w:tc>
          <w:tcPr>
            <w:tcW w:w="1584" w:type="dxa"/>
            <w:tcBorders>
              <w:top w:val="single" w:sz="4" w:space="0" w:color="0067AB"/>
              <w:left w:val="single" w:sz="4" w:space="0" w:color="0067AB"/>
              <w:bottom w:val="single" w:sz="4" w:space="0" w:color="0067AB"/>
              <w:right w:val="single" w:sz="4" w:space="0" w:color="0067AB"/>
            </w:tcBorders>
          </w:tcPr>
          <w:p w14:paraId="04C4B634"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$1,147,788</w:t>
            </w:r>
          </w:p>
        </w:tc>
        <w:tc>
          <w:tcPr>
            <w:tcW w:w="1728" w:type="dxa"/>
            <w:tcBorders>
              <w:top w:val="single" w:sz="4" w:space="0" w:color="0067AB"/>
              <w:left w:val="single" w:sz="4" w:space="0" w:color="0067AB"/>
              <w:bottom w:val="single" w:sz="4" w:space="0" w:color="0067AB"/>
              <w:right w:val="single" w:sz="4" w:space="0" w:color="0067AB"/>
            </w:tcBorders>
            <w:noWrap/>
            <w:hideMark/>
          </w:tcPr>
          <w:p w14:paraId="098E9840"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iCs/>
                <w:sz w:val="20"/>
                <w:szCs w:val="20"/>
              </w:rPr>
              <w:t>$16,392,968</w:t>
            </w:r>
          </w:p>
        </w:tc>
      </w:tr>
      <w:tr w:rsidR="00350F25" w:rsidRPr="009D037F" w14:paraId="44D22C8D" w14:textId="77777777" w:rsidTr="0010295D">
        <w:trPr>
          <w:trHeight w:val="300"/>
        </w:trPr>
        <w:tc>
          <w:tcPr>
            <w:tcW w:w="1584" w:type="dxa"/>
            <w:tcBorders>
              <w:top w:val="single" w:sz="4" w:space="0" w:color="0067AB"/>
              <w:left w:val="single" w:sz="4" w:space="0" w:color="0067AB"/>
              <w:bottom w:val="single" w:sz="4" w:space="0" w:color="0067AB"/>
              <w:right w:val="single" w:sz="4" w:space="0" w:color="0067AB"/>
            </w:tcBorders>
            <w:noWrap/>
            <w:hideMark/>
          </w:tcPr>
          <w:p w14:paraId="6F3FF8B1"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iCs/>
                <w:sz w:val="20"/>
                <w:szCs w:val="20"/>
              </w:rPr>
              <w:t>Gasoline</w:t>
            </w:r>
          </w:p>
        </w:tc>
        <w:tc>
          <w:tcPr>
            <w:tcW w:w="2304" w:type="dxa"/>
            <w:tcBorders>
              <w:top w:val="single" w:sz="4" w:space="0" w:color="0067AB"/>
              <w:left w:val="single" w:sz="4" w:space="0" w:color="0067AB"/>
              <w:bottom w:val="single" w:sz="4" w:space="0" w:color="0067AB"/>
              <w:right w:val="single" w:sz="4" w:space="0" w:color="0067AB"/>
            </w:tcBorders>
            <w:noWrap/>
            <w:hideMark/>
          </w:tcPr>
          <w:p w14:paraId="04347E4A"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iCs/>
                <w:sz w:val="20"/>
                <w:szCs w:val="20"/>
              </w:rPr>
              <w:t>CNG+LowNOx</w:t>
            </w:r>
          </w:p>
        </w:tc>
        <w:tc>
          <w:tcPr>
            <w:tcW w:w="1872" w:type="dxa"/>
            <w:tcBorders>
              <w:top w:val="single" w:sz="4" w:space="0" w:color="0067AB"/>
              <w:left w:val="single" w:sz="4" w:space="0" w:color="0067AB"/>
              <w:bottom w:val="single" w:sz="4" w:space="0" w:color="0067AB"/>
              <w:right w:val="single" w:sz="4" w:space="0" w:color="0067AB"/>
            </w:tcBorders>
            <w:noWrap/>
            <w:hideMark/>
          </w:tcPr>
          <w:p w14:paraId="6CDD8438"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0.070</w:t>
            </w:r>
          </w:p>
        </w:tc>
        <w:tc>
          <w:tcPr>
            <w:tcW w:w="1584" w:type="dxa"/>
            <w:tcBorders>
              <w:top w:val="single" w:sz="4" w:space="0" w:color="0067AB"/>
              <w:left w:val="single" w:sz="4" w:space="0" w:color="0067AB"/>
              <w:bottom w:val="single" w:sz="4" w:space="0" w:color="0067AB"/>
              <w:right w:val="single" w:sz="4" w:space="0" w:color="0067AB"/>
            </w:tcBorders>
          </w:tcPr>
          <w:p w14:paraId="0926400C"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$1,272,788</w:t>
            </w:r>
          </w:p>
        </w:tc>
        <w:tc>
          <w:tcPr>
            <w:tcW w:w="1728" w:type="dxa"/>
            <w:tcBorders>
              <w:top w:val="single" w:sz="4" w:space="0" w:color="0067AB"/>
              <w:left w:val="single" w:sz="4" w:space="0" w:color="0067AB"/>
              <w:bottom w:val="single" w:sz="4" w:space="0" w:color="0067AB"/>
              <w:right w:val="single" w:sz="4" w:space="0" w:color="0067AB"/>
            </w:tcBorders>
            <w:noWrap/>
            <w:hideMark/>
          </w:tcPr>
          <w:p w14:paraId="1B73CED3"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iCs/>
                <w:sz w:val="20"/>
                <w:szCs w:val="20"/>
              </w:rPr>
              <w:t>$18,178,247</w:t>
            </w:r>
          </w:p>
        </w:tc>
      </w:tr>
      <w:tr w:rsidR="00350F25" w:rsidRPr="009D037F" w14:paraId="27E10C95" w14:textId="77777777" w:rsidTr="0010295D">
        <w:trPr>
          <w:trHeight w:val="300"/>
        </w:trPr>
        <w:tc>
          <w:tcPr>
            <w:tcW w:w="1584" w:type="dxa"/>
            <w:tcBorders>
              <w:top w:val="single" w:sz="4" w:space="0" w:color="0067AB"/>
              <w:left w:val="single" w:sz="4" w:space="0" w:color="0067AB"/>
              <w:bottom w:val="single" w:sz="4" w:space="0" w:color="0067AB"/>
              <w:right w:val="single" w:sz="4" w:space="0" w:color="0067AB"/>
            </w:tcBorders>
            <w:noWrap/>
            <w:hideMark/>
          </w:tcPr>
          <w:p w14:paraId="4E03E408"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iCs/>
                <w:sz w:val="20"/>
                <w:szCs w:val="20"/>
              </w:rPr>
              <w:t>Gasoline</w:t>
            </w:r>
          </w:p>
        </w:tc>
        <w:tc>
          <w:tcPr>
            <w:tcW w:w="2304" w:type="dxa"/>
            <w:tcBorders>
              <w:top w:val="single" w:sz="4" w:space="0" w:color="0067AB"/>
              <w:left w:val="single" w:sz="4" w:space="0" w:color="0067AB"/>
              <w:bottom w:val="single" w:sz="4" w:space="0" w:color="0067AB"/>
              <w:right w:val="single" w:sz="4" w:space="0" w:color="0067AB"/>
            </w:tcBorders>
            <w:noWrap/>
            <w:hideMark/>
          </w:tcPr>
          <w:p w14:paraId="064FD356"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iCs/>
                <w:sz w:val="20"/>
                <w:szCs w:val="20"/>
              </w:rPr>
              <w:t>RCNG+LowNOx</w:t>
            </w:r>
          </w:p>
        </w:tc>
        <w:tc>
          <w:tcPr>
            <w:tcW w:w="1872" w:type="dxa"/>
            <w:tcBorders>
              <w:top w:val="single" w:sz="4" w:space="0" w:color="0067AB"/>
              <w:left w:val="single" w:sz="4" w:space="0" w:color="0067AB"/>
              <w:bottom w:val="single" w:sz="4" w:space="0" w:color="0067AB"/>
              <w:right w:val="single" w:sz="4" w:space="0" w:color="0067AB"/>
            </w:tcBorders>
            <w:noWrap/>
            <w:hideMark/>
          </w:tcPr>
          <w:p w14:paraId="3F6B4835"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0.070</w:t>
            </w:r>
          </w:p>
        </w:tc>
        <w:tc>
          <w:tcPr>
            <w:tcW w:w="1584" w:type="dxa"/>
            <w:tcBorders>
              <w:top w:val="single" w:sz="4" w:space="0" w:color="0067AB"/>
              <w:left w:val="single" w:sz="4" w:space="0" w:color="0067AB"/>
              <w:bottom w:val="single" w:sz="4" w:space="0" w:color="0067AB"/>
              <w:right w:val="single" w:sz="4" w:space="0" w:color="0067AB"/>
            </w:tcBorders>
          </w:tcPr>
          <w:p w14:paraId="11BDFB6A"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$1,272,788</w:t>
            </w:r>
          </w:p>
        </w:tc>
        <w:tc>
          <w:tcPr>
            <w:tcW w:w="1728" w:type="dxa"/>
            <w:tcBorders>
              <w:top w:val="single" w:sz="4" w:space="0" w:color="0067AB"/>
              <w:left w:val="single" w:sz="4" w:space="0" w:color="0067AB"/>
              <w:bottom w:val="single" w:sz="4" w:space="0" w:color="0067AB"/>
              <w:right w:val="single" w:sz="4" w:space="0" w:color="0067AB"/>
            </w:tcBorders>
            <w:noWrap/>
            <w:hideMark/>
          </w:tcPr>
          <w:p w14:paraId="4062C309"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iCs/>
                <w:sz w:val="20"/>
                <w:szCs w:val="20"/>
              </w:rPr>
              <w:t>$18,178,247</w:t>
            </w:r>
          </w:p>
        </w:tc>
      </w:tr>
      <w:tr w:rsidR="00350F25" w:rsidRPr="009D037F" w14:paraId="5DDAEA39" w14:textId="77777777" w:rsidTr="0010295D">
        <w:trPr>
          <w:trHeight w:val="300"/>
        </w:trPr>
        <w:tc>
          <w:tcPr>
            <w:tcW w:w="1584" w:type="dxa"/>
            <w:tcBorders>
              <w:top w:val="single" w:sz="4" w:space="0" w:color="0067AB"/>
              <w:left w:val="single" w:sz="4" w:space="0" w:color="0067AB"/>
              <w:bottom w:val="single" w:sz="4" w:space="0" w:color="0067AB"/>
              <w:right w:val="single" w:sz="4" w:space="0" w:color="0067AB"/>
            </w:tcBorders>
            <w:noWrap/>
            <w:hideMark/>
          </w:tcPr>
          <w:p w14:paraId="7FAC8193"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iCs/>
                <w:sz w:val="20"/>
                <w:szCs w:val="20"/>
              </w:rPr>
              <w:t>Gasoline</w:t>
            </w:r>
          </w:p>
        </w:tc>
        <w:tc>
          <w:tcPr>
            <w:tcW w:w="2304" w:type="dxa"/>
            <w:tcBorders>
              <w:top w:val="single" w:sz="4" w:space="0" w:color="0067AB"/>
              <w:left w:val="single" w:sz="4" w:space="0" w:color="0067AB"/>
              <w:bottom w:val="single" w:sz="4" w:space="0" w:color="0067AB"/>
              <w:right w:val="single" w:sz="4" w:space="0" w:color="0067AB"/>
            </w:tcBorders>
            <w:noWrap/>
            <w:hideMark/>
          </w:tcPr>
          <w:p w14:paraId="17F3CF41"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iCs/>
                <w:sz w:val="20"/>
                <w:szCs w:val="20"/>
              </w:rPr>
              <w:t>Propane</w:t>
            </w:r>
          </w:p>
        </w:tc>
        <w:tc>
          <w:tcPr>
            <w:tcW w:w="1872" w:type="dxa"/>
            <w:tcBorders>
              <w:top w:val="single" w:sz="4" w:space="0" w:color="0067AB"/>
              <w:left w:val="single" w:sz="4" w:space="0" w:color="0067AB"/>
              <w:bottom w:val="single" w:sz="4" w:space="0" w:color="0067AB"/>
              <w:right w:val="single" w:sz="4" w:space="0" w:color="0067AB"/>
            </w:tcBorders>
            <w:noWrap/>
            <w:hideMark/>
          </w:tcPr>
          <w:p w14:paraId="7F62A4FC"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0.070</w:t>
            </w:r>
          </w:p>
        </w:tc>
        <w:tc>
          <w:tcPr>
            <w:tcW w:w="1584" w:type="dxa"/>
            <w:tcBorders>
              <w:top w:val="single" w:sz="4" w:space="0" w:color="0067AB"/>
              <w:left w:val="single" w:sz="4" w:space="0" w:color="0067AB"/>
              <w:bottom w:val="single" w:sz="4" w:space="0" w:color="0067AB"/>
              <w:right w:val="single" w:sz="4" w:space="0" w:color="0067AB"/>
            </w:tcBorders>
          </w:tcPr>
          <w:p w14:paraId="0660567B"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$1,099,567</w:t>
            </w:r>
          </w:p>
        </w:tc>
        <w:tc>
          <w:tcPr>
            <w:tcW w:w="1728" w:type="dxa"/>
            <w:tcBorders>
              <w:top w:val="single" w:sz="4" w:space="0" w:color="0067AB"/>
              <w:left w:val="single" w:sz="4" w:space="0" w:color="0067AB"/>
              <w:bottom w:val="single" w:sz="4" w:space="0" w:color="0067AB"/>
              <w:right w:val="single" w:sz="4" w:space="0" w:color="0067AB"/>
            </w:tcBorders>
            <w:noWrap/>
            <w:hideMark/>
          </w:tcPr>
          <w:p w14:paraId="38E254C5"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iCs/>
                <w:sz w:val="20"/>
                <w:szCs w:val="20"/>
              </w:rPr>
              <w:t>$15,704,268</w:t>
            </w:r>
          </w:p>
        </w:tc>
      </w:tr>
      <w:tr w:rsidR="00350F25" w:rsidRPr="009D037F" w14:paraId="74600B74" w14:textId="77777777" w:rsidTr="0010295D">
        <w:trPr>
          <w:trHeight w:val="300"/>
        </w:trPr>
        <w:tc>
          <w:tcPr>
            <w:tcW w:w="1584" w:type="dxa"/>
            <w:tcBorders>
              <w:top w:val="single" w:sz="4" w:space="0" w:color="0067AB"/>
              <w:left w:val="single" w:sz="4" w:space="0" w:color="0067AB"/>
              <w:bottom w:val="single" w:sz="4" w:space="0" w:color="0067AB"/>
              <w:right w:val="single" w:sz="4" w:space="0" w:color="0067AB"/>
            </w:tcBorders>
            <w:noWrap/>
            <w:hideMark/>
          </w:tcPr>
          <w:p w14:paraId="325872B0"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iCs/>
                <w:sz w:val="20"/>
                <w:szCs w:val="20"/>
              </w:rPr>
              <w:t>Gasoline</w:t>
            </w:r>
          </w:p>
        </w:tc>
        <w:tc>
          <w:tcPr>
            <w:tcW w:w="2304" w:type="dxa"/>
            <w:tcBorders>
              <w:top w:val="single" w:sz="4" w:space="0" w:color="0067AB"/>
              <w:left w:val="single" w:sz="4" w:space="0" w:color="0067AB"/>
              <w:bottom w:val="single" w:sz="4" w:space="0" w:color="0067AB"/>
              <w:right w:val="single" w:sz="4" w:space="0" w:color="0067AB"/>
            </w:tcBorders>
            <w:noWrap/>
            <w:hideMark/>
          </w:tcPr>
          <w:p w14:paraId="06348596"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iCs/>
                <w:sz w:val="20"/>
                <w:szCs w:val="20"/>
              </w:rPr>
              <w:t>Hybrid</w:t>
            </w:r>
          </w:p>
        </w:tc>
        <w:tc>
          <w:tcPr>
            <w:tcW w:w="1872" w:type="dxa"/>
            <w:tcBorders>
              <w:top w:val="single" w:sz="4" w:space="0" w:color="0067AB"/>
              <w:left w:val="single" w:sz="4" w:space="0" w:color="0067AB"/>
              <w:bottom w:val="single" w:sz="4" w:space="0" w:color="0067AB"/>
              <w:right w:val="single" w:sz="4" w:space="0" w:color="0067AB"/>
            </w:tcBorders>
            <w:noWrap/>
            <w:hideMark/>
          </w:tcPr>
          <w:p w14:paraId="27F56F16"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0.077</w:t>
            </w:r>
          </w:p>
        </w:tc>
        <w:tc>
          <w:tcPr>
            <w:tcW w:w="1584" w:type="dxa"/>
            <w:tcBorders>
              <w:top w:val="single" w:sz="4" w:space="0" w:color="0067AB"/>
              <w:left w:val="single" w:sz="4" w:space="0" w:color="0067AB"/>
              <w:bottom w:val="single" w:sz="4" w:space="0" w:color="0067AB"/>
              <w:right w:val="single" w:sz="4" w:space="0" w:color="0067AB"/>
            </w:tcBorders>
          </w:tcPr>
          <w:p w14:paraId="0DB35D30"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$778,112</w:t>
            </w:r>
          </w:p>
        </w:tc>
        <w:tc>
          <w:tcPr>
            <w:tcW w:w="1728" w:type="dxa"/>
            <w:tcBorders>
              <w:top w:val="single" w:sz="4" w:space="0" w:color="0067AB"/>
              <w:left w:val="single" w:sz="4" w:space="0" w:color="0067AB"/>
              <w:bottom w:val="single" w:sz="4" w:space="0" w:color="0067AB"/>
              <w:right w:val="single" w:sz="4" w:space="0" w:color="0067AB"/>
            </w:tcBorders>
            <w:noWrap/>
            <w:hideMark/>
          </w:tcPr>
          <w:p w14:paraId="350AA4C6"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iCs/>
                <w:sz w:val="20"/>
                <w:szCs w:val="20"/>
              </w:rPr>
              <w:t>$10,097,128</w:t>
            </w:r>
          </w:p>
        </w:tc>
      </w:tr>
      <w:tr w:rsidR="00350F25" w:rsidRPr="009D037F" w14:paraId="0C30EA23" w14:textId="77777777" w:rsidTr="0010295D">
        <w:trPr>
          <w:trHeight w:val="300"/>
        </w:trPr>
        <w:tc>
          <w:tcPr>
            <w:tcW w:w="1584" w:type="dxa"/>
            <w:tcBorders>
              <w:top w:val="single" w:sz="4" w:space="0" w:color="0067AB"/>
              <w:left w:val="single" w:sz="4" w:space="0" w:color="0067AB"/>
              <w:bottom w:val="single" w:sz="4" w:space="0" w:color="0067AB"/>
              <w:right w:val="single" w:sz="4" w:space="0" w:color="0067AB"/>
            </w:tcBorders>
            <w:noWrap/>
            <w:hideMark/>
          </w:tcPr>
          <w:p w14:paraId="23A464F1"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iCs/>
                <w:sz w:val="20"/>
                <w:szCs w:val="20"/>
              </w:rPr>
              <w:t>Gasoline</w:t>
            </w:r>
          </w:p>
        </w:tc>
        <w:tc>
          <w:tcPr>
            <w:tcW w:w="2304" w:type="dxa"/>
            <w:tcBorders>
              <w:top w:val="single" w:sz="4" w:space="0" w:color="0067AB"/>
              <w:left w:val="single" w:sz="4" w:space="0" w:color="0067AB"/>
              <w:bottom w:val="single" w:sz="4" w:space="0" w:color="0067AB"/>
              <w:right w:val="single" w:sz="4" w:space="0" w:color="0067AB"/>
            </w:tcBorders>
            <w:noWrap/>
            <w:hideMark/>
          </w:tcPr>
          <w:p w14:paraId="74C13881"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iCs/>
                <w:sz w:val="20"/>
                <w:szCs w:val="20"/>
              </w:rPr>
              <w:t>Electric</w:t>
            </w:r>
          </w:p>
        </w:tc>
        <w:tc>
          <w:tcPr>
            <w:tcW w:w="1872" w:type="dxa"/>
            <w:tcBorders>
              <w:top w:val="single" w:sz="4" w:space="0" w:color="0067AB"/>
              <w:left w:val="single" w:sz="4" w:space="0" w:color="0067AB"/>
              <w:bottom w:val="single" w:sz="4" w:space="0" w:color="0067AB"/>
              <w:right w:val="single" w:sz="4" w:space="0" w:color="0067AB"/>
            </w:tcBorders>
            <w:noWrap/>
            <w:hideMark/>
          </w:tcPr>
          <w:p w14:paraId="33A1AD97"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0.091</w:t>
            </w:r>
          </w:p>
        </w:tc>
        <w:tc>
          <w:tcPr>
            <w:tcW w:w="1584" w:type="dxa"/>
            <w:tcBorders>
              <w:top w:val="single" w:sz="4" w:space="0" w:color="0067AB"/>
              <w:left w:val="single" w:sz="4" w:space="0" w:color="0067AB"/>
              <w:bottom w:val="single" w:sz="4" w:space="0" w:color="0067AB"/>
              <w:right w:val="single" w:sz="4" w:space="0" w:color="0067AB"/>
            </w:tcBorders>
          </w:tcPr>
          <w:p w14:paraId="5C8D5617"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$1,055,225</w:t>
            </w:r>
          </w:p>
        </w:tc>
        <w:tc>
          <w:tcPr>
            <w:tcW w:w="1728" w:type="dxa"/>
            <w:tcBorders>
              <w:top w:val="single" w:sz="4" w:space="0" w:color="0067AB"/>
              <w:left w:val="single" w:sz="4" w:space="0" w:color="0067AB"/>
              <w:bottom w:val="single" w:sz="4" w:space="0" w:color="0067AB"/>
              <w:right w:val="single" w:sz="4" w:space="0" w:color="0067AB"/>
            </w:tcBorders>
            <w:noWrap/>
            <w:hideMark/>
          </w:tcPr>
          <w:p w14:paraId="352CA133"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iCs/>
                <w:sz w:val="20"/>
                <w:szCs w:val="20"/>
              </w:rPr>
              <w:t>$11,593,829</w:t>
            </w:r>
          </w:p>
        </w:tc>
      </w:tr>
      <w:tr w:rsidR="00350F25" w:rsidRPr="009D037F" w14:paraId="140C30C6" w14:textId="77777777" w:rsidTr="0010295D">
        <w:trPr>
          <w:trHeight w:val="300"/>
        </w:trPr>
        <w:tc>
          <w:tcPr>
            <w:tcW w:w="1584" w:type="dxa"/>
            <w:tcBorders>
              <w:top w:val="single" w:sz="4" w:space="0" w:color="0067AB"/>
              <w:left w:val="single" w:sz="4" w:space="0" w:color="0067AB"/>
              <w:bottom w:val="single" w:sz="4" w:space="0" w:color="0067AB"/>
              <w:right w:val="single" w:sz="4" w:space="0" w:color="0067AB"/>
            </w:tcBorders>
            <w:noWrap/>
            <w:hideMark/>
          </w:tcPr>
          <w:p w14:paraId="4B92F491" w14:textId="77777777" w:rsidR="00350F25" w:rsidRPr="0010295D" w:rsidRDefault="00350F25" w:rsidP="00350F25">
            <w:pPr>
              <w:pStyle w:val="BodyText"/>
              <w:keepNext/>
              <w:spacing w:after="0"/>
              <w:rPr>
                <w:rFonts w:asciiTheme="minorHAnsi" w:hAnsiTheme="minorHAnsi" w:cstheme="minorHAnsi"/>
                <w:iCs/>
                <w:sz w:val="20"/>
                <w:szCs w:val="20"/>
              </w:rPr>
            </w:pPr>
            <w:r w:rsidRPr="0010295D">
              <w:rPr>
                <w:rFonts w:asciiTheme="minorHAnsi" w:hAnsiTheme="minorHAnsi" w:cstheme="minorHAnsi"/>
                <w:iCs/>
                <w:sz w:val="20"/>
                <w:szCs w:val="20"/>
              </w:rPr>
              <w:t>Diesel</w:t>
            </w:r>
          </w:p>
        </w:tc>
        <w:tc>
          <w:tcPr>
            <w:tcW w:w="2304" w:type="dxa"/>
            <w:tcBorders>
              <w:top w:val="single" w:sz="4" w:space="0" w:color="0067AB"/>
              <w:left w:val="single" w:sz="4" w:space="0" w:color="0067AB"/>
              <w:bottom w:val="single" w:sz="4" w:space="0" w:color="0067AB"/>
              <w:right w:val="single" w:sz="4" w:space="0" w:color="0067AB"/>
            </w:tcBorders>
            <w:noWrap/>
            <w:hideMark/>
          </w:tcPr>
          <w:p w14:paraId="5FBD2CD3" w14:textId="77777777" w:rsidR="00350F25" w:rsidRPr="0010295D" w:rsidRDefault="00350F25" w:rsidP="00350F25">
            <w:pPr>
              <w:pStyle w:val="BodyText"/>
              <w:keepNext/>
              <w:spacing w:after="0"/>
              <w:rPr>
                <w:rFonts w:asciiTheme="minorHAnsi" w:hAnsiTheme="minorHAnsi" w:cstheme="minorHAnsi"/>
                <w:iCs/>
                <w:sz w:val="20"/>
                <w:szCs w:val="20"/>
              </w:rPr>
            </w:pPr>
            <w:r w:rsidRPr="0010295D">
              <w:rPr>
                <w:rFonts w:asciiTheme="minorHAnsi" w:hAnsiTheme="minorHAnsi" w:cstheme="minorHAnsi"/>
                <w:iCs/>
                <w:sz w:val="20"/>
                <w:szCs w:val="20"/>
              </w:rPr>
              <w:t>CNG</w:t>
            </w:r>
          </w:p>
        </w:tc>
        <w:tc>
          <w:tcPr>
            <w:tcW w:w="1872" w:type="dxa"/>
            <w:tcBorders>
              <w:top w:val="single" w:sz="4" w:space="0" w:color="0067AB"/>
              <w:left w:val="single" w:sz="4" w:space="0" w:color="0067AB"/>
              <w:bottom w:val="single" w:sz="4" w:space="0" w:color="0067AB"/>
              <w:right w:val="single" w:sz="4" w:space="0" w:color="0067AB"/>
            </w:tcBorders>
            <w:noWrap/>
            <w:hideMark/>
          </w:tcPr>
          <w:p w14:paraId="776D85CC" w14:textId="77777777" w:rsidR="00350F25" w:rsidRPr="0010295D" w:rsidRDefault="00350F25" w:rsidP="00350F25">
            <w:pPr>
              <w:pStyle w:val="BodyText"/>
              <w:keepNext/>
              <w:spacing w:after="0"/>
              <w:jc w:val="center"/>
              <w:rPr>
                <w:rFonts w:asciiTheme="minorHAnsi" w:hAnsiTheme="minorHAnsi" w:cstheme="minorHAnsi"/>
                <w:iCs/>
                <w:sz w:val="20"/>
                <w:szCs w:val="20"/>
              </w:rPr>
            </w:pPr>
            <w:r w:rsidRPr="0010295D">
              <w:rPr>
                <w:rFonts w:asciiTheme="minorHAnsi" w:hAnsiTheme="minorHAnsi" w:cstheme="minorHAnsi"/>
                <w:sz w:val="20"/>
                <w:szCs w:val="20"/>
              </w:rPr>
              <w:t>0.574</w:t>
            </w:r>
          </w:p>
        </w:tc>
        <w:tc>
          <w:tcPr>
            <w:tcW w:w="1584" w:type="dxa"/>
            <w:tcBorders>
              <w:top w:val="single" w:sz="4" w:space="0" w:color="0067AB"/>
              <w:left w:val="single" w:sz="4" w:space="0" w:color="0067AB"/>
              <w:bottom w:val="single" w:sz="4" w:space="0" w:color="0067AB"/>
              <w:right w:val="single" w:sz="4" w:space="0" w:color="0067AB"/>
            </w:tcBorders>
          </w:tcPr>
          <w:p w14:paraId="3FB2D992" w14:textId="77777777" w:rsidR="00350F25" w:rsidRPr="0010295D" w:rsidRDefault="00350F25" w:rsidP="00350F25">
            <w:pPr>
              <w:pStyle w:val="BodyText"/>
              <w:keepNext/>
              <w:spacing w:after="0"/>
              <w:jc w:val="center"/>
              <w:rPr>
                <w:rFonts w:asciiTheme="minorHAnsi" w:hAnsiTheme="minorHAnsi" w:cstheme="minorHAnsi"/>
                <w:iCs/>
                <w:sz w:val="20"/>
                <w:szCs w:val="20"/>
              </w:rPr>
            </w:pPr>
            <w:r w:rsidRPr="0010295D">
              <w:rPr>
                <w:rFonts w:asciiTheme="minorHAnsi" w:hAnsiTheme="minorHAnsi" w:cstheme="minorHAnsi"/>
                <w:sz w:val="20"/>
                <w:szCs w:val="20"/>
              </w:rPr>
              <w:t>$1,165,881</w:t>
            </w:r>
          </w:p>
        </w:tc>
        <w:tc>
          <w:tcPr>
            <w:tcW w:w="1728" w:type="dxa"/>
            <w:tcBorders>
              <w:top w:val="single" w:sz="4" w:space="0" w:color="0067AB"/>
              <w:left w:val="single" w:sz="4" w:space="0" w:color="0067AB"/>
              <w:bottom w:val="single" w:sz="4" w:space="0" w:color="0067AB"/>
              <w:right w:val="single" w:sz="4" w:space="0" w:color="0067AB"/>
            </w:tcBorders>
            <w:noWrap/>
            <w:hideMark/>
          </w:tcPr>
          <w:p w14:paraId="4B51969F" w14:textId="77777777" w:rsidR="00350F25" w:rsidRPr="0010295D" w:rsidRDefault="00350F25" w:rsidP="00350F25">
            <w:pPr>
              <w:pStyle w:val="BodyText"/>
              <w:keepNext/>
              <w:spacing w:after="0"/>
              <w:jc w:val="center"/>
              <w:rPr>
                <w:rFonts w:asciiTheme="minorHAnsi" w:hAnsiTheme="minorHAnsi" w:cstheme="minorHAnsi"/>
                <w:iCs/>
                <w:sz w:val="20"/>
                <w:szCs w:val="20"/>
              </w:rPr>
            </w:pPr>
            <w:r w:rsidRPr="0010295D">
              <w:rPr>
                <w:rFonts w:asciiTheme="minorHAnsi" w:hAnsiTheme="minorHAnsi" w:cstheme="minorHAnsi"/>
                <w:iCs/>
                <w:sz w:val="20"/>
                <w:szCs w:val="20"/>
              </w:rPr>
              <w:t>$2,031,296</w:t>
            </w:r>
          </w:p>
        </w:tc>
      </w:tr>
      <w:tr w:rsidR="00350F25" w:rsidRPr="009D037F" w14:paraId="100A34F2" w14:textId="77777777" w:rsidTr="0010295D">
        <w:trPr>
          <w:trHeight w:val="300"/>
        </w:trPr>
        <w:tc>
          <w:tcPr>
            <w:tcW w:w="1584" w:type="dxa"/>
            <w:tcBorders>
              <w:top w:val="single" w:sz="4" w:space="0" w:color="0067AB"/>
              <w:left w:val="single" w:sz="4" w:space="0" w:color="0067AB"/>
              <w:bottom w:val="single" w:sz="4" w:space="0" w:color="0067AB"/>
              <w:right w:val="single" w:sz="4" w:space="0" w:color="0067AB"/>
            </w:tcBorders>
            <w:noWrap/>
            <w:hideMark/>
          </w:tcPr>
          <w:p w14:paraId="32B7DBB2"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iCs/>
                <w:sz w:val="20"/>
                <w:szCs w:val="20"/>
              </w:rPr>
              <w:t>Diesel</w:t>
            </w:r>
          </w:p>
        </w:tc>
        <w:tc>
          <w:tcPr>
            <w:tcW w:w="2304" w:type="dxa"/>
            <w:tcBorders>
              <w:top w:val="single" w:sz="4" w:space="0" w:color="0067AB"/>
              <w:left w:val="single" w:sz="4" w:space="0" w:color="0067AB"/>
              <w:bottom w:val="single" w:sz="4" w:space="0" w:color="0067AB"/>
              <w:right w:val="single" w:sz="4" w:space="0" w:color="0067AB"/>
            </w:tcBorders>
            <w:noWrap/>
            <w:hideMark/>
          </w:tcPr>
          <w:p w14:paraId="5274053E"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iCs/>
                <w:sz w:val="20"/>
                <w:szCs w:val="20"/>
              </w:rPr>
              <w:t>RCNG</w:t>
            </w:r>
          </w:p>
        </w:tc>
        <w:tc>
          <w:tcPr>
            <w:tcW w:w="1872" w:type="dxa"/>
            <w:tcBorders>
              <w:top w:val="single" w:sz="4" w:space="0" w:color="0067AB"/>
              <w:left w:val="single" w:sz="4" w:space="0" w:color="0067AB"/>
              <w:bottom w:val="single" w:sz="4" w:space="0" w:color="0067AB"/>
              <w:right w:val="single" w:sz="4" w:space="0" w:color="0067AB"/>
            </w:tcBorders>
            <w:noWrap/>
            <w:hideMark/>
          </w:tcPr>
          <w:p w14:paraId="47FA0399"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0.574</w:t>
            </w:r>
          </w:p>
        </w:tc>
        <w:tc>
          <w:tcPr>
            <w:tcW w:w="1584" w:type="dxa"/>
            <w:tcBorders>
              <w:top w:val="single" w:sz="4" w:space="0" w:color="0067AB"/>
              <w:left w:val="single" w:sz="4" w:space="0" w:color="0067AB"/>
              <w:bottom w:val="single" w:sz="4" w:space="0" w:color="0067AB"/>
              <w:right w:val="single" w:sz="4" w:space="0" w:color="0067AB"/>
            </w:tcBorders>
          </w:tcPr>
          <w:p w14:paraId="5D68E9E2"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$1,165,881</w:t>
            </w:r>
          </w:p>
        </w:tc>
        <w:tc>
          <w:tcPr>
            <w:tcW w:w="1728" w:type="dxa"/>
            <w:tcBorders>
              <w:top w:val="single" w:sz="4" w:space="0" w:color="0067AB"/>
              <w:left w:val="single" w:sz="4" w:space="0" w:color="0067AB"/>
              <w:bottom w:val="single" w:sz="4" w:space="0" w:color="0067AB"/>
              <w:right w:val="single" w:sz="4" w:space="0" w:color="0067AB"/>
            </w:tcBorders>
            <w:noWrap/>
            <w:hideMark/>
          </w:tcPr>
          <w:p w14:paraId="1CE1731F"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iCs/>
                <w:sz w:val="20"/>
                <w:szCs w:val="20"/>
              </w:rPr>
              <w:t>$2,031,296</w:t>
            </w:r>
          </w:p>
        </w:tc>
      </w:tr>
      <w:tr w:rsidR="00350F25" w:rsidRPr="009D037F" w14:paraId="1FBB1D6B" w14:textId="77777777" w:rsidTr="0010295D">
        <w:trPr>
          <w:trHeight w:val="300"/>
        </w:trPr>
        <w:tc>
          <w:tcPr>
            <w:tcW w:w="1584" w:type="dxa"/>
            <w:tcBorders>
              <w:top w:val="single" w:sz="4" w:space="0" w:color="0067AB"/>
              <w:left w:val="single" w:sz="4" w:space="0" w:color="0067AB"/>
              <w:bottom w:val="single" w:sz="4" w:space="0" w:color="0067AB"/>
              <w:right w:val="single" w:sz="4" w:space="0" w:color="0067AB"/>
            </w:tcBorders>
            <w:noWrap/>
            <w:hideMark/>
          </w:tcPr>
          <w:p w14:paraId="729DE2BB"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iCs/>
                <w:sz w:val="20"/>
                <w:szCs w:val="20"/>
              </w:rPr>
              <w:t>Diesel</w:t>
            </w:r>
          </w:p>
        </w:tc>
        <w:tc>
          <w:tcPr>
            <w:tcW w:w="2304" w:type="dxa"/>
            <w:tcBorders>
              <w:top w:val="single" w:sz="4" w:space="0" w:color="0067AB"/>
              <w:left w:val="single" w:sz="4" w:space="0" w:color="0067AB"/>
              <w:bottom w:val="single" w:sz="4" w:space="0" w:color="0067AB"/>
              <w:right w:val="single" w:sz="4" w:space="0" w:color="0067AB"/>
            </w:tcBorders>
            <w:noWrap/>
            <w:hideMark/>
          </w:tcPr>
          <w:p w14:paraId="2E101054"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iCs/>
                <w:sz w:val="20"/>
                <w:szCs w:val="20"/>
              </w:rPr>
              <w:t>CNG+LowNOx</w:t>
            </w:r>
          </w:p>
        </w:tc>
        <w:tc>
          <w:tcPr>
            <w:tcW w:w="1872" w:type="dxa"/>
            <w:tcBorders>
              <w:top w:val="single" w:sz="4" w:space="0" w:color="0067AB"/>
              <w:left w:val="single" w:sz="4" w:space="0" w:color="0067AB"/>
              <w:bottom w:val="single" w:sz="4" w:space="0" w:color="0067AB"/>
              <w:right w:val="single" w:sz="4" w:space="0" w:color="0067AB"/>
            </w:tcBorders>
            <w:noWrap/>
            <w:hideMark/>
          </w:tcPr>
          <w:p w14:paraId="394F2BAD"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0.574</w:t>
            </w:r>
          </w:p>
        </w:tc>
        <w:tc>
          <w:tcPr>
            <w:tcW w:w="1584" w:type="dxa"/>
            <w:tcBorders>
              <w:top w:val="single" w:sz="4" w:space="0" w:color="0067AB"/>
              <w:left w:val="single" w:sz="4" w:space="0" w:color="0067AB"/>
              <w:bottom w:val="single" w:sz="4" w:space="0" w:color="0067AB"/>
              <w:right w:val="single" w:sz="4" w:space="0" w:color="0067AB"/>
            </w:tcBorders>
          </w:tcPr>
          <w:p w14:paraId="2D4B586D"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$1,290,881</w:t>
            </w:r>
          </w:p>
        </w:tc>
        <w:tc>
          <w:tcPr>
            <w:tcW w:w="1728" w:type="dxa"/>
            <w:tcBorders>
              <w:top w:val="single" w:sz="4" w:space="0" w:color="0067AB"/>
              <w:left w:val="single" w:sz="4" w:space="0" w:color="0067AB"/>
              <w:bottom w:val="single" w:sz="4" w:space="0" w:color="0067AB"/>
              <w:right w:val="single" w:sz="4" w:space="0" w:color="0067AB"/>
            </w:tcBorders>
            <w:noWrap/>
            <w:hideMark/>
          </w:tcPr>
          <w:p w14:paraId="3E8C1980"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iCs/>
                <w:sz w:val="20"/>
                <w:szCs w:val="20"/>
              </w:rPr>
              <w:t>$2,249,082</w:t>
            </w:r>
          </w:p>
        </w:tc>
      </w:tr>
      <w:tr w:rsidR="00350F25" w:rsidRPr="009D037F" w14:paraId="5A3755E5" w14:textId="77777777" w:rsidTr="0010295D">
        <w:trPr>
          <w:trHeight w:val="300"/>
        </w:trPr>
        <w:tc>
          <w:tcPr>
            <w:tcW w:w="1584" w:type="dxa"/>
            <w:tcBorders>
              <w:top w:val="single" w:sz="4" w:space="0" w:color="0067AB"/>
              <w:left w:val="single" w:sz="4" w:space="0" w:color="0067AB"/>
              <w:bottom w:val="single" w:sz="4" w:space="0" w:color="0067AB"/>
              <w:right w:val="single" w:sz="4" w:space="0" w:color="0067AB"/>
            </w:tcBorders>
            <w:noWrap/>
            <w:hideMark/>
          </w:tcPr>
          <w:p w14:paraId="68644425"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iCs/>
                <w:sz w:val="20"/>
                <w:szCs w:val="20"/>
              </w:rPr>
              <w:t>Diesel</w:t>
            </w:r>
          </w:p>
        </w:tc>
        <w:tc>
          <w:tcPr>
            <w:tcW w:w="2304" w:type="dxa"/>
            <w:tcBorders>
              <w:top w:val="single" w:sz="4" w:space="0" w:color="0067AB"/>
              <w:left w:val="single" w:sz="4" w:space="0" w:color="0067AB"/>
              <w:bottom w:val="single" w:sz="4" w:space="0" w:color="0067AB"/>
              <w:right w:val="single" w:sz="4" w:space="0" w:color="0067AB"/>
            </w:tcBorders>
            <w:noWrap/>
            <w:hideMark/>
          </w:tcPr>
          <w:p w14:paraId="69973B12"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iCs/>
                <w:sz w:val="20"/>
                <w:szCs w:val="20"/>
              </w:rPr>
              <w:t>RCNG+LowNOx</w:t>
            </w:r>
          </w:p>
        </w:tc>
        <w:tc>
          <w:tcPr>
            <w:tcW w:w="1872" w:type="dxa"/>
            <w:tcBorders>
              <w:top w:val="single" w:sz="4" w:space="0" w:color="0067AB"/>
              <w:left w:val="single" w:sz="4" w:space="0" w:color="0067AB"/>
              <w:bottom w:val="single" w:sz="4" w:space="0" w:color="0067AB"/>
              <w:right w:val="single" w:sz="4" w:space="0" w:color="0067AB"/>
            </w:tcBorders>
            <w:noWrap/>
            <w:hideMark/>
          </w:tcPr>
          <w:p w14:paraId="69C21680"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0.574</w:t>
            </w:r>
          </w:p>
        </w:tc>
        <w:tc>
          <w:tcPr>
            <w:tcW w:w="1584" w:type="dxa"/>
            <w:tcBorders>
              <w:top w:val="single" w:sz="4" w:space="0" w:color="0067AB"/>
              <w:left w:val="single" w:sz="4" w:space="0" w:color="0067AB"/>
              <w:bottom w:val="single" w:sz="4" w:space="0" w:color="0067AB"/>
              <w:right w:val="single" w:sz="4" w:space="0" w:color="0067AB"/>
            </w:tcBorders>
          </w:tcPr>
          <w:p w14:paraId="55E61B18"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$1,290,881</w:t>
            </w:r>
          </w:p>
        </w:tc>
        <w:tc>
          <w:tcPr>
            <w:tcW w:w="1728" w:type="dxa"/>
            <w:tcBorders>
              <w:top w:val="single" w:sz="4" w:space="0" w:color="0067AB"/>
              <w:left w:val="single" w:sz="4" w:space="0" w:color="0067AB"/>
              <w:bottom w:val="single" w:sz="4" w:space="0" w:color="0067AB"/>
              <w:right w:val="single" w:sz="4" w:space="0" w:color="0067AB"/>
            </w:tcBorders>
            <w:noWrap/>
            <w:hideMark/>
          </w:tcPr>
          <w:p w14:paraId="77AA4573"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iCs/>
                <w:sz w:val="20"/>
                <w:szCs w:val="20"/>
              </w:rPr>
              <w:t>$2,249,082</w:t>
            </w:r>
          </w:p>
        </w:tc>
      </w:tr>
      <w:tr w:rsidR="00350F25" w:rsidRPr="009D037F" w14:paraId="339E54F4" w14:textId="77777777" w:rsidTr="0010295D">
        <w:trPr>
          <w:trHeight w:val="300"/>
        </w:trPr>
        <w:tc>
          <w:tcPr>
            <w:tcW w:w="1584" w:type="dxa"/>
            <w:tcBorders>
              <w:top w:val="single" w:sz="4" w:space="0" w:color="0067AB"/>
              <w:left w:val="single" w:sz="4" w:space="0" w:color="0067AB"/>
              <w:bottom w:val="single" w:sz="4" w:space="0" w:color="0067AB"/>
              <w:right w:val="single" w:sz="4" w:space="0" w:color="0067AB"/>
            </w:tcBorders>
            <w:noWrap/>
            <w:hideMark/>
          </w:tcPr>
          <w:p w14:paraId="17E71B9E"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iCs/>
                <w:sz w:val="20"/>
                <w:szCs w:val="20"/>
              </w:rPr>
              <w:t>Diesel</w:t>
            </w:r>
          </w:p>
        </w:tc>
        <w:tc>
          <w:tcPr>
            <w:tcW w:w="2304" w:type="dxa"/>
            <w:tcBorders>
              <w:top w:val="single" w:sz="4" w:space="0" w:color="0067AB"/>
              <w:left w:val="single" w:sz="4" w:space="0" w:color="0067AB"/>
              <w:bottom w:val="single" w:sz="4" w:space="0" w:color="0067AB"/>
              <w:right w:val="single" w:sz="4" w:space="0" w:color="0067AB"/>
            </w:tcBorders>
            <w:noWrap/>
            <w:hideMark/>
          </w:tcPr>
          <w:p w14:paraId="181B45AE"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iCs/>
                <w:sz w:val="20"/>
                <w:szCs w:val="20"/>
              </w:rPr>
              <w:t>Propane</w:t>
            </w:r>
          </w:p>
        </w:tc>
        <w:tc>
          <w:tcPr>
            <w:tcW w:w="1872" w:type="dxa"/>
            <w:tcBorders>
              <w:top w:val="single" w:sz="4" w:space="0" w:color="0067AB"/>
              <w:left w:val="single" w:sz="4" w:space="0" w:color="0067AB"/>
              <w:bottom w:val="single" w:sz="4" w:space="0" w:color="0067AB"/>
              <w:right w:val="single" w:sz="4" w:space="0" w:color="0067AB"/>
            </w:tcBorders>
            <w:noWrap/>
            <w:hideMark/>
          </w:tcPr>
          <w:p w14:paraId="694CF069"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0.574</w:t>
            </w:r>
          </w:p>
        </w:tc>
        <w:tc>
          <w:tcPr>
            <w:tcW w:w="1584" w:type="dxa"/>
            <w:tcBorders>
              <w:top w:val="single" w:sz="4" w:space="0" w:color="0067AB"/>
              <w:left w:val="single" w:sz="4" w:space="0" w:color="0067AB"/>
              <w:bottom w:val="single" w:sz="4" w:space="0" w:color="0067AB"/>
              <w:right w:val="single" w:sz="4" w:space="0" w:color="0067AB"/>
            </w:tcBorders>
          </w:tcPr>
          <w:p w14:paraId="47AFE1EF"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$1,102,963</w:t>
            </w:r>
          </w:p>
        </w:tc>
        <w:tc>
          <w:tcPr>
            <w:tcW w:w="1728" w:type="dxa"/>
            <w:tcBorders>
              <w:top w:val="single" w:sz="4" w:space="0" w:color="0067AB"/>
              <w:left w:val="single" w:sz="4" w:space="0" w:color="0067AB"/>
              <w:bottom w:val="single" w:sz="4" w:space="0" w:color="0067AB"/>
              <w:right w:val="single" w:sz="4" w:space="0" w:color="0067AB"/>
            </w:tcBorders>
            <w:noWrap/>
            <w:hideMark/>
          </w:tcPr>
          <w:p w14:paraId="417B55FB"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iCs/>
                <w:sz w:val="20"/>
                <w:szCs w:val="20"/>
              </w:rPr>
              <w:t>$1,921,676</w:t>
            </w:r>
          </w:p>
        </w:tc>
      </w:tr>
      <w:tr w:rsidR="00350F25" w:rsidRPr="009D037F" w14:paraId="2A99BA93" w14:textId="77777777" w:rsidTr="0010295D">
        <w:trPr>
          <w:trHeight w:val="300"/>
        </w:trPr>
        <w:tc>
          <w:tcPr>
            <w:tcW w:w="1584" w:type="dxa"/>
            <w:tcBorders>
              <w:top w:val="single" w:sz="4" w:space="0" w:color="0067AB"/>
              <w:left w:val="single" w:sz="4" w:space="0" w:color="0067AB"/>
              <w:bottom w:val="single" w:sz="4" w:space="0" w:color="0067AB"/>
              <w:right w:val="single" w:sz="4" w:space="0" w:color="0067AB"/>
            </w:tcBorders>
            <w:noWrap/>
            <w:hideMark/>
          </w:tcPr>
          <w:p w14:paraId="5C2DD527"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iCs/>
                <w:sz w:val="20"/>
                <w:szCs w:val="20"/>
              </w:rPr>
              <w:t>Diesel</w:t>
            </w:r>
          </w:p>
        </w:tc>
        <w:tc>
          <w:tcPr>
            <w:tcW w:w="2304" w:type="dxa"/>
            <w:tcBorders>
              <w:top w:val="single" w:sz="4" w:space="0" w:color="0067AB"/>
              <w:left w:val="single" w:sz="4" w:space="0" w:color="0067AB"/>
              <w:bottom w:val="single" w:sz="4" w:space="0" w:color="0067AB"/>
              <w:right w:val="single" w:sz="4" w:space="0" w:color="0067AB"/>
            </w:tcBorders>
            <w:noWrap/>
            <w:hideMark/>
          </w:tcPr>
          <w:p w14:paraId="65572211"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iCs/>
                <w:sz w:val="20"/>
                <w:szCs w:val="20"/>
              </w:rPr>
              <w:t>B20 (Biodiesel)</w:t>
            </w:r>
          </w:p>
        </w:tc>
        <w:tc>
          <w:tcPr>
            <w:tcW w:w="1872" w:type="dxa"/>
            <w:tcBorders>
              <w:top w:val="single" w:sz="4" w:space="0" w:color="0067AB"/>
              <w:left w:val="single" w:sz="4" w:space="0" w:color="0067AB"/>
              <w:bottom w:val="single" w:sz="4" w:space="0" w:color="0067AB"/>
              <w:right w:val="single" w:sz="4" w:space="0" w:color="0067AB"/>
            </w:tcBorders>
            <w:noWrap/>
            <w:hideMark/>
          </w:tcPr>
          <w:p w14:paraId="5AC2CB67"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0.023</w:t>
            </w:r>
          </w:p>
        </w:tc>
        <w:tc>
          <w:tcPr>
            <w:tcW w:w="1584" w:type="dxa"/>
            <w:tcBorders>
              <w:top w:val="single" w:sz="4" w:space="0" w:color="0067AB"/>
              <w:left w:val="single" w:sz="4" w:space="0" w:color="0067AB"/>
              <w:bottom w:val="single" w:sz="4" w:space="0" w:color="0067AB"/>
              <w:right w:val="single" w:sz="4" w:space="0" w:color="0067AB"/>
            </w:tcBorders>
          </w:tcPr>
          <w:p w14:paraId="7E021777"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$19,217</w:t>
            </w:r>
          </w:p>
        </w:tc>
        <w:tc>
          <w:tcPr>
            <w:tcW w:w="1728" w:type="dxa"/>
            <w:tcBorders>
              <w:top w:val="single" w:sz="4" w:space="0" w:color="0067AB"/>
              <w:left w:val="single" w:sz="4" w:space="0" w:color="0067AB"/>
              <w:bottom w:val="single" w:sz="4" w:space="0" w:color="0067AB"/>
              <w:right w:val="single" w:sz="4" w:space="0" w:color="0067AB"/>
            </w:tcBorders>
            <w:noWrap/>
            <w:hideMark/>
          </w:tcPr>
          <w:p w14:paraId="314B2365"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iCs/>
                <w:sz w:val="20"/>
                <w:szCs w:val="20"/>
              </w:rPr>
              <w:t>$836,162</w:t>
            </w:r>
          </w:p>
        </w:tc>
      </w:tr>
      <w:tr w:rsidR="00350F25" w:rsidRPr="009D037F" w14:paraId="0DFA9F0D" w14:textId="77777777" w:rsidTr="0010295D">
        <w:trPr>
          <w:trHeight w:val="300"/>
        </w:trPr>
        <w:tc>
          <w:tcPr>
            <w:tcW w:w="1584" w:type="dxa"/>
            <w:tcBorders>
              <w:top w:val="single" w:sz="4" w:space="0" w:color="0067AB"/>
              <w:left w:val="single" w:sz="4" w:space="0" w:color="0067AB"/>
              <w:bottom w:val="single" w:sz="4" w:space="0" w:color="0067AB"/>
              <w:right w:val="single" w:sz="4" w:space="0" w:color="0067AB"/>
            </w:tcBorders>
            <w:noWrap/>
            <w:hideMark/>
          </w:tcPr>
          <w:p w14:paraId="66976DEB"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iCs/>
                <w:sz w:val="20"/>
                <w:szCs w:val="20"/>
              </w:rPr>
              <w:t>Diesel</w:t>
            </w:r>
          </w:p>
        </w:tc>
        <w:tc>
          <w:tcPr>
            <w:tcW w:w="2304" w:type="dxa"/>
            <w:tcBorders>
              <w:top w:val="single" w:sz="4" w:space="0" w:color="0067AB"/>
              <w:left w:val="single" w:sz="4" w:space="0" w:color="0067AB"/>
              <w:bottom w:val="single" w:sz="4" w:space="0" w:color="0067AB"/>
              <w:right w:val="single" w:sz="4" w:space="0" w:color="0067AB"/>
            </w:tcBorders>
            <w:noWrap/>
            <w:hideMark/>
          </w:tcPr>
          <w:p w14:paraId="5A60CC60"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iCs/>
                <w:sz w:val="20"/>
                <w:szCs w:val="20"/>
              </w:rPr>
              <w:t>R100 (Renewable Diesel)</w:t>
            </w:r>
          </w:p>
        </w:tc>
        <w:tc>
          <w:tcPr>
            <w:tcW w:w="1872" w:type="dxa"/>
            <w:tcBorders>
              <w:top w:val="single" w:sz="4" w:space="0" w:color="0067AB"/>
              <w:left w:val="single" w:sz="4" w:space="0" w:color="0067AB"/>
              <w:bottom w:val="single" w:sz="4" w:space="0" w:color="0067AB"/>
              <w:right w:val="single" w:sz="4" w:space="0" w:color="0067AB"/>
            </w:tcBorders>
            <w:noWrap/>
            <w:hideMark/>
          </w:tcPr>
          <w:p w14:paraId="4E8D7051"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0.005</w:t>
            </w:r>
          </w:p>
        </w:tc>
        <w:tc>
          <w:tcPr>
            <w:tcW w:w="1584" w:type="dxa"/>
            <w:tcBorders>
              <w:top w:val="single" w:sz="4" w:space="0" w:color="0067AB"/>
              <w:left w:val="single" w:sz="4" w:space="0" w:color="0067AB"/>
              <w:bottom w:val="single" w:sz="4" w:space="0" w:color="0067AB"/>
              <w:right w:val="single" w:sz="4" w:space="0" w:color="0067AB"/>
            </w:tcBorders>
          </w:tcPr>
          <w:p w14:paraId="231AAD6B"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$131,772</w:t>
            </w:r>
          </w:p>
        </w:tc>
        <w:tc>
          <w:tcPr>
            <w:tcW w:w="1728" w:type="dxa"/>
            <w:tcBorders>
              <w:top w:val="single" w:sz="4" w:space="0" w:color="0067AB"/>
              <w:left w:val="single" w:sz="4" w:space="0" w:color="0067AB"/>
              <w:bottom w:val="single" w:sz="4" w:space="0" w:color="0067AB"/>
              <w:right w:val="single" w:sz="4" w:space="0" w:color="0067AB"/>
            </w:tcBorders>
            <w:noWrap/>
            <w:hideMark/>
          </w:tcPr>
          <w:p w14:paraId="517B9B1E"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iCs/>
                <w:sz w:val="20"/>
                <w:szCs w:val="20"/>
              </w:rPr>
              <w:t>$24,368,156</w:t>
            </w:r>
          </w:p>
        </w:tc>
      </w:tr>
      <w:tr w:rsidR="00350F25" w:rsidRPr="009D037F" w14:paraId="2D60E7F0" w14:textId="77777777" w:rsidTr="0010295D">
        <w:trPr>
          <w:trHeight w:val="300"/>
        </w:trPr>
        <w:tc>
          <w:tcPr>
            <w:tcW w:w="1584" w:type="dxa"/>
            <w:tcBorders>
              <w:top w:val="single" w:sz="4" w:space="0" w:color="0067AB"/>
              <w:left w:val="single" w:sz="4" w:space="0" w:color="0067AB"/>
              <w:bottom w:val="single" w:sz="4" w:space="0" w:color="0067AB"/>
              <w:right w:val="single" w:sz="4" w:space="0" w:color="0067AB"/>
            </w:tcBorders>
            <w:noWrap/>
            <w:hideMark/>
          </w:tcPr>
          <w:p w14:paraId="62B45E55"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iCs/>
                <w:sz w:val="20"/>
                <w:szCs w:val="20"/>
              </w:rPr>
              <w:t>Diesel</w:t>
            </w:r>
          </w:p>
        </w:tc>
        <w:tc>
          <w:tcPr>
            <w:tcW w:w="2304" w:type="dxa"/>
            <w:tcBorders>
              <w:top w:val="single" w:sz="4" w:space="0" w:color="0067AB"/>
              <w:left w:val="single" w:sz="4" w:space="0" w:color="0067AB"/>
              <w:bottom w:val="single" w:sz="4" w:space="0" w:color="0067AB"/>
              <w:right w:val="single" w:sz="4" w:space="0" w:color="0067AB"/>
            </w:tcBorders>
            <w:noWrap/>
            <w:hideMark/>
          </w:tcPr>
          <w:p w14:paraId="3C93CDF4"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iCs/>
                <w:sz w:val="20"/>
                <w:szCs w:val="20"/>
              </w:rPr>
              <w:t>Hybrid</w:t>
            </w:r>
          </w:p>
        </w:tc>
        <w:tc>
          <w:tcPr>
            <w:tcW w:w="1872" w:type="dxa"/>
            <w:tcBorders>
              <w:top w:val="single" w:sz="4" w:space="0" w:color="0067AB"/>
              <w:left w:val="single" w:sz="4" w:space="0" w:color="0067AB"/>
              <w:bottom w:val="single" w:sz="4" w:space="0" w:color="0067AB"/>
              <w:right w:val="single" w:sz="4" w:space="0" w:color="0067AB"/>
            </w:tcBorders>
            <w:noWrap/>
            <w:hideMark/>
          </w:tcPr>
          <w:p w14:paraId="0D50D2C6"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0.583</w:t>
            </w:r>
          </w:p>
        </w:tc>
        <w:tc>
          <w:tcPr>
            <w:tcW w:w="1584" w:type="dxa"/>
            <w:tcBorders>
              <w:top w:val="single" w:sz="4" w:space="0" w:color="0067AB"/>
              <w:left w:val="single" w:sz="4" w:space="0" w:color="0067AB"/>
              <w:bottom w:val="single" w:sz="4" w:space="0" w:color="0067AB"/>
              <w:right w:val="single" w:sz="4" w:space="0" w:color="0067AB"/>
            </w:tcBorders>
          </w:tcPr>
          <w:p w14:paraId="70B2B431"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$785,023</w:t>
            </w:r>
          </w:p>
        </w:tc>
        <w:tc>
          <w:tcPr>
            <w:tcW w:w="1728" w:type="dxa"/>
            <w:tcBorders>
              <w:top w:val="single" w:sz="4" w:space="0" w:color="0067AB"/>
              <w:left w:val="single" w:sz="4" w:space="0" w:color="0067AB"/>
              <w:bottom w:val="single" w:sz="4" w:space="0" w:color="0067AB"/>
              <w:right w:val="single" w:sz="4" w:space="0" w:color="0067AB"/>
            </w:tcBorders>
            <w:noWrap/>
            <w:hideMark/>
          </w:tcPr>
          <w:p w14:paraId="12B7B9D5"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iCs/>
                <w:sz w:val="20"/>
                <w:szCs w:val="20"/>
              </w:rPr>
              <w:t>$1,346,329</w:t>
            </w:r>
          </w:p>
        </w:tc>
      </w:tr>
      <w:tr w:rsidR="00350F25" w:rsidRPr="009D037F" w14:paraId="3836223C" w14:textId="77777777" w:rsidTr="0010295D">
        <w:trPr>
          <w:trHeight w:val="300"/>
        </w:trPr>
        <w:tc>
          <w:tcPr>
            <w:tcW w:w="1584" w:type="dxa"/>
            <w:tcBorders>
              <w:top w:val="single" w:sz="4" w:space="0" w:color="0067AB"/>
              <w:left w:val="single" w:sz="4" w:space="0" w:color="0067AB"/>
              <w:bottom w:val="single" w:sz="4" w:space="0" w:color="0067AB"/>
              <w:right w:val="single" w:sz="4" w:space="0" w:color="0067AB"/>
            </w:tcBorders>
            <w:noWrap/>
            <w:hideMark/>
          </w:tcPr>
          <w:p w14:paraId="79AEA791"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iCs/>
                <w:sz w:val="20"/>
                <w:szCs w:val="20"/>
              </w:rPr>
              <w:t>Diesel</w:t>
            </w:r>
          </w:p>
        </w:tc>
        <w:tc>
          <w:tcPr>
            <w:tcW w:w="2304" w:type="dxa"/>
            <w:tcBorders>
              <w:top w:val="single" w:sz="4" w:space="0" w:color="0067AB"/>
              <w:left w:val="single" w:sz="4" w:space="0" w:color="0067AB"/>
              <w:bottom w:val="single" w:sz="4" w:space="0" w:color="0067AB"/>
              <w:right w:val="single" w:sz="4" w:space="0" w:color="0067AB"/>
            </w:tcBorders>
            <w:noWrap/>
            <w:hideMark/>
          </w:tcPr>
          <w:p w14:paraId="3C5F6D85"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iCs/>
                <w:sz w:val="20"/>
                <w:szCs w:val="20"/>
              </w:rPr>
              <w:t>Electric</w:t>
            </w:r>
          </w:p>
        </w:tc>
        <w:tc>
          <w:tcPr>
            <w:tcW w:w="1872" w:type="dxa"/>
            <w:tcBorders>
              <w:top w:val="single" w:sz="4" w:space="0" w:color="0067AB"/>
              <w:left w:val="single" w:sz="4" w:space="0" w:color="0067AB"/>
              <w:bottom w:val="single" w:sz="4" w:space="0" w:color="0067AB"/>
              <w:right w:val="single" w:sz="4" w:space="0" w:color="0067AB"/>
            </w:tcBorders>
            <w:noWrap/>
            <w:hideMark/>
          </w:tcPr>
          <w:p w14:paraId="33F96D4B"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0.599</w:t>
            </w:r>
          </w:p>
        </w:tc>
        <w:tc>
          <w:tcPr>
            <w:tcW w:w="1584" w:type="dxa"/>
            <w:tcBorders>
              <w:top w:val="single" w:sz="4" w:space="0" w:color="0067AB"/>
              <w:left w:val="single" w:sz="4" w:space="0" w:color="0067AB"/>
              <w:bottom w:val="single" w:sz="4" w:space="0" w:color="0067AB"/>
              <w:right w:val="single" w:sz="4" w:space="0" w:color="0067AB"/>
            </w:tcBorders>
          </w:tcPr>
          <w:p w14:paraId="02E2B842"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$1,081,820</w:t>
            </w:r>
          </w:p>
        </w:tc>
        <w:tc>
          <w:tcPr>
            <w:tcW w:w="1728" w:type="dxa"/>
            <w:tcBorders>
              <w:top w:val="single" w:sz="4" w:space="0" w:color="0067AB"/>
              <w:left w:val="single" w:sz="4" w:space="0" w:color="0067AB"/>
              <w:bottom w:val="single" w:sz="4" w:space="0" w:color="0067AB"/>
              <w:right w:val="single" w:sz="4" w:space="0" w:color="0067AB"/>
            </w:tcBorders>
            <w:noWrap/>
            <w:hideMark/>
          </w:tcPr>
          <w:p w14:paraId="4EC35F91"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iCs/>
                <w:sz w:val="20"/>
                <w:szCs w:val="20"/>
              </w:rPr>
              <w:t>$1,804,584</w:t>
            </w:r>
          </w:p>
        </w:tc>
      </w:tr>
    </w:tbl>
    <w:p w14:paraId="0FCC1923" w14:textId="77777777" w:rsidR="00350F25" w:rsidRDefault="00350F25" w:rsidP="00350F25">
      <w:pPr>
        <w:pStyle w:val="BodyText"/>
        <w:rPr>
          <w:iCs/>
        </w:rPr>
      </w:pPr>
    </w:p>
    <w:p w14:paraId="23ED162E" w14:textId="77777777" w:rsidR="00350F25" w:rsidRDefault="00350F25" w:rsidP="00350F25">
      <w:pPr>
        <w:pStyle w:val="BodyText"/>
        <w:rPr>
          <w:iCs/>
        </w:rPr>
      </w:pPr>
      <w:r>
        <w:rPr>
          <w:iCs/>
        </w:rPr>
        <w:t>The PM reductions from replacing 100 trucks are all below one ton per year. In general, the strategies replacing diesel trucks result in higher reductions than replacing gasoline trucks because diesel trucks have higher baseline PM emissions.</w:t>
      </w:r>
    </w:p>
    <w:p w14:paraId="59789A9B" w14:textId="77777777" w:rsidR="00350F25" w:rsidRDefault="00350F25" w:rsidP="00350F25">
      <w:pPr>
        <w:pStyle w:val="BodyText"/>
        <w:rPr>
          <w:iCs/>
        </w:rPr>
      </w:pPr>
      <w:r>
        <w:rPr>
          <w:iCs/>
        </w:rPr>
        <w:lastRenderedPageBreak/>
        <w:t xml:space="preserve">The costs for these strategies are high, especially since most of the alternative fuel strategies require replacing trucks. For this reason, the cost effectiveness of these strategies are generally poor with most above $1 million per ton of PM emission avoided. </w:t>
      </w:r>
    </w:p>
    <w:p w14:paraId="02D0197C" w14:textId="77777777" w:rsidR="00350F25" w:rsidRDefault="00350F25" w:rsidP="00350F25">
      <w:pPr>
        <w:pStyle w:val="BodyText"/>
        <w:rPr>
          <w:iCs/>
        </w:rPr>
      </w:pPr>
      <w:r>
        <w:rPr>
          <w:iCs/>
        </w:rPr>
        <w:t xml:space="preserve">The most cost effective strategies are the two that do not require truck replacements, biodiesel and renewable diesel; these strategies only cost the additional price per gallon above diesel. And the price for these fuels may go down in the future, which would make them more cost competitive with diesel. </w:t>
      </w:r>
      <w:r w:rsidRPr="00667327">
        <w:rPr>
          <w:iCs/>
        </w:rPr>
        <w:t xml:space="preserve">Note, however, that it is unusual for public agencies to support this strategy by subsidizing the cost of alternative fuels like biodiesel. Thus, there may be little opportunity for agencies to promote this strategy beyond investment in fueling infrastructure and supporting fuel suppliers by using biofuels in their own fleets. </w:t>
      </w:r>
      <w:r>
        <w:rPr>
          <w:iCs/>
        </w:rPr>
        <w:t>.</w:t>
      </w:r>
    </w:p>
    <w:p w14:paraId="046E501D" w14:textId="77777777" w:rsidR="00350F25" w:rsidRPr="00140664" w:rsidRDefault="00350F25" w:rsidP="00350F25">
      <w:pPr>
        <w:pStyle w:val="Heading3"/>
      </w:pPr>
      <w:bookmarkStart w:id="114" w:name="_Toc482973577"/>
      <w:r>
        <w:t>Funding Impact</w:t>
      </w:r>
      <w:r w:rsidRPr="00140664">
        <w:t xml:space="preserve"> Analysis</w:t>
      </w:r>
      <w:bookmarkEnd w:id="114"/>
      <w:r w:rsidRPr="00140664">
        <w:t xml:space="preserve"> </w:t>
      </w:r>
    </w:p>
    <w:p w14:paraId="17042682" w14:textId="77777777" w:rsidR="00350F25" w:rsidRDefault="00350F25" w:rsidP="00350F25">
      <w:pPr>
        <w:pStyle w:val="BodyText"/>
        <w:rPr>
          <w:iCs/>
        </w:rPr>
      </w:pPr>
      <w:r>
        <w:rPr>
          <w:iCs/>
        </w:rPr>
        <w:t>The scenario indicates that the DOT received $2 million for its alternative fuel program targeting urban delivery trucks. Knowing the funding amount, the Funding Impact Analysis allows the user to compare the benefits of implementing all of the strategies applicable to a given truck type. For example, with this analysis, the user can compare the amount of PM reductions the agency could get with $2 million by modifying diesel trucks with alternative fuels versus exhaust retrofits versus improved tires.</w:t>
      </w:r>
    </w:p>
    <w:p w14:paraId="1545F5A7" w14:textId="77777777" w:rsidR="00350F25" w:rsidRDefault="00350F25" w:rsidP="00350F25">
      <w:pPr>
        <w:pStyle w:val="BodyText"/>
      </w:pPr>
      <w:r>
        <w:t>For each input option, enter the selections presented in the table below.</w:t>
      </w:r>
    </w:p>
    <w:tbl>
      <w:tblPr>
        <w:tblStyle w:val="TemplateTable"/>
        <w:tblW w:w="5000" w:type="pct"/>
        <w:tblLayout w:type="fixed"/>
        <w:tblCellMar>
          <w:top w:w="0" w:type="dxa"/>
          <w:bottom w:w="0" w:type="dxa"/>
        </w:tblCellMar>
        <w:tblLook w:val="04A0" w:firstRow="1" w:lastRow="0" w:firstColumn="1" w:lastColumn="0" w:noHBand="0" w:noVBand="1"/>
      </w:tblPr>
      <w:tblGrid>
        <w:gridCol w:w="2425"/>
        <w:gridCol w:w="1801"/>
        <w:gridCol w:w="5124"/>
      </w:tblGrid>
      <w:tr w:rsidR="00350F25" w:rsidRPr="00CC451D" w14:paraId="7828F422" w14:textId="77777777" w:rsidTr="00350F25">
        <w:trPr>
          <w:cnfStyle w:val="100000000000" w:firstRow="1" w:lastRow="0" w:firstColumn="0" w:lastColumn="0" w:oddVBand="0" w:evenVBand="0" w:oddHBand="0" w:evenHBand="0" w:firstRowFirstColumn="0" w:firstRowLastColumn="0" w:lastRowFirstColumn="0" w:lastRowLastColumn="0"/>
          <w:trHeight w:val="24"/>
        </w:trPr>
        <w:tc>
          <w:tcPr>
            <w:tcW w:w="1297" w:type="pct"/>
            <w:tcBorders>
              <w:bottom w:val="single" w:sz="4" w:space="0" w:color="0070C0"/>
            </w:tcBorders>
            <w:noWrap/>
            <w:vAlign w:val="bottom"/>
          </w:tcPr>
          <w:p w14:paraId="37EDC73F" w14:textId="77777777" w:rsidR="00350F25" w:rsidRPr="004739E4" w:rsidRDefault="00350F25" w:rsidP="00350F25">
            <w:pPr>
              <w:pStyle w:val="TableColumnHeading"/>
            </w:pPr>
            <w:r>
              <w:t>Category</w:t>
            </w:r>
          </w:p>
        </w:tc>
        <w:tc>
          <w:tcPr>
            <w:tcW w:w="963" w:type="pct"/>
            <w:tcBorders>
              <w:bottom w:val="single" w:sz="4" w:space="0" w:color="0070C0"/>
            </w:tcBorders>
            <w:vAlign w:val="bottom"/>
          </w:tcPr>
          <w:p w14:paraId="3801873A" w14:textId="77777777" w:rsidR="00350F25" w:rsidRPr="004739E4" w:rsidRDefault="00350F25" w:rsidP="00350F25">
            <w:pPr>
              <w:pStyle w:val="TableColumnHeading"/>
            </w:pPr>
            <w:r>
              <w:t>Selection</w:t>
            </w:r>
          </w:p>
        </w:tc>
        <w:tc>
          <w:tcPr>
            <w:tcW w:w="2740" w:type="pct"/>
            <w:tcBorders>
              <w:bottom w:val="single" w:sz="4" w:space="0" w:color="0070C0"/>
            </w:tcBorders>
            <w:vAlign w:val="bottom"/>
          </w:tcPr>
          <w:p w14:paraId="2DAD9B3B" w14:textId="77777777" w:rsidR="00350F25" w:rsidRPr="004739E4" w:rsidRDefault="00350F25" w:rsidP="00350F25">
            <w:pPr>
              <w:pStyle w:val="TableColumnHeading"/>
            </w:pPr>
            <w:r>
              <w:t>Notes</w:t>
            </w:r>
          </w:p>
        </w:tc>
      </w:tr>
      <w:tr w:rsidR="00350F25" w:rsidRPr="00CC451D" w14:paraId="3CE46F8C"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562AA40D" w14:textId="77777777" w:rsidR="00350F25" w:rsidRPr="004739E4" w:rsidRDefault="00350F25" w:rsidP="00350F25">
            <w:pPr>
              <w:pStyle w:val="TableCellText"/>
              <w:keepNext/>
            </w:pPr>
            <w:r w:rsidRPr="00F6465A">
              <w:rPr>
                <w:b/>
              </w:rPr>
              <w:t>Analysis</w:t>
            </w:r>
          </w:p>
        </w:tc>
      </w:tr>
      <w:tr w:rsidR="00350F25" w:rsidRPr="00CC451D" w14:paraId="4149560F" w14:textId="77777777" w:rsidTr="00350F25">
        <w:trPr>
          <w:trHeight w:val="24"/>
        </w:trPr>
        <w:tc>
          <w:tcPr>
            <w:tcW w:w="1297" w:type="pct"/>
            <w:tcBorders>
              <w:top w:val="single" w:sz="4" w:space="0" w:color="0070C0"/>
              <w:left w:val="single" w:sz="4" w:space="0" w:color="0070C0"/>
              <w:bottom w:val="single" w:sz="4" w:space="0" w:color="0070C0"/>
              <w:right w:val="single" w:sz="4" w:space="0" w:color="0070C0"/>
            </w:tcBorders>
            <w:noWrap/>
          </w:tcPr>
          <w:p w14:paraId="22982C1F" w14:textId="77777777" w:rsidR="00350F25" w:rsidRPr="004739E4" w:rsidRDefault="00350F25" w:rsidP="00350F25">
            <w:pPr>
              <w:pStyle w:val="TableCellText"/>
              <w:keepNext/>
            </w:pPr>
            <w:r>
              <w:t>Analysis</w:t>
            </w:r>
          </w:p>
        </w:tc>
        <w:tc>
          <w:tcPr>
            <w:tcW w:w="963" w:type="pct"/>
            <w:tcBorders>
              <w:top w:val="single" w:sz="4" w:space="0" w:color="0070C0"/>
              <w:left w:val="single" w:sz="4" w:space="0" w:color="0070C0"/>
              <w:bottom w:val="single" w:sz="4" w:space="0" w:color="0070C0"/>
              <w:right w:val="single" w:sz="4" w:space="0" w:color="0070C0"/>
            </w:tcBorders>
          </w:tcPr>
          <w:p w14:paraId="42E16812" w14:textId="77777777" w:rsidR="00350F25" w:rsidRPr="004739E4" w:rsidRDefault="00350F25" w:rsidP="00350F25">
            <w:pPr>
              <w:pStyle w:val="TableCellText"/>
              <w:keepNext/>
            </w:pPr>
            <w:r>
              <w:t>Funding Impact Analysis</w:t>
            </w:r>
          </w:p>
        </w:tc>
        <w:tc>
          <w:tcPr>
            <w:tcW w:w="2740" w:type="pct"/>
            <w:tcBorders>
              <w:top w:val="single" w:sz="4" w:space="0" w:color="0070C0"/>
              <w:left w:val="single" w:sz="4" w:space="0" w:color="0070C0"/>
              <w:bottom w:val="single" w:sz="4" w:space="0" w:color="0070C0"/>
              <w:right w:val="single" w:sz="4" w:space="0" w:color="0070C0"/>
            </w:tcBorders>
          </w:tcPr>
          <w:p w14:paraId="5C6246F7" w14:textId="77777777" w:rsidR="00350F25" w:rsidRPr="004739E4" w:rsidRDefault="00350F25" w:rsidP="00350F25">
            <w:pPr>
              <w:pStyle w:val="TableCellText"/>
              <w:keepNext/>
            </w:pPr>
            <w:r>
              <w:t>This analysis allows the user t</w:t>
            </w:r>
            <w:r w:rsidRPr="00140664">
              <w:t xml:space="preserve">o </w:t>
            </w:r>
            <w:r>
              <w:t>estimate the number of trucks and emissions impacts of implementing various strategies with a known amount of funding.</w:t>
            </w:r>
          </w:p>
        </w:tc>
      </w:tr>
      <w:tr w:rsidR="00350F25" w:rsidRPr="00CC451D" w14:paraId="3F9B9533"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35775F9B" w14:textId="77777777" w:rsidR="00350F25" w:rsidRPr="004739E4" w:rsidRDefault="00350F25" w:rsidP="00350F25">
            <w:pPr>
              <w:pStyle w:val="TableCellText"/>
              <w:keepNext/>
            </w:pPr>
            <w:r w:rsidRPr="00447743">
              <w:rPr>
                <w:b/>
              </w:rPr>
              <w:t>Scope</w:t>
            </w:r>
          </w:p>
        </w:tc>
      </w:tr>
      <w:tr w:rsidR="00350F25" w:rsidRPr="00CC451D" w14:paraId="03951F48" w14:textId="77777777" w:rsidTr="00350F25">
        <w:trPr>
          <w:trHeight w:val="24"/>
        </w:trPr>
        <w:tc>
          <w:tcPr>
            <w:tcW w:w="1297" w:type="pct"/>
            <w:tcBorders>
              <w:top w:val="single" w:sz="4" w:space="0" w:color="0070C0"/>
              <w:left w:val="single" w:sz="4" w:space="0" w:color="0070C0"/>
              <w:bottom w:val="single" w:sz="4" w:space="0" w:color="0070C0"/>
              <w:right w:val="single" w:sz="4" w:space="0" w:color="0070C0"/>
            </w:tcBorders>
            <w:noWrap/>
          </w:tcPr>
          <w:p w14:paraId="4EB7A1D7" w14:textId="77777777" w:rsidR="00350F25" w:rsidRDefault="00350F25" w:rsidP="00350F25">
            <w:pPr>
              <w:pStyle w:val="TableCellText"/>
            </w:pPr>
            <w:r>
              <w:t>Year of Modification</w:t>
            </w:r>
          </w:p>
        </w:tc>
        <w:tc>
          <w:tcPr>
            <w:tcW w:w="963" w:type="pct"/>
            <w:tcBorders>
              <w:top w:val="single" w:sz="4" w:space="0" w:color="0070C0"/>
              <w:left w:val="single" w:sz="4" w:space="0" w:color="0070C0"/>
              <w:bottom w:val="single" w:sz="4" w:space="0" w:color="0070C0"/>
              <w:right w:val="single" w:sz="4" w:space="0" w:color="0070C0"/>
            </w:tcBorders>
          </w:tcPr>
          <w:p w14:paraId="75C8868D" w14:textId="77777777" w:rsidR="00350F25" w:rsidRDefault="00350F25" w:rsidP="00350F25">
            <w:pPr>
              <w:pStyle w:val="TableCellText"/>
            </w:pPr>
            <w:r>
              <w:t>2020</w:t>
            </w:r>
          </w:p>
        </w:tc>
        <w:tc>
          <w:tcPr>
            <w:tcW w:w="2740" w:type="pct"/>
            <w:tcBorders>
              <w:top w:val="single" w:sz="4" w:space="0" w:color="0070C0"/>
              <w:left w:val="single" w:sz="4" w:space="0" w:color="0070C0"/>
              <w:bottom w:val="single" w:sz="4" w:space="0" w:color="0070C0"/>
              <w:right w:val="single" w:sz="4" w:space="0" w:color="0070C0"/>
            </w:tcBorders>
          </w:tcPr>
          <w:p w14:paraId="28DEBA12" w14:textId="77777777" w:rsidR="00350F25" w:rsidRPr="004739E4" w:rsidRDefault="00350F25" w:rsidP="00350F25">
            <w:pPr>
              <w:pStyle w:val="TableCellText"/>
            </w:pPr>
            <w:r>
              <w:t>The modification</w:t>
            </w:r>
            <w:r w:rsidRPr="00140664">
              <w:t xml:space="preserve"> year is when the modifications take place</w:t>
            </w:r>
            <w:r>
              <w:t>. In this scenario, the user should select the year closest to when the program is being fully implemented. Note that the later the modification year, the lower the reduction benefits will be because the Tool assumes that the average truck will be cleaner in the future.</w:t>
            </w:r>
          </w:p>
        </w:tc>
      </w:tr>
      <w:tr w:rsidR="00350F25" w:rsidRPr="00CC451D" w14:paraId="70753B51" w14:textId="77777777" w:rsidTr="00350F25">
        <w:trPr>
          <w:trHeight w:val="24"/>
        </w:trPr>
        <w:tc>
          <w:tcPr>
            <w:tcW w:w="1297" w:type="pct"/>
            <w:tcBorders>
              <w:top w:val="single" w:sz="4" w:space="0" w:color="0070C0"/>
              <w:left w:val="single" w:sz="4" w:space="0" w:color="0070C0"/>
              <w:bottom w:val="single" w:sz="4" w:space="0" w:color="0070C0"/>
              <w:right w:val="single" w:sz="4" w:space="0" w:color="0070C0"/>
            </w:tcBorders>
            <w:noWrap/>
          </w:tcPr>
          <w:p w14:paraId="0ADDBF5D" w14:textId="77777777" w:rsidR="00350F25" w:rsidRDefault="00350F25" w:rsidP="00350F25">
            <w:pPr>
              <w:pStyle w:val="TableCellText"/>
            </w:pPr>
            <w:r>
              <w:t>Area of Interest</w:t>
            </w:r>
          </w:p>
        </w:tc>
        <w:tc>
          <w:tcPr>
            <w:tcW w:w="963" w:type="pct"/>
            <w:tcBorders>
              <w:top w:val="single" w:sz="4" w:space="0" w:color="0070C0"/>
              <w:left w:val="single" w:sz="4" w:space="0" w:color="0070C0"/>
              <w:bottom w:val="single" w:sz="4" w:space="0" w:color="0070C0"/>
              <w:right w:val="single" w:sz="4" w:space="0" w:color="0070C0"/>
            </w:tcBorders>
          </w:tcPr>
          <w:p w14:paraId="7802FAB8" w14:textId="77777777" w:rsidR="00350F25" w:rsidRDefault="00350F25" w:rsidP="00350F25">
            <w:pPr>
              <w:pStyle w:val="TableCellText"/>
            </w:pPr>
            <w:r>
              <w:t>State</w:t>
            </w:r>
          </w:p>
        </w:tc>
        <w:tc>
          <w:tcPr>
            <w:tcW w:w="2740" w:type="pct"/>
            <w:tcBorders>
              <w:top w:val="single" w:sz="4" w:space="0" w:color="0070C0"/>
              <w:left w:val="single" w:sz="4" w:space="0" w:color="0070C0"/>
              <w:bottom w:val="single" w:sz="4" w:space="0" w:color="0070C0"/>
              <w:right w:val="single" w:sz="4" w:space="0" w:color="0070C0"/>
            </w:tcBorders>
          </w:tcPr>
          <w:p w14:paraId="25595DEE" w14:textId="77777777" w:rsidR="00350F25" w:rsidRPr="004739E4" w:rsidRDefault="00350F25" w:rsidP="00350F25">
            <w:pPr>
              <w:pStyle w:val="TableCellText"/>
            </w:pPr>
            <w:r w:rsidRPr="00CE6761">
              <w:t xml:space="preserve">Geographic scale determines the emission factors used in the calculations. The larger the geographic scale </w:t>
            </w:r>
            <w:r>
              <w:t>assume</w:t>
            </w:r>
            <w:r w:rsidRPr="00CE6761">
              <w:t xml:space="preserve"> more freeways </w:t>
            </w:r>
            <w:r>
              <w:t xml:space="preserve">are </w:t>
            </w:r>
            <w:r w:rsidRPr="00CE6761">
              <w:t>used, while the smaller geographic scales have more local roads</w:t>
            </w:r>
            <w:r>
              <w:t xml:space="preserve">. </w:t>
            </w:r>
          </w:p>
        </w:tc>
      </w:tr>
      <w:tr w:rsidR="00350F25" w:rsidRPr="00CC451D" w14:paraId="501550C8" w14:textId="77777777" w:rsidTr="00350F25">
        <w:trPr>
          <w:trHeight w:val="24"/>
        </w:trPr>
        <w:tc>
          <w:tcPr>
            <w:tcW w:w="1297" w:type="pct"/>
            <w:tcBorders>
              <w:top w:val="single" w:sz="4" w:space="0" w:color="0070C0"/>
              <w:left w:val="single" w:sz="4" w:space="0" w:color="0070C0"/>
              <w:bottom w:val="single" w:sz="4" w:space="0" w:color="0070C0"/>
              <w:right w:val="single" w:sz="4" w:space="0" w:color="0070C0"/>
            </w:tcBorders>
            <w:noWrap/>
          </w:tcPr>
          <w:p w14:paraId="5C7173AE" w14:textId="77777777" w:rsidR="00350F25" w:rsidRDefault="00350F25" w:rsidP="00350F25">
            <w:pPr>
              <w:pStyle w:val="TableCellText"/>
            </w:pPr>
            <w:r>
              <w:t>Type of Truck</w:t>
            </w:r>
          </w:p>
        </w:tc>
        <w:tc>
          <w:tcPr>
            <w:tcW w:w="963" w:type="pct"/>
            <w:tcBorders>
              <w:top w:val="single" w:sz="4" w:space="0" w:color="0070C0"/>
              <w:left w:val="single" w:sz="4" w:space="0" w:color="0070C0"/>
              <w:bottom w:val="single" w:sz="4" w:space="0" w:color="0070C0"/>
              <w:right w:val="single" w:sz="4" w:space="0" w:color="0070C0"/>
            </w:tcBorders>
          </w:tcPr>
          <w:p w14:paraId="076FD1BA" w14:textId="77777777" w:rsidR="00350F25" w:rsidRDefault="00350F25" w:rsidP="00350F25">
            <w:pPr>
              <w:pStyle w:val="TableCellText"/>
            </w:pPr>
            <w:r>
              <w:t>Single Unit Short Haul, Gas/Diesel</w:t>
            </w:r>
          </w:p>
        </w:tc>
        <w:tc>
          <w:tcPr>
            <w:tcW w:w="2740" w:type="pct"/>
            <w:tcBorders>
              <w:top w:val="single" w:sz="4" w:space="0" w:color="0070C0"/>
              <w:left w:val="single" w:sz="4" w:space="0" w:color="0070C0"/>
              <w:bottom w:val="single" w:sz="4" w:space="0" w:color="0070C0"/>
              <w:right w:val="single" w:sz="4" w:space="0" w:color="0070C0"/>
            </w:tcBorders>
          </w:tcPr>
          <w:p w14:paraId="67CD752E" w14:textId="77777777" w:rsidR="00350F25" w:rsidRPr="004739E4" w:rsidRDefault="00350F25" w:rsidP="00350F25">
            <w:pPr>
              <w:pStyle w:val="TableCellText"/>
            </w:pPr>
            <w:r>
              <w:t>Single</w:t>
            </w:r>
            <w:r w:rsidRPr="00140664">
              <w:t xml:space="preserve"> </w:t>
            </w:r>
            <w:r>
              <w:t>unit short haul trucks most closely represent local delivery trucks targeted in this scenario</w:t>
            </w:r>
            <w:r w:rsidRPr="00140664">
              <w:t>.</w:t>
            </w:r>
            <w:r>
              <w:t xml:space="preserve"> In the Funding Impact Analysis, only one truck type can be selected at a time. This analysis must be run again by selecting Diesel here.</w:t>
            </w:r>
          </w:p>
        </w:tc>
      </w:tr>
      <w:tr w:rsidR="00350F25" w:rsidRPr="00CC451D" w14:paraId="72E06AAD" w14:textId="77777777" w:rsidTr="00350F25">
        <w:trPr>
          <w:trHeight w:val="24"/>
        </w:trPr>
        <w:tc>
          <w:tcPr>
            <w:tcW w:w="1297" w:type="pct"/>
            <w:tcBorders>
              <w:top w:val="single" w:sz="4" w:space="0" w:color="0070C0"/>
              <w:left w:val="single" w:sz="4" w:space="0" w:color="0070C0"/>
              <w:bottom w:val="single" w:sz="4" w:space="0" w:color="0070C0"/>
              <w:right w:val="single" w:sz="4" w:space="0" w:color="0070C0"/>
            </w:tcBorders>
            <w:noWrap/>
          </w:tcPr>
          <w:p w14:paraId="5CC8F826" w14:textId="77777777" w:rsidR="00350F25" w:rsidRDefault="00350F25" w:rsidP="00350F25">
            <w:pPr>
              <w:pStyle w:val="TableCellText"/>
            </w:pPr>
            <w:r>
              <w:t>Funding Amount</w:t>
            </w:r>
          </w:p>
        </w:tc>
        <w:tc>
          <w:tcPr>
            <w:tcW w:w="963" w:type="pct"/>
            <w:tcBorders>
              <w:top w:val="single" w:sz="4" w:space="0" w:color="0070C0"/>
              <w:left w:val="single" w:sz="4" w:space="0" w:color="0070C0"/>
              <w:bottom w:val="single" w:sz="4" w:space="0" w:color="0070C0"/>
              <w:right w:val="single" w:sz="4" w:space="0" w:color="0070C0"/>
            </w:tcBorders>
          </w:tcPr>
          <w:p w14:paraId="24E4AE6F" w14:textId="77777777" w:rsidR="00350F25" w:rsidRDefault="00350F25" w:rsidP="00350F25">
            <w:pPr>
              <w:pStyle w:val="TableCellText"/>
            </w:pPr>
            <w:r>
              <w:t>$2,000,000</w:t>
            </w:r>
          </w:p>
        </w:tc>
        <w:tc>
          <w:tcPr>
            <w:tcW w:w="2740" w:type="pct"/>
            <w:tcBorders>
              <w:top w:val="single" w:sz="4" w:space="0" w:color="0070C0"/>
              <w:left w:val="single" w:sz="4" w:space="0" w:color="0070C0"/>
              <w:bottom w:val="single" w:sz="4" w:space="0" w:color="0070C0"/>
              <w:right w:val="single" w:sz="4" w:space="0" w:color="0070C0"/>
            </w:tcBorders>
          </w:tcPr>
          <w:p w14:paraId="7404AFFD" w14:textId="77777777" w:rsidR="00350F25" w:rsidRPr="004739E4" w:rsidRDefault="00350F25" w:rsidP="00350F25">
            <w:pPr>
              <w:pStyle w:val="TableCellText"/>
            </w:pPr>
          </w:p>
        </w:tc>
      </w:tr>
      <w:tr w:rsidR="00350F25" w:rsidRPr="00CC451D" w14:paraId="3671507D"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26697319" w14:textId="77777777" w:rsidR="00350F25" w:rsidRPr="004739E4" w:rsidRDefault="00350F25" w:rsidP="0010295D">
            <w:pPr>
              <w:pStyle w:val="TableCellText"/>
              <w:keepNext/>
            </w:pPr>
            <w:r w:rsidRPr="00447743">
              <w:rPr>
                <w:b/>
              </w:rPr>
              <w:lastRenderedPageBreak/>
              <w:t>Vehicle Data</w:t>
            </w:r>
          </w:p>
        </w:tc>
      </w:tr>
      <w:tr w:rsidR="00350F25" w:rsidRPr="00CC451D" w14:paraId="6E8E445B" w14:textId="77777777" w:rsidTr="00350F25">
        <w:trPr>
          <w:trHeight w:val="24"/>
        </w:trPr>
        <w:tc>
          <w:tcPr>
            <w:tcW w:w="1297" w:type="pct"/>
            <w:tcBorders>
              <w:top w:val="single" w:sz="4" w:space="0" w:color="0070C0"/>
              <w:left w:val="single" w:sz="4" w:space="0" w:color="0070C0"/>
              <w:bottom w:val="single" w:sz="4" w:space="0" w:color="0070C0"/>
              <w:right w:val="single" w:sz="4" w:space="0" w:color="0070C0"/>
            </w:tcBorders>
            <w:noWrap/>
          </w:tcPr>
          <w:p w14:paraId="34298D0C" w14:textId="77777777" w:rsidR="00350F25" w:rsidRDefault="00350F25" w:rsidP="0010295D">
            <w:pPr>
              <w:pStyle w:val="TableCellText"/>
              <w:keepNext/>
            </w:pPr>
            <w:r>
              <w:t>Average Annual Mileage Accumulation</w:t>
            </w:r>
          </w:p>
        </w:tc>
        <w:tc>
          <w:tcPr>
            <w:tcW w:w="963" w:type="pct"/>
            <w:tcBorders>
              <w:top w:val="single" w:sz="4" w:space="0" w:color="0070C0"/>
              <w:left w:val="single" w:sz="4" w:space="0" w:color="0070C0"/>
              <w:bottom w:val="single" w:sz="4" w:space="0" w:color="0070C0"/>
              <w:right w:val="single" w:sz="4" w:space="0" w:color="0070C0"/>
            </w:tcBorders>
          </w:tcPr>
          <w:p w14:paraId="3914E3B2" w14:textId="77777777" w:rsidR="00350F25" w:rsidRDefault="00350F25" w:rsidP="0010295D">
            <w:pPr>
              <w:pStyle w:val="TableCellText"/>
              <w:keepNext/>
            </w:pPr>
            <w:r>
              <w:t>Leave default values (14,585)</w:t>
            </w:r>
          </w:p>
        </w:tc>
        <w:tc>
          <w:tcPr>
            <w:tcW w:w="2740" w:type="pct"/>
            <w:tcBorders>
              <w:top w:val="single" w:sz="4" w:space="0" w:color="0070C0"/>
              <w:left w:val="single" w:sz="4" w:space="0" w:color="0070C0"/>
              <w:bottom w:val="single" w:sz="4" w:space="0" w:color="0070C0"/>
              <w:right w:val="single" w:sz="4" w:space="0" w:color="0070C0"/>
            </w:tcBorders>
          </w:tcPr>
          <w:p w14:paraId="716FF170" w14:textId="77777777" w:rsidR="00350F25" w:rsidRPr="004739E4" w:rsidRDefault="00350F25" w:rsidP="0010295D">
            <w:pPr>
              <w:pStyle w:val="TableCellText"/>
              <w:keepNext/>
            </w:pPr>
            <w:r>
              <w:t>The</w:t>
            </w:r>
            <w:r w:rsidRPr="0050596A">
              <w:t xml:space="preserve"> default </w:t>
            </w:r>
            <w:r>
              <w:t>values come</w:t>
            </w:r>
            <w:r w:rsidRPr="0050596A">
              <w:t xml:space="preserve"> from </w:t>
            </w:r>
            <w:r>
              <w:t xml:space="preserve">the </w:t>
            </w:r>
            <w:r w:rsidRPr="0050596A">
              <w:t>MOVES</w:t>
            </w:r>
            <w:r>
              <w:t xml:space="preserve"> model</w:t>
            </w:r>
            <w:r w:rsidRPr="0050596A">
              <w:t xml:space="preserve">. </w:t>
            </w:r>
            <w:r>
              <w:t>M</w:t>
            </w:r>
            <w:r w:rsidRPr="0050596A">
              <w:t xml:space="preserve">ore annual miles </w:t>
            </w:r>
            <w:r>
              <w:t>will result in</w:t>
            </w:r>
            <w:r w:rsidRPr="0050596A">
              <w:t xml:space="preserve"> more emissions benefits</w:t>
            </w:r>
            <w:r>
              <w:t>.</w:t>
            </w:r>
          </w:p>
        </w:tc>
      </w:tr>
      <w:tr w:rsidR="00350F25" w:rsidRPr="00CC451D" w14:paraId="18250797" w14:textId="77777777" w:rsidTr="00350F25">
        <w:trPr>
          <w:trHeight w:val="24"/>
        </w:trPr>
        <w:tc>
          <w:tcPr>
            <w:tcW w:w="1297" w:type="pct"/>
            <w:tcBorders>
              <w:top w:val="single" w:sz="4" w:space="0" w:color="0070C0"/>
              <w:left w:val="single" w:sz="4" w:space="0" w:color="0070C0"/>
              <w:bottom w:val="single" w:sz="4" w:space="0" w:color="0070C0"/>
              <w:right w:val="single" w:sz="4" w:space="0" w:color="0070C0"/>
            </w:tcBorders>
            <w:noWrap/>
          </w:tcPr>
          <w:p w14:paraId="62E13BD6" w14:textId="77777777" w:rsidR="00350F25" w:rsidRDefault="00350F25" w:rsidP="00350F25">
            <w:pPr>
              <w:pStyle w:val="TableCellText"/>
            </w:pPr>
            <w:r>
              <w:t>Range of Model Years to Modify/Scrap (inclusive)</w:t>
            </w:r>
          </w:p>
        </w:tc>
        <w:tc>
          <w:tcPr>
            <w:tcW w:w="963" w:type="pct"/>
            <w:tcBorders>
              <w:top w:val="single" w:sz="4" w:space="0" w:color="0070C0"/>
              <w:left w:val="single" w:sz="4" w:space="0" w:color="0070C0"/>
              <w:bottom w:val="single" w:sz="4" w:space="0" w:color="0070C0"/>
              <w:right w:val="single" w:sz="4" w:space="0" w:color="0070C0"/>
            </w:tcBorders>
          </w:tcPr>
          <w:p w14:paraId="75C1666B" w14:textId="77777777" w:rsidR="00350F25" w:rsidRDefault="00350F25" w:rsidP="00350F25">
            <w:pPr>
              <w:pStyle w:val="TableCellText"/>
            </w:pPr>
            <w:r>
              <w:t>Leave default values (1990-2009)</w:t>
            </w:r>
          </w:p>
        </w:tc>
        <w:tc>
          <w:tcPr>
            <w:tcW w:w="2740" w:type="pct"/>
            <w:tcBorders>
              <w:top w:val="single" w:sz="4" w:space="0" w:color="0070C0"/>
              <w:left w:val="single" w:sz="4" w:space="0" w:color="0070C0"/>
              <w:bottom w:val="single" w:sz="4" w:space="0" w:color="0070C0"/>
              <w:right w:val="single" w:sz="4" w:space="0" w:color="0070C0"/>
            </w:tcBorders>
          </w:tcPr>
          <w:p w14:paraId="1783035F" w14:textId="77777777" w:rsidR="00350F25" w:rsidRPr="004739E4" w:rsidRDefault="00350F25" w:rsidP="00350F25">
            <w:pPr>
              <w:pStyle w:val="TableCellText"/>
            </w:pPr>
            <w:r>
              <w:t>A user would adjust the values to represent the ages of trucks the agency wants to target.</w:t>
            </w:r>
          </w:p>
        </w:tc>
      </w:tr>
      <w:tr w:rsidR="00350F25" w:rsidRPr="00CC451D" w14:paraId="07858934" w14:textId="77777777" w:rsidTr="00350F25">
        <w:trPr>
          <w:trHeight w:val="24"/>
        </w:trPr>
        <w:tc>
          <w:tcPr>
            <w:tcW w:w="1297" w:type="pct"/>
            <w:tcBorders>
              <w:top w:val="single" w:sz="4" w:space="0" w:color="0070C0"/>
              <w:left w:val="single" w:sz="4" w:space="0" w:color="0070C0"/>
              <w:bottom w:val="single" w:sz="4" w:space="0" w:color="0070C0"/>
              <w:right w:val="single" w:sz="4" w:space="0" w:color="0070C0"/>
            </w:tcBorders>
            <w:noWrap/>
          </w:tcPr>
          <w:p w14:paraId="5FA0E88C" w14:textId="41D55FE6" w:rsidR="00350F25" w:rsidRDefault="006771E4" w:rsidP="00350F25">
            <w:pPr>
              <w:pStyle w:val="TableCellText"/>
            </w:pPr>
            <w:r>
              <w:t>Long haul</w:t>
            </w:r>
            <w:r w:rsidR="00350F25">
              <w:t xml:space="preserve"> Annual Idle Hours</w:t>
            </w:r>
          </w:p>
        </w:tc>
        <w:tc>
          <w:tcPr>
            <w:tcW w:w="963" w:type="pct"/>
            <w:tcBorders>
              <w:top w:val="single" w:sz="4" w:space="0" w:color="0070C0"/>
              <w:left w:val="single" w:sz="4" w:space="0" w:color="0070C0"/>
              <w:bottom w:val="single" w:sz="4" w:space="0" w:color="0070C0"/>
              <w:right w:val="single" w:sz="4" w:space="0" w:color="0070C0"/>
            </w:tcBorders>
          </w:tcPr>
          <w:p w14:paraId="3B0621A5" w14:textId="77777777" w:rsidR="00350F25" w:rsidRDefault="00350F25" w:rsidP="00350F25">
            <w:pPr>
              <w:pStyle w:val="TableCellText"/>
            </w:pPr>
            <w:r>
              <w:t>n/a</w:t>
            </w:r>
          </w:p>
        </w:tc>
        <w:tc>
          <w:tcPr>
            <w:tcW w:w="2740" w:type="pct"/>
            <w:tcBorders>
              <w:top w:val="single" w:sz="4" w:space="0" w:color="0070C0"/>
              <w:left w:val="single" w:sz="4" w:space="0" w:color="0070C0"/>
              <w:bottom w:val="single" w:sz="4" w:space="0" w:color="0070C0"/>
              <w:right w:val="single" w:sz="4" w:space="0" w:color="0070C0"/>
            </w:tcBorders>
          </w:tcPr>
          <w:p w14:paraId="75458829" w14:textId="31CCC137" w:rsidR="00350F25" w:rsidRPr="004739E4" w:rsidRDefault="00350F25" w:rsidP="00350F25">
            <w:pPr>
              <w:pStyle w:val="TableCellText"/>
            </w:pPr>
            <w:r>
              <w:t xml:space="preserve">Only applicable for strategies involving combo unit </w:t>
            </w:r>
            <w:r w:rsidR="006771E4">
              <w:t>long haul</w:t>
            </w:r>
            <w:r>
              <w:t xml:space="preserve"> trucks.</w:t>
            </w:r>
          </w:p>
        </w:tc>
      </w:tr>
      <w:tr w:rsidR="00350F25" w:rsidRPr="00CC451D" w14:paraId="3338280F"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28ED508E" w14:textId="77777777" w:rsidR="00350F25" w:rsidRPr="004739E4" w:rsidRDefault="00350F25" w:rsidP="00350F25">
            <w:pPr>
              <w:pStyle w:val="TableCellText"/>
            </w:pPr>
            <w:r w:rsidRPr="00447743">
              <w:rPr>
                <w:b/>
              </w:rPr>
              <w:t>Fuel Costs</w:t>
            </w:r>
          </w:p>
        </w:tc>
      </w:tr>
      <w:tr w:rsidR="00350F25" w:rsidRPr="00CC451D" w14:paraId="6CAE5A8F" w14:textId="77777777" w:rsidTr="00350F25">
        <w:trPr>
          <w:trHeight w:val="24"/>
        </w:trPr>
        <w:tc>
          <w:tcPr>
            <w:tcW w:w="1297" w:type="pct"/>
            <w:tcBorders>
              <w:top w:val="single" w:sz="4" w:space="0" w:color="0070C0"/>
              <w:left w:val="single" w:sz="4" w:space="0" w:color="0070C0"/>
              <w:bottom w:val="single" w:sz="4" w:space="0" w:color="0070C0"/>
              <w:right w:val="single" w:sz="4" w:space="0" w:color="0070C0"/>
            </w:tcBorders>
            <w:noWrap/>
          </w:tcPr>
          <w:p w14:paraId="0C65A470" w14:textId="77777777" w:rsidR="00350F25" w:rsidRDefault="00350F25" w:rsidP="00350F25">
            <w:pPr>
              <w:pStyle w:val="TableCellText"/>
            </w:pPr>
            <w:r>
              <w:t>Cost per Unit</w:t>
            </w:r>
          </w:p>
        </w:tc>
        <w:tc>
          <w:tcPr>
            <w:tcW w:w="963" w:type="pct"/>
            <w:tcBorders>
              <w:top w:val="single" w:sz="4" w:space="0" w:color="0070C0"/>
              <w:left w:val="single" w:sz="4" w:space="0" w:color="0070C0"/>
              <w:bottom w:val="single" w:sz="4" w:space="0" w:color="0070C0"/>
              <w:right w:val="single" w:sz="4" w:space="0" w:color="0070C0"/>
            </w:tcBorders>
          </w:tcPr>
          <w:p w14:paraId="32622020" w14:textId="77777777" w:rsidR="00350F25" w:rsidRDefault="00350F25" w:rsidP="00350F25">
            <w:pPr>
              <w:pStyle w:val="TableCellText"/>
            </w:pPr>
            <w:r>
              <w:t>Leave default values</w:t>
            </w:r>
          </w:p>
        </w:tc>
        <w:tc>
          <w:tcPr>
            <w:tcW w:w="2740" w:type="pct"/>
            <w:tcBorders>
              <w:top w:val="single" w:sz="4" w:space="0" w:color="0070C0"/>
              <w:left w:val="single" w:sz="4" w:space="0" w:color="0070C0"/>
              <w:bottom w:val="single" w:sz="4" w:space="0" w:color="0070C0"/>
              <w:right w:val="single" w:sz="4" w:space="0" w:color="0070C0"/>
            </w:tcBorders>
          </w:tcPr>
          <w:p w14:paraId="79773161" w14:textId="77777777" w:rsidR="00350F25" w:rsidRPr="004739E4" w:rsidRDefault="00350F25" w:rsidP="00350F25">
            <w:pPr>
              <w:pStyle w:val="TableCellText"/>
            </w:pPr>
            <w:r>
              <w:t xml:space="preserve">Default values are national averages; more up-to-date and regional fuel prices can be found at the Alternative Fuels Data Center’s </w:t>
            </w:r>
            <w:hyperlink r:id="rId86" w:history="1">
              <w:r w:rsidRPr="009E5B70">
                <w:rPr>
                  <w:rStyle w:val="Hyperlink"/>
                </w:rPr>
                <w:t>Fuel Prices webpage</w:t>
              </w:r>
            </w:hyperlink>
            <w:r>
              <w:t>.</w:t>
            </w:r>
          </w:p>
        </w:tc>
      </w:tr>
      <w:tr w:rsidR="00350F25" w:rsidRPr="00CC451D" w14:paraId="7F808769" w14:textId="77777777" w:rsidTr="00350F25">
        <w:trPr>
          <w:trHeight w:val="24"/>
        </w:trPr>
        <w:tc>
          <w:tcPr>
            <w:tcW w:w="1297" w:type="pct"/>
            <w:tcBorders>
              <w:top w:val="single" w:sz="4" w:space="0" w:color="0070C0"/>
              <w:left w:val="single" w:sz="4" w:space="0" w:color="0070C0"/>
              <w:bottom w:val="single" w:sz="4" w:space="0" w:color="0070C0"/>
              <w:right w:val="single" w:sz="4" w:space="0" w:color="0070C0"/>
            </w:tcBorders>
            <w:noWrap/>
          </w:tcPr>
          <w:p w14:paraId="77D517C2" w14:textId="77777777" w:rsidR="00350F25" w:rsidRDefault="00350F25" w:rsidP="00350F25">
            <w:pPr>
              <w:pStyle w:val="TableCellText"/>
            </w:pPr>
            <w:r>
              <w:t>Electricity Generation Region</w:t>
            </w:r>
          </w:p>
        </w:tc>
        <w:tc>
          <w:tcPr>
            <w:tcW w:w="963" w:type="pct"/>
            <w:tcBorders>
              <w:top w:val="single" w:sz="4" w:space="0" w:color="0070C0"/>
              <w:left w:val="single" w:sz="4" w:space="0" w:color="0070C0"/>
              <w:bottom w:val="single" w:sz="4" w:space="0" w:color="0070C0"/>
              <w:right w:val="single" w:sz="4" w:space="0" w:color="0070C0"/>
            </w:tcBorders>
          </w:tcPr>
          <w:p w14:paraId="44FD5866" w14:textId="77777777" w:rsidR="00350F25" w:rsidRDefault="00350F25" w:rsidP="00350F25">
            <w:pPr>
              <w:pStyle w:val="TableCellText"/>
            </w:pPr>
            <w:r>
              <w:t>SERC</w:t>
            </w:r>
          </w:p>
        </w:tc>
        <w:tc>
          <w:tcPr>
            <w:tcW w:w="2740" w:type="pct"/>
            <w:tcBorders>
              <w:top w:val="single" w:sz="4" w:space="0" w:color="0070C0"/>
              <w:left w:val="single" w:sz="4" w:space="0" w:color="0070C0"/>
              <w:bottom w:val="single" w:sz="4" w:space="0" w:color="0070C0"/>
              <w:right w:val="single" w:sz="4" w:space="0" w:color="0070C0"/>
            </w:tcBorders>
          </w:tcPr>
          <w:p w14:paraId="463522B0" w14:textId="77777777" w:rsidR="00350F25" w:rsidRPr="004739E4" w:rsidRDefault="00350F25" w:rsidP="00350F25">
            <w:pPr>
              <w:pStyle w:val="TableCellText"/>
            </w:pPr>
            <w:r>
              <w:t>This electricity region includes Tennessee. Note, however, that this selection only affects CO</w:t>
            </w:r>
            <w:r w:rsidRPr="00A25388">
              <w:rPr>
                <w:vertAlign w:val="subscript"/>
              </w:rPr>
              <w:t>2</w:t>
            </w:r>
            <w:r>
              <w:t xml:space="preserve"> emissions.</w:t>
            </w:r>
          </w:p>
        </w:tc>
      </w:tr>
      <w:tr w:rsidR="00350F25" w:rsidRPr="00CC451D" w14:paraId="20BDAAB6" w14:textId="77777777" w:rsidTr="00350F25">
        <w:trPr>
          <w:trHeight w:val="24"/>
        </w:trPr>
        <w:tc>
          <w:tcPr>
            <w:tcW w:w="1297" w:type="pct"/>
            <w:tcBorders>
              <w:top w:val="single" w:sz="4" w:space="0" w:color="0070C0"/>
              <w:left w:val="single" w:sz="4" w:space="0" w:color="0070C0"/>
              <w:bottom w:val="single" w:sz="4" w:space="0" w:color="0070C0"/>
              <w:right w:val="single" w:sz="4" w:space="0" w:color="0070C0"/>
            </w:tcBorders>
            <w:noWrap/>
          </w:tcPr>
          <w:p w14:paraId="00D7C04F" w14:textId="77777777" w:rsidR="00350F25" w:rsidRDefault="00350F25" w:rsidP="00350F25">
            <w:pPr>
              <w:pStyle w:val="TableCellText"/>
            </w:pPr>
            <w:r>
              <w:t>CO</w:t>
            </w:r>
            <w:r w:rsidRPr="00F6465A">
              <w:rPr>
                <w:vertAlign w:val="subscript"/>
              </w:rPr>
              <w:t>2</w:t>
            </w:r>
          </w:p>
        </w:tc>
        <w:tc>
          <w:tcPr>
            <w:tcW w:w="963" w:type="pct"/>
            <w:tcBorders>
              <w:top w:val="single" w:sz="4" w:space="0" w:color="0070C0"/>
              <w:left w:val="single" w:sz="4" w:space="0" w:color="0070C0"/>
              <w:bottom w:val="single" w:sz="4" w:space="0" w:color="0070C0"/>
              <w:right w:val="single" w:sz="4" w:space="0" w:color="0070C0"/>
            </w:tcBorders>
          </w:tcPr>
          <w:p w14:paraId="6FF93F3C" w14:textId="77777777" w:rsidR="00350F25" w:rsidRDefault="00350F25" w:rsidP="00350F25">
            <w:pPr>
              <w:pStyle w:val="TableCellText"/>
            </w:pPr>
            <w:r>
              <w:t>Leave default value (588 g/kWh)</w:t>
            </w:r>
          </w:p>
        </w:tc>
        <w:tc>
          <w:tcPr>
            <w:tcW w:w="2740" w:type="pct"/>
            <w:tcBorders>
              <w:top w:val="single" w:sz="4" w:space="0" w:color="0070C0"/>
              <w:left w:val="single" w:sz="4" w:space="0" w:color="0070C0"/>
              <w:bottom w:val="single" w:sz="4" w:space="0" w:color="0070C0"/>
              <w:right w:val="single" w:sz="4" w:space="0" w:color="0070C0"/>
            </w:tcBorders>
          </w:tcPr>
          <w:p w14:paraId="47FBC4E7" w14:textId="77777777" w:rsidR="00350F25" w:rsidRPr="004739E4" w:rsidRDefault="00350F25" w:rsidP="00350F25">
            <w:pPr>
              <w:pStyle w:val="TableCellText"/>
            </w:pPr>
            <w:r>
              <w:t>The default value will update depending on the Electricity Generation Region selected.</w:t>
            </w:r>
          </w:p>
        </w:tc>
      </w:tr>
      <w:tr w:rsidR="00350F25" w:rsidRPr="00CC451D" w14:paraId="7A72D7B9"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274AC4F6" w14:textId="77777777" w:rsidR="00350F25" w:rsidRPr="004739E4" w:rsidRDefault="00350F25" w:rsidP="00350F25">
            <w:pPr>
              <w:pStyle w:val="TableCellText"/>
            </w:pPr>
            <w:r w:rsidRPr="00447743">
              <w:rPr>
                <w:b/>
              </w:rPr>
              <w:t>Capital Costs</w:t>
            </w:r>
          </w:p>
        </w:tc>
      </w:tr>
      <w:tr w:rsidR="00350F25" w:rsidRPr="00CC451D" w14:paraId="6F1ABFCF" w14:textId="77777777" w:rsidTr="00350F25">
        <w:trPr>
          <w:trHeight w:val="24"/>
        </w:trPr>
        <w:tc>
          <w:tcPr>
            <w:tcW w:w="1297" w:type="pct"/>
            <w:tcBorders>
              <w:top w:val="single" w:sz="4" w:space="0" w:color="0070C0"/>
              <w:left w:val="single" w:sz="4" w:space="0" w:color="0070C0"/>
              <w:bottom w:val="single" w:sz="4" w:space="0" w:color="0070C0"/>
              <w:right w:val="single" w:sz="4" w:space="0" w:color="0070C0"/>
            </w:tcBorders>
            <w:noWrap/>
          </w:tcPr>
          <w:p w14:paraId="22CAC38D" w14:textId="77777777" w:rsidR="00350F25" w:rsidRDefault="00350F25" w:rsidP="00350F25">
            <w:pPr>
              <w:pStyle w:val="TableCellText"/>
            </w:pPr>
            <w:r>
              <w:t>Cost</w:t>
            </w:r>
          </w:p>
        </w:tc>
        <w:tc>
          <w:tcPr>
            <w:tcW w:w="963" w:type="pct"/>
            <w:tcBorders>
              <w:top w:val="single" w:sz="4" w:space="0" w:color="0070C0"/>
              <w:left w:val="single" w:sz="4" w:space="0" w:color="0070C0"/>
              <w:bottom w:val="single" w:sz="4" w:space="0" w:color="0070C0"/>
              <w:right w:val="single" w:sz="4" w:space="0" w:color="0070C0"/>
            </w:tcBorders>
          </w:tcPr>
          <w:p w14:paraId="57BCCF10" w14:textId="77777777" w:rsidR="00350F25" w:rsidRDefault="00350F25" w:rsidP="00350F25">
            <w:pPr>
              <w:pStyle w:val="TableCellText"/>
            </w:pPr>
            <w:r>
              <w:t>Leave default values</w:t>
            </w:r>
          </w:p>
        </w:tc>
        <w:tc>
          <w:tcPr>
            <w:tcW w:w="2740" w:type="pct"/>
            <w:tcBorders>
              <w:top w:val="single" w:sz="4" w:space="0" w:color="0070C0"/>
              <w:left w:val="single" w:sz="4" w:space="0" w:color="0070C0"/>
              <w:bottom w:val="single" w:sz="4" w:space="0" w:color="0070C0"/>
              <w:right w:val="single" w:sz="4" w:space="0" w:color="0070C0"/>
            </w:tcBorders>
          </w:tcPr>
          <w:p w14:paraId="016086A9" w14:textId="77777777" w:rsidR="00350F25" w:rsidRPr="004739E4" w:rsidRDefault="00350F25" w:rsidP="00350F25">
            <w:pPr>
              <w:pStyle w:val="TableCellText"/>
            </w:pPr>
            <w:r>
              <w:t>Default values are based on recent (2015) estimates. Replacing defaults with more up-to-date or local averages will improve cost and cost effectiveness estimates in the results.</w:t>
            </w:r>
          </w:p>
        </w:tc>
      </w:tr>
    </w:tbl>
    <w:p w14:paraId="703D4DCD" w14:textId="77777777" w:rsidR="00350F25" w:rsidRDefault="00350F25" w:rsidP="00350F25">
      <w:pPr>
        <w:pStyle w:val="BodyText"/>
        <w:rPr>
          <w:iCs/>
        </w:rPr>
      </w:pPr>
    </w:p>
    <w:p w14:paraId="7ADEA289" w14:textId="77777777" w:rsidR="00350F25" w:rsidRPr="00454563" w:rsidRDefault="00350F25" w:rsidP="00350F25">
      <w:pPr>
        <w:pStyle w:val="BodyText"/>
        <w:rPr>
          <w:b/>
          <w:iCs/>
        </w:rPr>
      </w:pPr>
      <w:r w:rsidRPr="00454563">
        <w:rPr>
          <w:b/>
          <w:iCs/>
        </w:rPr>
        <w:t>Results</w:t>
      </w:r>
    </w:p>
    <w:p w14:paraId="4A0E65B8" w14:textId="77777777" w:rsidR="00350F25" w:rsidRDefault="00350F25" w:rsidP="00350F25">
      <w:pPr>
        <w:pStyle w:val="BodyText"/>
        <w:rPr>
          <w:iCs/>
        </w:rPr>
      </w:pPr>
      <w:r>
        <w:rPr>
          <w:iCs/>
        </w:rPr>
        <w:t>As noted in the table above, the Funding Impact Analysis has to be run twice: once for gasoline short haul trucks and then again for diesel short haul trucks. The results of both Funding Impact Analysis runs are combined in the table below, and only the alternative fuel strategies are shown.</w:t>
      </w:r>
    </w:p>
    <w:p w14:paraId="256118BD" w14:textId="77777777" w:rsidR="00350F25" w:rsidRDefault="00350F25" w:rsidP="00350F25">
      <w:pPr>
        <w:pStyle w:val="BodyText"/>
        <w:rPr>
          <w:iCs/>
        </w:rPr>
      </w:pPr>
      <w:r>
        <w:rPr>
          <w:iCs/>
        </w:rPr>
        <w:t>The impacts vary depending on both the fuel of the truck being replaced and the modification. The Number of Trucks to Modify/Replace indicate how many trucks can modified with $2 million to cover capital costs. Note that drop-in alternative fuels (i.e., biodiesel and renewable diesel) are not included because the Tool assumes that incentive funding applies only to vehicle and vehicle equipment capital costs.</w:t>
      </w:r>
    </w:p>
    <w:tbl>
      <w:tblPr>
        <w:tblStyle w:val="TableGrid"/>
        <w:tblW w:w="0" w:type="auto"/>
        <w:tblLook w:val="04A0" w:firstRow="1" w:lastRow="0" w:firstColumn="1" w:lastColumn="0" w:noHBand="0" w:noVBand="1"/>
      </w:tblPr>
      <w:tblGrid>
        <w:gridCol w:w="1584"/>
        <w:gridCol w:w="2304"/>
        <w:gridCol w:w="1780"/>
        <w:gridCol w:w="1872"/>
        <w:gridCol w:w="1660"/>
      </w:tblGrid>
      <w:tr w:rsidR="00350F25" w:rsidRPr="00454563" w14:paraId="5EFE9424" w14:textId="77777777" w:rsidTr="0010295D">
        <w:trPr>
          <w:trHeight w:val="600"/>
          <w:tblHeader/>
        </w:trPr>
        <w:tc>
          <w:tcPr>
            <w:tcW w:w="1584" w:type="dxa"/>
            <w:tcBorders>
              <w:bottom w:val="single" w:sz="4" w:space="0" w:color="0067AB"/>
              <w:right w:val="single" w:sz="4" w:space="0" w:color="FFFFFF" w:themeColor="background1"/>
            </w:tcBorders>
            <w:shd w:val="clear" w:color="auto" w:fill="0067AB"/>
            <w:vAlign w:val="bottom"/>
            <w:hideMark/>
          </w:tcPr>
          <w:p w14:paraId="18FEDCC9" w14:textId="77777777" w:rsidR="00350F25" w:rsidRPr="0010295D" w:rsidRDefault="00350F25" w:rsidP="0010295D">
            <w:pPr>
              <w:pStyle w:val="BodyText"/>
              <w:spacing w:after="0"/>
              <w:jc w:val="center"/>
              <w:rPr>
                <w:rFonts w:asciiTheme="minorHAnsi" w:hAnsiTheme="minorHAnsi" w:cstheme="minorHAnsi"/>
                <w:b/>
                <w:bCs/>
                <w:iCs/>
                <w:color w:val="FFFFFF" w:themeColor="background1"/>
                <w:sz w:val="20"/>
                <w:szCs w:val="20"/>
              </w:rPr>
            </w:pPr>
            <w:r w:rsidRPr="0010295D">
              <w:rPr>
                <w:rFonts w:asciiTheme="minorHAnsi" w:hAnsiTheme="minorHAnsi" w:cstheme="minorHAnsi"/>
                <w:b/>
                <w:bCs/>
                <w:iCs/>
                <w:color w:val="FFFFFF" w:themeColor="background1"/>
                <w:sz w:val="20"/>
                <w:szCs w:val="20"/>
              </w:rPr>
              <w:t>Baseline Fuel</w:t>
            </w:r>
          </w:p>
        </w:tc>
        <w:tc>
          <w:tcPr>
            <w:tcW w:w="2304" w:type="dxa"/>
            <w:tcBorders>
              <w:left w:val="single" w:sz="4" w:space="0" w:color="FFFFFF" w:themeColor="background1"/>
              <w:bottom w:val="single" w:sz="4" w:space="0" w:color="0067AB"/>
              <w:right w:val="single" w:sz="4" w:space="0" w:color="FFFFFF" w:themeColor="background1"/>
            </w:tcBorders>
            <w:shd w:val="clear" w:color="auto" w:fill="0067AB"/>
            <w:vAlign w:val="bottom"/>
            <w:hideMark/>
          </w:tcPr>
          <w:p w14:paraId="0468C17F" w14:textId="77777777" w:rsidR="00350F25" w:rsidRPr="0010295D" w:rsidRDefault="00350F25" w:rsidP="0010295D">
            <w:pPr>
              <w:pStyle w:val="BodyText"/>
              <w:spacing w:after="0"/>
              <w:jc w:val="center"/>
              <w:rPr>
                <w:rFonts w:asciiTheme="minorHAnsi" w:hAnsiTheme="minorHAnsi" w:cstheme="minorHAnsi"/>
                <w:b/>
                <w:bCs/>
                <w:iCs/>
                <w:color w:val="FFFFFF" w:themeColor="background1"/>
                <w:sz w:val="20"/>
                <w:szCs w:val="20"/>
              </w:rPr>
            </w:pPr>
            <w:r w:rsidRPr="0010295D">
              <w:rPr>
                <w:rFonts w:asciiTheme="minorHAnsi" w:hAnsiTheme="minorHAnsi" w:cstheme="minorHAnsi"/>
                <w:b/>
                <w:bCs/>
                <w:iCs/>
                <w:color w:val="FFFFFF" w:themeColor="background1"/>
                <w:sz w:val="20"/>
                <w:szCs w:val="20"/>
              </w:rPr>
              <w:t>Modification</w:t>
            </w:r>
          </w:p>
        </w:tc>
        <w:tc>
          <w:tcPr>
            <w:tcW w:w="1780" w:type="dxa"/>
            <w:tcBorders>
              <w:left w:val="single" w:sz="4" w:space="0" w:color="FFFFFF" w:themeColor="background1"/>
              <w:bottom w:val="single" w:sz="4" w:space="0" w:color="0067AB"/>
              <w:right w:val="single" w:sz="4" w:space="0" w:color="FFFFFF" w:themeColor="background1"/>
            </w:tcBorders>
            <w:shd w:val="clear" w:color="auto" w:fill="0067AB"/>
            <w:vAlign w:val="bottom"/>
            <w:hideMark/>
          </w:tcPr>
          <w:p w14:paraId="41D3DAA3" w14:textId="77777777" w:rsidR="00350F25" w:rsidRPr="0010295D" w:rsidRDefault="00350F25" w:rsidP="0010295D">
            <w:pPr>
              <w:pStyle w:val="BodyText"/>
              <w:spacing w:after="0"/>
              <w:jc w:val="center"/>
              <w:rPr>
                <w:rFonts w:asciiTheme="minorHAnsi" w:hAnsiTheme="minorHAnsi" w:cstheme="minorHAnsi"/>
                <w:b/>
                <w:bCs/>
                <w:iCs/>
                <w:color w:val="FFFFFF" w:themeColor="background1"/>
                <w:sz w:val="20"/>
                <w:szCs w:val="20"/>
              </w:rPr>
            </w:pPr>
            <w:r w:rsidRPr="0010295D">
              <w:rPr>
                <w:rFonts w:asciiTheme="minorHAnsi" w:hAnsiTheme="minorHAnsi" w:cstheme="minorHAnsi"/>
                <w:b/>
                <w:bCs/>
                <w:iCs/>
                <w:color w:val="FFFFFF" w:themeColor="background1"/>
                <w:sz w:val="20"/>
                <w:szCs w:val="20"/>
              </w:rPr>
              <w:t>Number of Trucks to Modify/Replace</w:t>
            </w:r>
          </w:p>
        </w:tc>
        <w:tc>
          <w:tcPr>
            <w:tcW w:w="1872" w:type="dxa"/>
            <w:tcBorders>
              <w:left w:val="single" w:sz="4" w:space="0" w:color="FFFFFF" w:themeColor="background1"/>
              <w:bottom w:val="single" w:sz="4" w:space="0" w:color="0067AB"/>
              <w:right w:val="single" w:sz="4" w:space="0" w:color="FFFFFF" w:themeColor="background1"/>
            </w:tcBorders>
            <w:shd w:val="clear" w:color="auto" w:fill="0067AB"/>
            <w:vAlign w:val="bottom"/>
            <w:hideMark/>
          </w:tcPr>
          <w:p w14:paraId="77776D36" w14:textId="77777777" w:rsidR="00350F25" w:rsidRPr="0010295D" w:rsidRDefault="00350F25" w:rsidP="0010295D">
            <w:pPr>
              <w:pStyle w:val="BodyText"/>
              <w:spacing w:after="0"/>
              <w:jc w:val="center"/>
              <w:rPr>
                <w:rFonts w:asciiTheme="minorHAnsi" w:hAnsiTheme="minorHAnsi" w:cstheme="minorHAnsi"/>
                <w:b/>
                <w:bCs/>
                <w:iCs/>
                <w:color w:val="FFFFFF" w:themeColor="background1"/>
                <w:sz w:val="20"/>
                <w:szCs w:val="20"/>
              </w:rPr>
            </w:pPr>
            <w:r w:rsidRPr="0010295D">
              <w:rPr>
                <w:rFonts w:asciiTheme="minorHAnsi" w:hAnsiTheme="minorHAnsi" w:cstheme="minorHAnsi"/>
                <w:b/>
                <w:bCs/>
                <w:iCs/>
                <w:color w:val="FFFFFF" w:themeColor="background1"/>
                <w:sz w:val="20"/>
                <w:szCs w:val="20"/>
              </w:rPr>
              <w:t>Annual PM</w:t>
            </w:r>
            <w:r w:rsidRPr="0010295D">
              <w:rPr>
                <w:rFonts w:asciiTheme="minorHAnsi" w:hAnsiTheme="minorHAnsi" w:cstheme="minorHAnsi"/>
                <w:b/>
                <w:bCs/>
                <w:iCs/>
                <w:color w:val="FFFFFF" w:themeColor="background1"/>
                <w:sz w:val="20"/>
                <w:szCs w:val="20"/>
                <w:vertAlign w:val="subscript"/>
              </w:rPr>
              <w:t>2.5</w:t>
            </w:r>
            <w:r w:rsidRPr="0010295D">
              <w:rPr>
                <w:rFonts w:asciiTheme="minorHAnsi" w:hAnsiTheme="minorHAnsi" w:cstheme="minorHAnsi"/>
                <w:b/>
                <w:bCs/>
                <w:iCs/>
                <w:color w:val="FFFFFF" w:themeColor="background1"/>
                <w:sz w:val="20"/>
                <w:szCs w:val="20"/>
              </w:rPr>
              <w:t xml:space="preserve"> Emissions Reduced (tons)</w:t>
            </w:r>
          </w:p>
        </w:tc>
        <w:tc>
          <w:tcPr>
            <w:tcW w:w="1660" w:type="dxa"/>
            <w:tcBorders>
              <w:left w:val="single" w:sz="4" w:space="0" w:color="FFFFFF" w:themeColor="background1"/>
              <w:bottom w:val="single" w:sz="4" w:space="0" w:color="0067AB"/>
            </w:tcBorders>
            <w:shd w:val="clear" w:color="auto" w:fill="0067AB"/>
            <w:vAlign w:val="bottom"/>
            <w:hideMark/>
          </w:tcPr>
          <w:p w14:paraId="3BA5B431" w14:textId="77777777" w:rsidR="00350F25" w:rsidRPr="0010295D" w:rsidRDefault="00350F25" w:rsidP="0010295D">
            <w:pPr>
              <w:pStyle w:val="BodyText"/>
              <w:spacing w:after="0"/>
              <w:jc w:val="center"/>
              <w:rPr>
                <w:rFonts w:asciiTheme="minorHAnsi" w:hAnsiTheme="minorHAnsi" w:cstheme="minorHAnsi"/>
                <w:b/>
                <w:bCs/>
                <w:iCs/>
                <w:color w:val="FFFFFF" w:themeColor="background1"/>
                <w:sz w:val="20"/>
                <w:szCs w:val="20"/>
              </w:rPr>
            </w:pPr>
            <w:r w:rsidRPr="0010295D">
              <w:rPr>
                <w:rFonts w:asciiTheme="minorHAnsi" w:hAnsiTheme="minorHAnsi" w:cstheme="minorHAnsi"/>
                <w:b/>
                <w:bCs/>
                <w:iCs/>
                <w:color w:val="FFFFFF" w:themeColor="background1"/>
                <w:sz w:val="20"/>
                <w:szCs w:val="20"/>
              </w:rPr>
              <w:t>Cost Effectiveness ($/ton)</w:t>
            </w:r>
          </w:p>
        </w:tc>
      </w:tr>
      <w:tr w:rsidR="00350F25" w:rsidRPr="00454563" w14:paraId="1CD9E253" w14:textId="77777777" w:rsidTr="0010295D">
        <w:trPr>
          <w:trHeight w:val="300"/>
        </w:trPr>
        <w:tc>
          <w:tcPr>
            <w:tcW w:w="1584" w:type="dxa"/>
            <w:tcBorders>
              <w:top w:val="single" w:sz="4" w:space="0" w:color="0067AB"/>
              <w:left w:val="single" w:sz="4" w:space="0" w:color="0067AB"/>
              <w:bottom w:val="single" w:sz="4" w:space="0" w:color="0067AB"/>
              <w:right w:val="single" w:sz="4" w:space="0" w:color="0067AB"/>
            </w:tcBorders>
            <w:noWrap/>
            <w:hideMark/>
          </w:tcPr>
          <w:p w14:paraId="678608D6"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iCs/>
                <w:sz w:val="20"/>
                <w:szCs w:val="20"/>
              </w:rPr>
              <w:t>Gasoline</w:t>
            </w:r>
          </w:p>
        </w:tc>
        <w:tc>
          <w:tcPr>
            <w:tcW w:w="2304" w:type="dxa"/>
            <w:tcBorders>
              <w:top w:val="single" w:sz="4" w:space="0" w:color="0067AB"/>
              <w:left w:val="single" w:sz="4" w:space="0" w:color="0067AB"/>
              <w:bottom w:val="single" w:sz="4" w:space="0" w:color="0067AB"/>
              <w:right w:val="single" w:sz="4" w:space="0" w:color="0067AB"/>
            </w:tcBorders>
            <w:noWrap/>
            <w:hideMark/>
          </w:tcPr>
          <w:p w14:paraId="1C0DD8D4"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iCs/>
                <w:sz w:val="20"/>
                <w:szCs w:val="20"/>
              </w:rPr>
              <w:t>CNG</w:t>
            </w:r>
          </w:p>
        </w:tc>
        <w:tc>
          <w:tcPr>
            <w:tcW w:w="1780" w:type="dxa"/>
            <w:tcBorders>
              <w:top w:val="single" w:sz="4" w:space="0" w:color="0067AB"/>
              <w:left w:val="single" w:sz="4" w:space="0" w:color="0067AB"/>
              <w:bottom w:val="single" w:sz="4" w:space="0" w:color="0067AB"/>
              <w:right w:val="single" w:sz="4" w:space="0" w:color="0067AB"/>
            </w:tcBorders>
            <w:noWrap/>
            <w:hideMark/>
          </w:tcPr>
          <w:p w14:paraId="5A4403BF"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iCs/>
                <w:sz w:val="20"/>
                <w:szCs w:val="20"/>
              </w:rPr>
              <w:t>21</w:t>
            </w:r>
          </w:p>
        </w:tc>
        <w:tc>
          <w:tcPr>
            <w:tcW w:w="1872" w:type="dxa"/>
            <w:tcBorders>
              <w:top w:val="single" w:sz="4" w:space="0" w:color="0067AB"/>
              <w:left w:val="single" w:sz="4" w:space="0" w:color="0067AB"/>
              <w:bottom w:val="single" w:sz="4" w:space="0" w:color="0067AB"/>
              <w:right w:val="single" w:sz="4" w:space="0" w:color="0067AB"/>
            </w:tcBorders>
            <w:noWrap/>
            <w:hideMark/>
          </w:tcPr>
          <w:p w14:paraId="7E50A234"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iCs/>
                <w:sz w:val="20"/>
                <w:szCs w:val="20"/>
              </w:rPr>
              <w:t>0.015</w:t>
            </w:r>
          </w:p>
        </w:tc>
        <w:tc>
          <w:tcPr>
            <w:tcW w:w="1660" w:type="dxa"/>
            <w:tcBorders>
              <w:top w:val="single" w:sz="4" w:space="0" w:color="0067AB"/>
              <w:left w:val="single" w:sz="4" w:space="0" w:color="0067AB"/>
              <w:bottom w:val="single" w:sz="4" w:space="0" w:color="0067AB"/>
              <w:right w:val="single" w:sz="4" w:space="0" w:color="0067AB"/>
            </w:tcBorders>
            <w:noWrap/>
            <w:hideMark/>
          </w:tcPr>
          <w:p w14:paraId="766BB3B3"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$16,446,519</w:t>
            </w:r>
          </w:p>
        </w:tc>
      </w:tr>
      <w:tr w:rsidR="00350F25" w:rsidRPr="00454563" w14:paraId="1ED03C01" w14:textId="77777777" w:rsidTr="0010295D">
        <w:trPr>
          <w:trHeight w:val="300"/>
        </w:trPr>
        <w:tc>
          <w:tcPr>
            <w:tcW w:w="1584" w:type="dxa"/>
            <w:tcBorders>
              <w:top w:val="single" w:sz="4" w:space="0" w:color="0067AB"/>
              <w:left w:val="single" w:sz="4" w:space="0" w:color="0067AB"/>
              <w:bottom w:val="single" w:sz="4" w:space="0" w:color="0067AB"/>
              <w:right w:val="single" w:sz="4" w:space="0" w:color="0067AB"/>
            </w:tcBorders>
            <w:noWrap/>
            <w:hideMark/>
          </w:tcPr>
          <w:p w14:paraId="6DCC4D36"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iCs/>
                <w:sz w:val="20"/>
                <w:szCs w:val="20"/>
              </w:rPr>
              <w:t>Gasoline</w:t>
            </w:r>
          </w:p>
        </w:tc>
        <w:tc>
          <w:tcPr>
            <w:tcW w:w="2304" w:type="dxa"/>
            <w:tcBorders>
              <w:top w:val="single" w:sz="4" w:space="0" w:color="0067AB"/>
              <w:left w:val="single" w:sz="4" w:space="0" w:color="0067AB"/>
              <w:bottom w:val="single" w:sz="4" w:space="0" w:color="0067AB"/>
              <w:right w:val="single" w:sz="4" w:space="0" w:color="0067AB"/>
            </w:tcBorders>
            <w:noWrap/>
            <w:hideMark/>
          </w:tcPr>
          <w:p w14:paraId="51BB0042"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iCs/>
                <w:sz w:val="20"/>
                <w:szCs w:val="20"/>
              </w:rPr>
              <w:t>RCNG</w:t>
            </w:r>
          </w:p>
        </w:tc>
        <w:tc>
          <w:tcPr>
            <w:tcW w:w="1780" w:type="dxa"/>
            <w:tcBorders>
              <w:top w:val="single" w:sz="4" w:space="0" w:color="0067AB"/>
              <w:left w:val="single" w:sz="4" w:space="0" w:color="0067AB"/>
              <w:bottom w:val="single" w:sz="4" w:space="0" w:color="0067AB"/>
              <w:right w:val="single" w:sz="4" w:space="0" w:color="0067AB"/>
            </w:tcBorders>
            <w:noWrap/>
            <w:hideMark/>
          </w:tcPr>
          <w:p w14:paraId="0E05D6B2"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iCs/>
                <w:sz w:val="20"/>
                <w:szCs w:val="20"/>
              </w:rPr>
              <w:t>21</w:t>
            </w:r>
          </w:p>
        </w:tc>
        <w:tc>
          <w:tcPr>
            <w:tcW w:w="1872" w:type="dxa"/>
            <w:tcBorders>
              <w:top w:val="single" w:sz="4" w:space="0" w:color="0067AB"/>
              <w:left w:val="single" w:sz="4" w:space="0" w:color="0067AB"/>
              <w:bottom w:val="single" w:sz="4" w:space="0" w:color="0067AB"/>
              <w:right w:val="single" w:sz="4" w:space="0" w:color="0067AB"/>
            </w:tcBorders>
            <w:noWrap/>
            <w:hideMark/>
          </w:tcPr>
          <w:p w14:paraId="110A21AA"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iCs/>
                <w:sz w:val="20"/>
                <w:szCs w:val="20"/>
              </w:rPr>
              <w:t>0.015</w:t>
            </w:r>
          </w:p>
        </w:tc>
        <w:tc>
          <w:tcPr>
            <w:tcW w:w="1660" w:type="dxa"/>
            <w:tcBorders>
              <w:top w:val="single" w:sz="4" w:space="0" w:color="0067AB"/>
              <w:left w:val="single" w:sz="4" w:space="0" w:color="0067AB"/>
              <w:bottom w:val="single" w:sz="4" w:space="0" w:color="0067AB"/>
              <w:right w:val="single" w:sz="4" w:space="0" w:color="0067AB"/>
            </w:tcBorders>
            <w:noWrap/>
            <w:hideMark/>
          </w:tcPr>
          <w:p w14:paraId="4CBA36AC"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$16,446,519</w:t>
            </w:r>
          </w:p>
        </w:tc>
      </w:tr>
      <w:tr w:rsidR="00350F25" w:rsidRPr="00454563" w14:paraId="7E6849A2" w14:textId="77777777" w:rsidTr="0010295D">
        <w:trPr>
          <w:trHeight w:val="300"/>
        </w:trPr>
        <w:tc>
          <w:tcPr>
            <w:tcW w:w="1584" w:type="dxa"/>
            <w:tcBorders>
              <w:top w:val="single" w:sz="4" w:space="0" w:color="0067AB"/>
              <w:left w:val="single" w:sz="4" w:space="0" w:color="0067AB"/>
              <w:bottom w:val="single" w:sz="4" w:space="0" w:color="0067AB"/>
              <w:right w:val="single" w:sz="4" w:space="0" w:color="0067AB"/>
            </w:tcBorders>
            <w:noWrap/>
          </w:tcPr>
          <w:p w14:paraId="359AABD6"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iCs/>
                <w:sz w:val="20"/>
                <w:szCs w:val="20"/>
              </w:rPr>
              <w:t>Gasoline</w:t>
            </w:r>
          </w:p>
        </w:tc>
        <w:tc>
          <w:tcPr>
            <w:tcW w:w="2304" w:type="dxa"/>
            <w:tcBorders>
              <w:top w:val="single" w:sz="4" w:space="0" w:color="0067AB"/>
              <w:left w:val="single" w:sz="4" w:space="0" w:color="0067AB"/>
              <w:bottom w:val="single" w:sz="4" w:space="0" w:color="0067AB"/>
              <w:right w:val="single" w:sz="4" w:space="0" w:color="0067AB"/>
            </w:tcBorders>
            <w:noWrap/>
          </w:tcPr>
          <w:p w14:paraId="09BEF06F"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sz w:val="20"/>
                <w:szCs w:val="20"/>
              </w:rPr>
              <w:t>CNG+LowNOx</w:t>
            </w:r>
          </w:p>
        </w:tc>
        <w:tc>
          <w:tcPr>
            <w:tcW w:w="1780" w:type="dxa"/>
            <w:tcBorders>
              <w:top w:val="single" w:sz="4" w:space="0" w:color="0067AB"/>
              <w:left w:val="single" w:sz="4" w:space="0" w:color="0067AB"/>
              <w:bottom w:val="single" w:sz="4" w:space="0" w:color="0067AB"/>
              <w:right w:val="single" w:sz="4" w:space="0" w:color="0067AB"/>
            </w:tcBorders>
            <w:noWrap/>
          </w:tcPr>
          <w:p w14:paraId="7D1A94EF"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iCs/>
                <w:sz w:val="20"/>
                <w:szCs w:val="20"/>
              </w:rPr>
              <w:t>19</w:t>
            </w:r>
          </w:p>
        </w:tc>
        <w:tc>
          <w:tcPr>
            <w:tcW w:w="1872" w:type="dxa"/>
            <w:tcBorders>
              <w:top w:val="single" w:sz="4" w:space="0" w:color="0067AB"/>
              <w:left w:val="single" w:sz="4" w:space="0" w:color="0067AB"/>
              <w:bottom w:val="single" w:sz="4" w:space="0" w:color="0067AB"/>
              <w:right w:val="single" w:sz="4" w:space="0" w:color="0067AB"/>
            </w:tcBorders>
            <w:noWrap/>
          </w:tcPr>
          <w:p w14:paraId="7FD08104"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iCs/>
                <w:sz w:val="20"/>
                <w:szCs w:val="20"/>
              </w:rPr>
              <w:t>0.013</w:t>
            </w:r>
          </w:p>
        </w:tc>
        <w:tc>
          <w:tcPr>
            <w:tcW w:w="1660" w:type="dxa"/>
            <w:tcBorders>
              <w:top w:val="single" w:sz="4" w:space="0" w:color="0067AB"/>
              <w:left w:val="single" w:sz="4" w:space="0" w:color="0067AB"/>
              <w:bottom w:val="single" w:sz="4" w:space="0" w:color="0067AB"/>
              <w:right w:val="single" w:sz="4" w:space="0" w:color="0067AB"/>
            </w:tcBorders>
            <w:noWrap/>
          </w:tcPr>
          <w:p w14:paraId="7CF281BE"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$18,231,798</w:t>
            </w:r>
          </w:p>
        </w:tc>
      </w:tr>
      <w:tr w:rsidR="00350F25" w:rsidRPr="00454563" w14:paraId="160E90AC" w14:textId="77777777" w:rsidTr="0010295D">
        <w:trPr>
          <w:trHeight w:val="300"/>
        </w:trPr>
        <w:tc>
          <w:tcPr>
            <w:tcW w:w="1584" w:type="dxa"/>
            <w:tcBorders>
              <w:top w:val="single" w:sz="4" w:space="0" w:color="0067AB"/>
              <w:left w:val="single" w:sz="4" w:space="0" w:color="0067AB"/>
              <w:bottom w:val="single" w:sz="4" w:space="0" w:color="0067AB"/>
              <w:right w:val="single" w:sz="4" w:space="0" w:color="0067AB"/>
            </w:tcBorders>
            <w:noWrap/>
          </w:tcPr>
          <w:p w14:paraId="01DDD68C"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iCs/>
                <w:sz w:val="20"/>
                <w:szCs w:val="20"/>
              </w:rPr>
              <w:t>Gasoline</w:t>
            </w:r>
          </w:p>
        </w:tc>
        <w:tc>
          <w:tcPr>
            <w:tcW w:w="2304" w:type="dxa"/>
            <w:tcBorders>
              <w:top w:val="single" w:sz="4" w:space="0" w:color="0067AB"/>
              <w:left w:val="single" w:sz="4" w:space="0" w:color="0067AB"/>
              <w:bottom w:val="single" w:sz="4" w:space="0" w:color="0067AB"/>
              <w:right w:val="single" w:sz="4" w:space="0" w:color="0067AB"/>
            </w:tcBorders>
            <w:noWrap/>
          </w:tcPr>
          <w:p w14:paraId="367C74BA"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sz w:val="20"/>
                <w:szCs w:val="20"/>
              </w:rPr>
              <w:t>RCNG+LowNOx</w:t>
            </w:r>
          </w:p>
        </w:tc>
        <w:tc>
          <w:tcPr>
            <w:tcW w:w="1780" w:type="dxa"/>
            <w:tcBorders>
              <w:top w:val="single" w:sz="4" w:space="0" w:color="0067AB"/>
              <w:left w:val="single" w:sz="4" w:space="0" w:color="0067AB"/>
              <w:bottom w:val="single" w:sz="4" w:space="0" w:color="0067AB"/>
              <w:right w:val="single" w:sz="4" w:space="0" w:color="0067AB"/>
            </w:tcBorders>
            <w:noWrap/>
          </w:tcPr>
          <w:p w14:paraId="5F96E26E"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iCs/>
                <w:sz w:val="20"/>
                <w:szCs w:val="20"/>
              </w:rPr>
              <w:t>19</w:t>
            </w:r>
          </w:p>
        </w:tc>
        <w:tc>
          <w:tcPr>
            <w:tcW w:w="1872" w:type="dxa"/>
            <w:tcBorders>
              <w:top w:val="single" w:sz="4" w:space="0" w:color="0067AB"/>
              <w:left w:val="single" w:sz="4" w:space="0" w:color="0067AB"/>
              <w:bottom w:val="single" w:sz="4" w:space="0" w:color="0067AB"/>
              <w:right w:val="single" w:sz="4" w:space="0" w:color="0067AB"/>
            </w:tcBorders>
            <w:noWrap/>
          </w:tcPr>
          <w:p w14:paraId="3A798528"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iCs/>
                <w:sz w:val="20"/>
                <w:szCs w:val="20"/>
              </w:rPr>
              <w:t>0.013</w:t>
            </w:r>
          </w:p>
        </w:tc>
        <w:tc>
          <w:tcPr>
            <w:tcW w:w="1660" w:type="dxa"/>
            <w:tcBorders>
              <w:top w:val="single" w:sz="4" w:space="0" w:color="0067AB"/>
              <w:left w:val="single" w:sz="4" w:space="0" w:color="0067AB"/>
              <w:bottom w:val="single" w:sz="4" w:space="0" w:color="0067AB"/>
              <w:right w:val="single" w:sz="4" w:space="0" w:color="0067AB"/>
            </w:tcBorders>
            <w:noWrap/>
          </w:tcPr>
          <w:p w14:paraId="62F61849"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$18,231,798</w:t>
            </w:r>
          </w:p>
        </w:tc>
      </w:tr>
      <w:tr w:rsidR="00350F25" w:rsidRPr="00454563" w14:paraId="7B6FE0BA" w14:textId="77777777" w:rsidTr="0010295D">
        <w:trPr>
          <w:trHeight w:val="300"/>
        </w:trPr>
        <w:tc>
          <w:tcPr>
            <w:tcW w:w="1584" w:type="dxa"/>
            <w:tcBorders>
              <w:top w:val="single" w:sz="4" w:space="0" w:color="0067AB"/>
              <w:left w:val="single" w:sz="4" w:space="0" w:color="0067AB"/>
              <w:bottom w:val="single" w:sz="4" w:space="0" w:color="0067AB"/>
              <w:right w:val="single" w:sz="4" w:space="0" w:color="0067AB"/>
            </w:tcBorders>
            <w:noWrap/>
            <w:hideMark/>
          </w:tcPr>
          <w:p w14:paraId="47D0DC64"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iCs/>
                <w:sz w:val="20"/>
                <w:szCs w:val="20"/>
              </w:rPr>
              <w:t>Gasoline</w:t>
            </w:r>
          </w:p>
        </w:tc>
        <w:tc>
          <w:tcPr>
            <w:tcW w:w="2304" w:type="dxa"/>
            <w:tcBorders>
              <w:top w:val="single" w:sz="4" w:space="0" w:color="0067AB"/>
              <w:left w:val="single" w:sz="4" w:space="0" w:color="0067AB"/>
              <w:bottom w:val="single" w:sz="4" w:space="0" w:color="0067AB"/>
              <w:right w:val="single" w:sz="4" w:space="0" w:color="0067AB"/>
            </w:tcBorders>
            <w:noWrap/>
            <w:hideMark/>
          </w:tcPr>
          <w:p w14:paraId="32A3D43A"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iCs/>
                <w:sz w:val="20"/>
                <w:szCs w:val="20"/>
              </w:rPr>
              <w:t>Propane</w:t>
            </w:r>
          </w:p>
        </w:tc>
        <w:tc>
          <w:tcPr>
            <w:tcW w:w="1780" w:type="dxa"/>
            <w:tcBorders>
              <w:top w:val="single" w:sz="4" w:space="0" w:color="0067AB"/>
              <w:left w:val="single" w:sz="4" w:space="0" w:color="0067AB"/>
              <w:bottom w:val="single" w:sz="4" w:space="0" w:color="0067AB"/>
              <w:right w:val="single" w:sz="4" w:space="0" w:color="0067AB"/>
            </w:tcBorders>
            <w:noWrap/>
            <w:hideMark/>
          </w:tcPr>
          <w:p w14:paraId="52117E20"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iCs/>
                <w:sz w:val="20"/>
                <w:szCs w:val="20"/>
              </w:rPr>
              <w:t>28</w:t>
            </w:r>
          </w:p>
        </w:tc>
        <w:tc>
          <w:tcPr>
            <w:tcW w:w="1872" w:type="dxa"/>
            <w:tcBorders>
              <w:top w:val="single" w:sz="4" w:space="0" w:color="0067AB"/>
              <w:left w:val="single" w:sz="4" w:space="0" w:color="0067AB"/>
              <w:bottom w:val="single" w:sz="4" w:space="0" w:color="0067AB"/>
              <w:right w:val="single" w:sz="4" w:space="0" w:color="0067AB"/>
            </w:tcBorders>
            <w:noWrap/>
            <w:hideMark/>
          </w:tcPr>
          <w:p w14:paraId="04206F4A"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iCs/>
                <w:sz w:val="20"/>
                <w:szCs w:val="20"/>
              </w:rPr>
              <w:t>0.020</w:t>
            </w:r>
          </w:p>
        </w:tc>
        <w:tc>
          <w:tcPr>
            <w:tcW w:w="1660" w:type="dxa"/>
            <w:tcBorders>
              <w:top w:val="single" w:sz="4" w:space="0" w:color="0067AB"/>
              <w:left w:val="single" w:sz="4" w:space="0" w:color="0067AB"/>
              <w:bottom w:val="single" w:sz="4" w:space="0" w:color="0067AB"/>
              <w:right w:val="single" w:sz="4" w:space="0" w:color="0067AB"/>
            </w:tcBorders>
            <w:noWrap/>
            <w:hideMark/>
          </w:tcPr>
          <w:p w14:paraId="6B5A1F4E"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$12,340,379</w:t>
            </w:r>
          </w:p>
        </w:tc>
      </w:tr>
      <w:tr w:rsidR="00350F25" w:rsidRPr="00454563" w14:paraId="079C6153" w14:textId="77777777" w:rsidTr="0010295D">
        <w:trPr>
          <w:trHeight w:val="300"/>
        </w:trPr>
        <w:tc>
          <w:tcPr>
            <w:tcW w:w="1584" w:type="dxa"/>
            <w:tcBorders>
              <w:top w:val="single" w:sz="4" w:space="0" w:color="0067AB"/>
              <w:left w:val="single" w:sz="4" w:space="0" w:color="0067AB"/>
              <w:bottom w:val="single" w:sz="4" w:space="0" w:color="0067AB"/>
              <w:right w:val="single" w:sz="4" w:space="0" w:color="0067AB"/>
            </w:tcBorders>
            <w:noWrap/>
            <w:hideMark/>
          </w:tcPr>
          <w:p w14:paraId="0E0D4745"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iCs/>
                <w:sz w:val="20"/>
                <w:szCs w:val="20"/>
              </w:rPr>
              <w:t>Gasoline</w:t>
            </w:r>
          </w:p>
        </w:tc>
        <w:tc>
          <w:tcPr>
            <w:tcW w:w="2304" w:type="dxa"/>
            <w:tcBorders>
              <w:top w:val="single" w:sz="4" w:space="0" w:color="0067AB"/>
              <w:left w:val="single" w:sz="4" w:space="0" w:color="0067AB"/>
              <w:bottom w:val="single" w:sz="4" w:space="0" w:color="0067AB"/>
              <w:right w:val="single" w:sz="4" w:space="0" w:color="0067AB"/>
            </w:tcBorders>
            <w:noWrap/>
            <w:hideMark/>
          </w:tcPr>
          <w:p w14:paraId="2E73D3BF"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iCs/>
                <w:sz w:val="20"/>
                <w:szCs w:val="20"/>
              </w:rPr>
              <w:t>Hybrid</w:t>
            </w:r>
          </w:p>
        </w:tc>
        <w:tc>
          <w:tcPr>
            <w:tcW w:w="1780" w:type="dxa"/>
            <w:tcBorders>
              <w:top w:val="single" w:sz="4" w:space="0" w:color="0067AB"/>
              <w:left w:val="single" w:sz="4" w:space="0" w:color="0067AB"/>
              <w:bottom w:val="single" w:sz="4" w:space="0" w:color="0067AB"/>
              <w:right w:val="single" w:sz="4" w:space="0" w:color="0067AB"/>
            </w:tcBorders>
            <w:noWrap/>
            <w:hideMark/>
          </w:tcPr>
          <w:p w14:paraId="2C8F0A46"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iCs/>
                <w:sz w:val="20"/>
                <w:szCs w:val="20"/>
              </w:rPr>
              <w:t>27</w:t>
            </w:r>
          </w:p>
        </w:tc>
        <w:tc>
          <w:tcPr>
            <w:tcW w:w="1872" w:type="dxa"/>
            <w:tcBorders>
              <w:top w:val="single" w:sz="4" w:space="0" w:color="0067AB"/>
              <w:left w:val="single" w:sz="4" w:space="0" w:color="0067AB"/>
              <w:bottom w:val="single" w:sz="4" w:space="0" w:color="0067AB"/>
              <w:right w:val="single" w:sz="4" w:space="0" w:color="0067AB"/>
            </w:tcBorders>
            <w:noWrap/>
            <w:hideMark/>
          </w:tcPr>
          <w:p w14:paraId="0689E8A3"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iCs/>
                <w:sz w:val="20"/>
                <w:szCs w:val="20"/>
              </w:rPr>
              <w:t>0.021</w:t>
            </w:r>
          </w:p>
        </w:tc>
        <w:tc>
          <w:tcPr>
            <w:tcW w:w="1660" w:type="dxa"/>
            <w:tcBorders>
              <w:top w:val="single" w:sz="4" w:space="0" w:color="0067AB"/>
              <w:left w:val="single" w:sz="4" w:space="0" w:color="0067AB"/>
              <w:bottom w:val="single" w:sz="4" w:space="0" w:color="0067AB"/>
              <w:right w:val="single" w:sz="4" w:space="0" w:color="0067AB"/>
            </w:tcBorders>
            <w:noWrap/>
            <w:hideMark/>
          </w:tcPr>
          <w:p w14:paraId="73AE7A72"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$11,698,759</w:t>
            </w:r>
          </w:p>
        </w:tc>
      </w:tr>
      <w:tr w:rsidR="00350F25" w:rsidRPr="00454563" w14:paraId="0F3D2680" w14:textId="77777777" w:rsidTr="0010295D">
        <w:trPr>
          <w:trHeight w:val="300"/>
        </w:trPr>
        <w:tc>
          <w:tcPr>
            <w:tcW w:w="1584" w:type="dxa"/>
            <w:tcBorders>
              <w:top w:val="single" w:sz="4" w:space="0" w:color="0067AB"/>
              <w:left w:val="single" w:sz="4" w:space="0" w:color="0067AB"/>
              <w:bottom w:val="single" w:sz="4" w:space="0" w:color="0067AB"/>
              <w:right w:val="single" w:sz="4" w:space="0" w:color="0067AB"/>
            </w:tcBorders>
            <w:noWrap/>
          </w:tcPr>
          <w:p w14:paraId="154E7503"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iCs/>
                <w:sz w:val="20"/>
                <w:szCs w:val="20"/>
              </w:rPr>
              <w:t>Gasoline</w:t>
            </w:r>
          </w:p>
        </w:tc>
        <w:tc>
          <w:tcPr>
            <w:tcW w:w="2304" w:type="dxa"/>
            <w:tcBorders>
              <w:top w:val="single" w:sz="4" w:space="0" w:color="0067AB"/>
              <w:left w:val="single" w:sz="4" w:space="0" w:color="0067AB"/>
              <w:bottom w:val="single" w:sz="4" w:space="0" w:color="0067AB"/>
              <w:right w:val="single" w:sz="4" w:space="0" w:color="0067AB"/>
            </w:tcBorders>
            <w:noWrap/>
          </w:tcPr>
          <w:p w14:paraId="7DEBAEFB"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iCs/>
                <w:sz w:val="20"/>
                <w:szCs w:val="20"/>
              </w:rPr>
              <w:t>Electric</w:t>
            </w:r>
          </w:p>
        </w:tc>
        <w:tc>
          <w:tcPr>
            <w:tcW w:w="1780" w:type="dxa"/>
            <w:tcBorders>
              <w:top w:val="single" w:sz="4" w:space="0" w:color="0067AB"/>
              <w:left w:val="single" w:sz="4" w:space="0" w:color="0067AB"/>
              <w:bottom w:val="single" w:sz="4" w:space="0" w:color="0067AB"/>
              <w:right w:val="single" w:sz="4" w:space="0" w:color="0067AB"/>
            </w:tcBorders>
            <w:noWrap/>
          </w:tcPr>
          <w:p w14:paraId="55A4CA8B"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iCs/>
                <w:sz w:val="20"/>
                <w:szCs w:val="20"/>
              </w:rPr>
              <w:t>20</w:t>
            </w:r>
          </w:p>
        </w:tc>
        <w:tc>
          <w:tcPr>
            <w:tcW w:w="1872" w:type="dxa"/>
            <w:tcBorders>
              <w:top w:val="single" w:sz="4" w:space="0" w:color="0067AB"/>
              <w:left w:val="single" w:sz="4" w:space="0" w:color="0067AB"/>
              <w:bottom w:val="single" w:sz="4" w:space="0" w:color="0067AB"/>
              <w:right w:val="single" w:sz="4" w:space="0" w:color="0067AB"/>
            </w:tcBorders>
            <w:noWrap/>
          </w:tcPr>
          <w:p w14:paraId="2DFB1DF9"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iCs/>
                <w:sz w:val="20"/>
                <w:szCs w:val="20"/>
              </w:rPr>
              <w:t>0.018</w:t>
            </w:r>
          </w:p>
        </w:tc>
        <w:tc>
          <w:tcPr>
            <w:tcW w:w="1660" w:type="dxa"/>
            <w:tcBorders>
              <w:top w:val="single" w:sz="4" w:space="0" w:color="0067AB"/>
              <w:left w:val="single" w:sz="4" w:space="0" w:color="0067AB"/>
              <w:bottom w:val="single" w:sz="4" w:space="0" w:color="0067AB"/>
              <w:right w:val="single" w:sz="4" w:space="0" w:color="0067AB"/>
            </w:tcBorders>
            <w:noWrap/>
          </w:tcPr>
          <w:p w14:paraId="15B9AD61"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iCs/>
                <w:sz w:val="20"/>
                <w:szCs w:val="20"/>
              </w:rPr>
              <w:t>$13,338,716</w:t>
            </w:r>
          </w:p>
        </w:tc>
      </w:tr>
      <w:tr w:rsidR="00350F25" w:rsidRPr="00454563" w14:paraId="18A9F9B8" w14:textId="77777777" w:rsidTr="0010295D">
        <w:trPr>
          <w:trHeight w:val="300"/>
        </w:trPr>
        <w:tc>
          <w:tcPr>
            <w:tcW w:w="1584" w:type="dxa"/>
            <w:tcBorders>
              <w:top w:val="single" w:sz="4" w:space="0" w:color="0067AB"/>
              <w:left w:val="single" w:sz="4" w:space="0" w:color="0067AB"/>
              <w:bottom w:val="single" w:sz="4" w:space="0" w:color="0067AB"/>
              <w:right w:val="single" w:sz="4" w:space="0" w:color="0067AB"/>
            </w:tcBorders>
            <w:noWrap/>
          </w:tcPr>
          <w:p w14:paraId="37FAC22F"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sz w:val="20"/>
                <w:szCs w:val="20"/>
              </w:rPr>
              <w:lastRenderedPageBreak/>
              <w:t>Diesel</w:t>
            </w:r>
          </w:p>
        </w:tc>
        <w:tc>
          <w:tcPr>
            <w:tcW w:w="2304" w:type="dxa"/>
            <w:tcBorders>
              <w:top w:val="single" w:sz="4" w:space="0" w:color="0067AB"/>
              <w:left w:val="single" w:sz="4" w:space="0" w:color="0067AB"/>
              <w:bottom w:val="single" w:sz="4" w:space="0" w:color="0067AB"/>
              <w:right w:val="single" w:sz="4" w:space="0" w:color="0067AB"/>
            </w:tcBorders>
            <w:noWrap/>
          </w:tcPr>
          <w:p w14:paraId="29F85C11"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sz w:val="20"/>
                <w:szCs w:val="20"/>
              </w:rPr>
              <w:t>CNG</w:t>
            </w:r>
          </w:p>
        </w:tc>
        <w:tc>
          <w:tcPr>
            <w:tcW w:w="1780" w:type="dxa"/>
            <w:tcBorders>
              <w:top w:val="single" w:sz="4" w:space="0" w:color="0067AB"/>
              <w:left w:val="single" w:sz="4" w:space="0" w:color="0067AB"/>
              <w:bottom w:val="single" w:sz="4" w:space="0" w:color="0067AB"/>
              <w:right w:val="single" w:sz="4" w:space="0" w:color="0067AB"/>
            </w:tcBorders>
            <w:noWrap/>
          </w:tcPr>
          <w:p w14:paraId="37F0CD98"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21</w:t>
            </w:r>
          </w:p>
        </w:tc>
        <w:tc>
          <w:tcPr>
            <w:tcW w:w="1872" w:type="dxa"/>
            <w:tcBorders>
              <w:top w:val="single" w:sz="4" w:space="0" w:color="0067AB"/>
              <w:left w:val="single" w:sz="4" w:space="0" w:color="0067AB"/>
              <w:bottom w:val="single" w:sz="4" w:space="0" w:color="0067AB"/>
              <w:right w:val="single" w:sz="4" w:space="0" w:color="0067AB"/>
            </w:tcBorders>
            <w:noWrap/>
          </w:tcPr>
          <w:p w14:paraId="2C0C1CC2"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0.121</w:t>
            </w:r>
          </w:p>
        </w:tc>
        <w:tc>
          <w:tcPr>
            <w:tcW w:w="1660" w:type="dxa"/>
            <w:tcBorders>
              <w:top w:val="single" w:sz="4" w:space="0" w:color="0067AB"/>
              <w:left w:val="single" w:sz="4" w:space="0" w:color="0067AB"/>
              <w:bottom w:val="single" w:sz="4" w:space="0" w:color="0067AB"/>
              <w:right w:val="single" w:sz="4" w:space="0" w:color="0067AB"/>
            </w:tcBorders>
            <w:noWrap/>
          </w:tcPr>
          <w:p w14:paraId="67B7FE77"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$2,006,306</w:t>
            </w:r>
          </w:p>
        </w:tc>
      </w:tr>
      <w:tr w:rsidR="00350F25" w:rsidRPr="00454563" w14:paraId="24EB2095" w14:textId="77777777" w:rsidTr="0010295D">
        <w:trPr>
          <w:trHeight w:val="300"/>
        </w:trPr>
        <w:tc>
          <w:tcPr>
            <w:tcW w:w="1584" w:type="dxa"/>
            <w:tcBorders>
              <w:top w:val="single" w:sz="4" w:space="0" w:color="0067AB"/>
              <w:left w:val="single" w:sz="4" w:space="0" w:color="0067AB"/>
              <w:bottom w:val="single" w:sz="4" w:space="0" w:color="0067AB"/>
              <w:right w:val="single" w:sz="4" w:space="0" w:color="0067AB"/>
            </w:tcBorders>
            <w:noWrap/>
          </w:tcPr>
          <w:p w14:paraId="4BDDBD31"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sz w:val="20"/>
                <w:szCs w:val="20"/>
              </w:rPr>
              <w:t>Diesel</w:t>
            </w:r>
          </w:p>
        </w:tc>
        <w:tc>
          <w:tcPr>
            <w:tcW w:w="2304" w:type="dxa"/>
            <w:tcBorders>
              <w:top w:val="single" w:sz="4" w:space="0" w:color="0067AB"/>
              <w:left w:val="single" w:sz="4" w:space="0" w:color="0067AB"/>
              <w:bottom w:val="single" w:sz="4" w:space="0" w:color="0067AB"/>
              <w:right w:val="single" w:sz="4" w:space="0" w:color="0067AB"/>
            </w:tcBorders>
            <w:noWrap/>
          </w:tcPr>
          <w:p w14:paraId="14AFE73B"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sz w:val="20"/>
                <w:szCs w:val="20"/>
              </w:rPr>
              <w:t>RCNG</w:t>
            </w:r>
          </w:p>
        </w:tc>
        <w:tc>
          <w:tcPr>
            <w:tcW w:w="1780" w:type="dxa"/>
            <w:tcBorders>
              <w:top w:val="single" w:sz="4" w:space="0" w:color="0067AB"/>
              <w:left w:val="single" w:sz="4" w:space="0" w:color="0067AB"/>
              <w:bottom w:val="single" w:sz="4" w:space="0" w:color="0067AB"/>
              <w:right w:val="single" w:sz="4" w:space="0" w:color="0067AB"/>
            </w:tcBorders>
            <w:noWrap/>
          </w:tcPr>
          <w:p w14:paraId="3B468186"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21</w:t>
            </w:r>
          </w:p>
        </w:tc>
        <w:tc>
          <w:tcPr>
            <w:tcW w:w="1872" w:type="dxa"/>
            <w:tcBorders>
              <w:top w:val="single" w:sz="4" w:space="0" w:color="0067AB"/>
              <w:left w:val="single" w:sz="4" w:space="0" w:color="0067AB"/>
              <w:bottom w:val="single" w:sz="4" w:space="0" w:color="0067AB"/>
              <w:right w:val="single" w:sz="4" w:space="0" w:color="0067AB"/>
            </w:tcBorders>
            <w:noWrap/>
          </w:tcPr>
          <w:p w14:paraId="1AE3C946"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0.121</w:t>
            </w:r>
          </w:p>
        </w:tc>
        <w:tc>
          <w:tcPr>
            <w:tcW w:w="1660" w:type="dxa"/>
            <w:tcBorders>
              <w:top w:val="single" w:sz="4" w:space="0" w:color="0067AB"/>
              <w:left w:val="single" w:sz="4" w:space="0" w:color="0067AB"/>
              <w:bottom w:val="single" w:sz="4" w:space="0" w:color="0067AB"/>
              <w:right w:val="single" w:sz="4" w:space="0" w:color="0067AB"/>
            </w:tcBorders>
            <w:noWrap/>
          </w:tcPr>
          <w:p w14:paraId="2FAD42DF"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$2,006,306</w:t>
            </w:r>
          </w:p>
        </w:tc>
      </w:tr>
      <w:tr w:rsidR="00350F25" w:rsidRPr="00454563" w14:paraId="0FAC5D57" w14:textId="77777777" w:rsidTr="0010295D">
        <w:trPr>
          <w:trHeight w:val="300"/>
        </w:trPr>
        <w:tc>
          <w:tcPr>
            <w:tcW w:w="1584" w:type="dxa"/>
            <w:tcBorders>
              <w:top w:val="single" w:sz="4" w:space="0" w:color="0067AB"/>
              <w:left w:val="single" w:sz="4" w:space="0" w:color="0067AB"/>
              <w:bottom w:val="single" w:sz="4" w:space="0" w:color="0067AB"/>
              <w:right w:val="single" w:sz="4" w:space="0" w:color="0067AB"/>
            </w:tcBorders>
            <w:noWrap/>
          </w:tcPr>
          <w:p w14:paraId="6B4DB71D" w14:textId="77777777" w:rsidR="00350F25" w:rsidRPr="0010295D" w:rsidRDefault="00350F25" w:rsidP="00350F25">
            <w:pPr>
              <w:pStyle w:val="BodyText"/>
              <w:spacing w:after="0"/>
              <w:rPr>
                <w:rFonts w:asciiTheme="minorHAnsi" w:hAnsiTheme="minorHAnsi" w:cstheme="minorHAnsi"/>
                <w:sz w:val="20"/>
                <w:szCs w:val="20"/>
              </w:rPr>
            </w:pPr>
            <w:r w:rsidRPr="0010295D">
              <w:rPr>
                <w:rFonts w:asciiTheme="minorHAnsi" w:hAnsiTheme="minorHAnsi" w:cstheme="minorHAnsi"/>
                <w:sz w:val="20"/>
                <w:szCs w:val="20"/>
              </w:rPr>
              <w:t>Diesel</w:t>
            </w:r>
          </w:p>
        </w:tc>
        <w:tc>
          <w:tcPr>
            <w:tcW w:w="2304" w:type="dxa"/>
            <w:tcBorders>
              <w:top w:val="single" w:sz="4" w:space="0" w:color="0067AB"/>
              <w:left w:val="single" w:sz="4" w:space="0" w:color="0067AB"/>
              <w:bottom w:val="single" w:sz="4" w:space="0" w:color="0067AB"/>
              <w:right w:val="single" w:sz="4" w:space="0" w:color="0067AB"/>
            </w:tcBorders>
            <w:noWrap/>
          </w:tcPr>
          <w:p w14:paraId="1F76BC36" w14:textId="77777777" w:rsidR="00350F25" w:rsidRPr="0010295D" w:rsidRDefault="00350F25" w:rsidP="00350F25">
            <w:pPr>
              <w:pStyle w:val="BodyText"/>
              <w:spacing w:after="0"/>
              <w:rPr>
                <w:rFonts w:asciiTheme="minorHAnsi" w:hAnsiTheme="minorHAnsi" w:cstheme="minorHAnsi"/>
                <w:sz w:val="20"/>
                <w:szCs w:val="20"/>
              </w:rPr>
            </w:pPr>
            <w:r w:rsidRPr="0010295D">
              <w:rPr>
                <w:rFonts w:asciiTheme="minorHAnsi" w:hAnsiTheme="minorHAnsi" w:cstheme="minorHAnsi"/>
                <w:sz w:val="20"/>
                <w:szCs w:val="20"/>
              </w:rPr>
              <w:t>CNG+LowNOx</w:t>
            </w:r>
          </w:p>
        </w:tc>
        <w:tc>
          <w:tcPr>
            <w:tcW w:w="1780" w:type="dxa"/>
            <w:tcBorders>
              <w:top w:val="single" w:sz="4" w:space="0" w:color="0067AB"/>
              <w:left w:val="single" w:sz="4" w:space="0" w:color="0067AB"/>
              <w:bottom w:val="single" w:sz="4" w:space="0" w:color="0067AB"/>
              <w:right w:val="single" w:sz="4" w:space="0" w:color="0067AB"/>
            </w:tcBorders>
            <w:noWrap/>
          </w:tcPr>
          <w:p w14:paraId="291F3404" w14:textId="77777777" w:rsidR="00350F25" w:rsidRPr="0010295D" w:rsidRDefault="00350F25" w:rsidP="00350F25">
            <w:pPr>
              <w:pStyle w:val="BodyText"/>
              <w:spacing w:after="0"/>
              <w:jc w:val="center"/>
              <w:rPr>
                <w:rFonts w:asciiTheme="minorHAnsi" w:hAnsiTheme="minorHAnsi" w:cstheme="minorHAnsi"/>
                <w:sz w:val="20"/>
                <w:szCs w:val="20"/>
              </w:rPr>
            </w:pPr>
            <w:r w:rsidRPr="0010295D">
              <w:rPr>
                <w:rFonts w:asciiTheme="minorHAnsi" w:hAnsiTheme="minorHAnsi" w:cstheme="minorHAnsi"/>
                <w:iCs/>
                <w:sz w:val="20"/>
                <w:szCs w:val="20"/>
              </w:rPr>
              <w:t>19</w:t>
            </w:r>
          </w:p>
        </w:tc>
        <w:tc>
          <w:tcPr>
            <w:tcW w:w="1872" w:type="dxa"/>
            <w:tcBorders>
              <w:top w:val="single" w:sz="4" w:space="0" w:color="0067AB"/>
              <w:left w:val="single" w:sz="4" w:space="0" w:color="0067AB"/>
              <w:bottom w:val="single" w:sz="4" w:space="0" w:color="0067AB"/>
              <w:right w:val="single" w:sz="4" w:space="0" w:color="0067AB"/>
            </w:tcBorders>
            <w:noWrap/>
          </w:tcPr>
          <w:p w14:paraId="2D1B5379" w14:textId="77777777" w:rsidR="00350F25" w:rsidRPr="0010295D" w:rsidRDefault="00350F25" w:rsidP="00350F25">
            <w:pPr>
              <w:pStyle w:val="BodyText"/>
              <w:spacing w:after="0"/>
              <w:jc w:val="center"/>
              <w:rPr>
                <w:rFonts w:asciiTheme="minorHAnsi" w:hAnsiTheme="minorHAnsi" w:cstheme="minorHAnsi"/>
                <w:sz w:val="20"/>
                <w:szCs w:val="20"/>
              </w:rPr>
            </w:pPr>
            <w:r w:rsidRPr="0010295D">
              <w:rPr>
                <w:rFonts w:asciiTheme="minorHAnsi" w:hAnsiTheme="minorHAnsi" w:cstheme="minorHAnsi"/>
                <w:sz w:val="20"/>
                <w:szCs w:val="20"/>
              </w:rPr>
              <w:t>0.109</w:t>
            </w:r>
          </w:p>
        </w:tc>
        <w:tc>
          <w:tcPr>
            <w:tcW w:w="1660" w:type="dxa"/>
            <w:tcBorders>
              <w:top w:val="single" w:sz="4" w:space="0" w:color="0067AB"/>
              <w:left w:val="single" w:sz="4" w:space="0" w:color="0067AB"/>
              <w:bottom w:val="single" w:sz="4" w:space="0" w:color="0067AB"/>
              <w:right w:val="single" w:sz="4" w:space="0" w:color="0067AB"/>
            </w:tcBorders>
            <w:noWrap/>
          </w:tcPr>
          <w:p w14:paraId="0C5E1084" w14:textId="77777777" w:rsidR="00350F25" w:rsidRPr="0010295D" w:rsidRDefault="00350F25" w:rsidP="00350F25">
            <w:pPr>
              <w:pStyle w:val="BodyText"/>
              <w:spacing w:after="0"/>
              <w:jc w:val="center"/>
              <w:rPr>
                <w:rFonts w:asciiTheme="minorHAnsi" w:hAnsiTheme="minorHAnsi" w:cstheme="minorHAnsi"/>
                <w:sz w:val="20"/>
                <w:szCs w:val="20"/>
              </w:rPr>
            </w:pPr>
            <w:r w:rsidRPr="0010295D">
              <w:rPr>
                <w:rFonts w:asciiTheme="minorHAnsi" w:hAnsiTheme="minorHAnsi" w:cstheme="minorHAnsi"/>
                <w:sz w:val="20"/>
                <w:szCs w:val="20"/>
              </w:rPr>
              <w:t>$2,224,092</w:t>
            </w:r>
          </w:p>
        </w:tc>
      </w:tr>
      <w:tr w:rsidR="00350F25" w:rsidRPr="00454563" w14:paraId="71752AE6" w14:textId="77777777" w:rsidTr="0010295D">
        <w:trPr>
          <w:trHeight w:val="300"/>
        </w:trPr>
        <w:tc>
          <w:tcPr>
            <w:tcW w:w="1584" w:type="dxa"/>
            <w:tcBorders>
              <w:top w:val="single" w:sz="4" w:space="0" w:color="0067AB"/>
              <w:left w:val="single" w:sz="4" w:space="0" w:color="0067AB"/>
              <w:bottom w:val="single" w:sz="4" w:space="0" w:color="0067AB"/>
              <w:right w:val="single" w:sz="4" w:space="0" w:color="0067AB"/>
            </w:tcBorders>
            <w:noWrap/>
          </w:tcPr>
          <w:p w14:paraId="62858DB9" w14:textId="77777777" w:rsidR="00350F25" w:rsidRPr="0010295D" w:rsidRDefault="00350F25" w:rsidP="00350F25">
            <w:pPr>
              <w:pStyle w:val="BodyText"/>
              <w:spacing w:after="0"/>
              <w:rPr>
                <w:rFonts w:asciiTheme="minorHAnsi" w:hAnsiTheme="minorHAnsi" w:cstheme="minorHAnsi"/>
                <w:sz w:val="20"/>
                <w:szCs w:val="20"/>
              </w:rPr>
            </w:pPr>
            <w:r w:rsidRPr="0010295D">
              <w:rPr>
                <w:rFonts w:asciiTheme="minorHAnsi" w:hAnsiTheme="minorHAnsi" w:cstheme="minorHAnsi"/>
                <w:sz w:val="20"/>
                <w:szCs w:val="20"/>
              </w:rPr>
              <w:t>Diesel</w:t>
            </w:r>
          </w:p>
        </w:tc>
        <w:tc>
          <w:tcPr>
            <w:tcW w:w="2304" w:type="dxa"/>
            <w:tcBorders>
              <w:top w:val="single" w:sz="4" w:space="0" w:color="0067AB"/>
              <w:left w:val="single" w:sz="4" w:space="0" w:color="0067AB"/>
              <w:bottom w:val="single" w:sz="4" w:space="0" w:color="0067AB"/>
              <w:right w:val="single" w:sz="4" w:space="0" w:color="0067AB"/>
            </w:tcBorders>
            <w:noWrap/>
          </w:tcPr>
          <w:p w14:paraId="389AD81C" w14:textId="77777777" w:rsidR="00350F25" w:rsidRPr="0010295D" w:rsidRDefault="00350F25" w:rsidP="00350F25">
            <w:pPr>
              <w:pStyle w:val="BodyText"/>
              <w:spacing w:after="0"/>
              <w:rPr>
                <w:rFonts w:asciiTheme="minorHAnsi" w:hAnsiTheme="minorHAnsi" w:cstheme="minorHAnsi"/>
                <w:sz w:val="20"/>
                <w:szCs w:val="20"/>
              </w:rPr>
            </w:pPr>
            <w:r w:rsidRPr="0010295D">
              <w:rPr>
                <w:rFonts w:asciiTheme="minorHAnsi" w:hAnsiTheme="minorHAnsi" w:cstheme="minorHAnsi"/>
                <w:sz w:val="20"/>
                <w:szCs w:val="20"/>
              </w:rPr>
              <w:t>RCNG+LowNOx</w:t>
            </w:r>
          </w:p>
        </w:tc>
        <w:tc>
          <w:tcPr>
            <w:tcW w:w="1780" w:type="dxa"/>
            <w:tcBorders>
              <w:top w:val="single" w:sz="4" w:space="0" w:color="0067AB"/>
              <w:left w:val="single" w:sz="4" w:space="0" w:color="0067AB"/>
              <w:bottom w:val="single" w:sz="4" w:space="0" w:color="0067AB"/>
              <w:right w:val="single" w:sz="4" w:space="0" w:color="0067AB"/>
            </w:tcBorders>
            <w:noWrap/>
          </w:tcPr>
          <w:p w14:paraId="27618536" w14:textId="77777777" w:rsidR="00350F25" w:rsidRPr="0010295D" w:rsidRDefault="00350F25" w:rsidP="00350F25">
            <w:pPr>
              <w:pStyle w:val="BodyText"/>
              <w:spacing w:after="0"/>
              <w:jc w:val="center"/>
              <w:rPr>
                <w:rFonts w:asciiTheme="minorHAnsi" w:hAnsiTheme="minorHAnsi" w:cstheme="minorHAnsi"/>
                <w:sz w:val="20"/>
                <w:szCs w:val="20"/>
              </w:rPr>
            </w:pPr>
            <w:r w:rsidRPr="0010295D">
              <w:rPr>
                <w:rFonts w:asciiTheme="minorHAnsi" w:hAnsiTheme="minorHAnsi" w:cstheme="minorHAnsi"/>
                <w:iCs/>
                <w:sz w:val="20"/>
                <w:szCs w:val="20"/>
              </w:rPr>
              <w:t>19</w:t>
            </w:r>
          </w:p>
        </w:tc>
        <w:tc>
          <w:tcPr>
            <w:tcW w:w="1872" w:type="dxa"/>
            <w:tcBorders>
              <w:top w:val="single" w:sz="4" w:space="0" w:color="0067AB"/>
              <w:left w:val="single" w:sz="4" w:space="0" w:color="0067AB"/>
              <w:bottom w:val="single" w:sz="4" w:space="0" w:color="0067AB"/>
              <w:right w:val="single" w:sz="4" w:space="0" w:color="0067AB"/>
            </w:tcBorders>
            <w:noWrap/>
          </w:tcPr>
          <w:p w14:paraId="634036B1" w14:textId="77777777" w:rsidR="00350F25" w:rsidRPr="0010295D" w:rsidRDefault="00350F25" w:rsidP="00350F25">
            <w:pPr>
              <w:pStyle w:val="BodyText"/>
              <w:spacing w:after="0"/>
              <w:jc w:val="center"/>
              <w:rPr>
                <w:rFonts w:asciiTheme="minorHAnsi" w:hAnsiTheme="minorHAnsi" w:cstheme="minorHAnsi"/>
                <w:sz w:val="20"/>
                <w:szCs w:val="20"/>
              </w:rPr>
            </w:pPr>
            <w:r w:rsidRPr="0010295D">
              <w:rPr>
                <w:rFonts w:asciiTheme="minorHAnsi" w:hAnsiTheme="minorHAnsi" w:cstheme="minorHAnsi"/>
                <w:sz w:val="20"/>
                <w:szCs w:val="20"/>
              </w:rPr>
              <w:t>0.109</w:t>
            </w:r>
          </w:p>
        </w:tc>
        <w:tc>
          <w:tcPr>
            <w:tcW w:w="1660" w:type="dxa"/>
            <w:tcBorders>
              <w:top w:val="single" w:sz="4" w:space="0" w:color="0067AB"/>
              <w:left w:val="single" w:sz="4" w:space="0" w:color="0067AB"/>
              <w:bottom w:val="single" w:sz="4" w:space="0" w:color="0067AB"/>
              <w:right w:val="single" w:sz="4" w:space="0" w:color="0067AB"/>
            </w:tcBorders>
            <w:noWrap/>
          </w:tcPr>
          <w:p w14:paraId="317F087B" w14:textId="77777777" w:rsidR="00350F25" w:rsidRPr="0010295D" w:rsidRDefault="00350F25" w:rsidP="00350F25">
            <w:pPr>
              <w:pStyle w:val="BodyText"/>
              <w:spacing w:after="0"/>
              <w:jc w:val="center"/>
              <w:rPr>
                <w:rFonts w:asciiTheme="minorHAnsi" w:hAnsiTheme="minorHAnsi" w:cstheme="minorHAnsi"/>
                <w:sz w:val="20"/>
                <w:szCs w:val="20"/>
              </w:rPr>
            </w:pPr>
            <w:r w:rsidRPr="0010295D">
              <w:rPr>
                <w:rFonts w:asciiTheme="minorHAnsi" w:hAnsiTheme="minorHAnsi" w:cstheme="minorHAnsi"/>
                <w:sz w:val="20"/>
                <w:szCs w:val="20"/>
              </w:rPr>
              <w:t>$2,224,092</w:t>
            </w:r>
          </w:p>
        </w:tc>
      </w:tr>
      <w:tr w:rsidR="00350F25" w:rsidRPr="00454563" w14:paraId="496904E6" w14:textId="77777777" w:rsidTr="0010295D">
        <w:trPr>
          <w:trHeight w:val="300"/>
        </w:trPr>
        <w:tc>
          <w:tcPr>
            <w:tcW w:w="1584" w:type="dxa"/>
            <w:tcBorders>
              <w:top w:val="single" w:sz="4" w:space="0" w:color="0067AB"/>
              <w:left w:val="single" w:sz="4" w:space="0" w:color="0067AB"/>
              <w:bottom w:val="single" w:sz="4" w:space="0" w:color="0067AB"/>
              <w:right w:val="single" w:sz="4" w:space="0" w:color="0067AB"/>
            </w:tcBorders>
            <w:noWrap/>
          </w:tcPr>
          <w:p w14:paraId="36FBC00D"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sz w:val="20"/>
                <w:szCs w:val="20"/>
              </w:rPr>
              <w:t>Diesel</w:t>
            </w:r>
          </w:p>
        </w:tc>
        <w:tc>
          <w:tcPr>
            <w:tcW w:w="2304" w:type="dxa"/>
            <w:tcBorders>
              <w:top w:val="single" w:sz="4" w:space="0" w:color="0067AB"/>
              <w:left w:val="single" w:sz="4" w:space="0" w:color="0067AB"/>
              <w:bottom w:val="single" w:sz="4" w:space="0" w:color="0067AB"/>
              <w:right w:val="single" w:sz="4" w:space="0" w:color="0067AB"/>
            </w:tcBorders>
            <w:noWrap/>
          </w:tcPr>
          <w:p w14:paraId="73038E5B"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sz w:val="20"/>
                <w:szCs w:val="20"/>
              </w:rPr>
              <w:t>Propane</w:t>
            </w:r>
          </w:p>
        </w:tc>
        <w:tc>
          <w:tcPr>
            <w:tcW w:w="1780" w:type="dxa"/>
            <w:tcBorders>
              <w:top w:val="single" w:sz="4" w:space="0" w:color="0067AB"/>
              <w:left w:val="single" w:sz="4" w:space="0" w:color="0067AB"/>
              <w:bottom w:val="single" w:sz="4" w:space="0" w:color="0067AB"/>
              <w:right w:val="single" w:sz="4" w:space="0" w:color="0067AB"/>
            </w:tcBorders>
            <w:noWrap/>
          </w:tcPr>
          <w:p w14:paraId="6A793EE1"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28</w:t>
            </w:r>
          </w:p>
        </w:tc>
        <w:tc>
          <w:tcPr>
            <w:tcW w:w="1872" w:type="dxa"/>
            <w:tcBorders>
              <w:top w:val="single" w:sz="4" w:space="0" w:color="0067AB"/>
              <w:left w:val="single" w:sz="4" w:space="0" w:color="0067AB"/>
              <w:bottom w:val="single" w:sz="4" w:space="0" w:color="0067AB"/>
              <w:right w:val="single" w:sz="4" w:space="0" w:color="0067AB"/>
            </w:tcBorders>
            <w:noWrap/>
          </w:tcPr>
          <w:p w14:paraId="486E2776"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0.161</w:t>
            </w:r>
          </w:p>
        </w:tc>
        <w:tc>
          <w:tcPr>
            <w:tcW w:w="1660" w:type="dxa"/>
            <w:tcBorders>
              <w:top w:val="single" w:sz="4" w:space="0" w:color="0067AB"/>
              <w:left w:val="single" w:sz="4" w:space="0" w:color="0067AB"/>
              <w:bottom w:val="single" w:sz="4" w:space="0" w:color="0067AB"/>
              <w:right w:val="single" w:sz="4" w:space="0" w:color="0067AB"/>
            </w:tcBorders>
            <w:noWrap/>
          </w:tcPr>
          <w:p w14:paraId="44ECBF05"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$1,505,399</w:t>
            </w:r>
          </w:p>
        </w:tc>
      </w:tr>
      <w:tr w:rsidR="00350F25" w:rsidRPr="00454563" w14:paraId="2A8EC5A5" w14:textId="77777777" w:rsidTr="0010295D">
        <w:trPr>
          <w:trHeight w:val="300"/>
        </w:trPr>
        <w:tc>
          <w:tcPr>
            <w:tcW w:w="1584" w:type="dxa"/>
            <w:tcBorders>
              <w:top w:val="single" w:sz="4" w:space="0" w:color="0067AB"/>
              <w:left w:val="single" w:sz="4" w:space="0" w:color="0067AB"/>
              <w:bottom w:val="single" w:sz="4" w:space="0" w:color="0067AB"/>
              <w:right w:val="single" w:sz="4" w:space="0" w:color="0067AB"/>
            </w:tcBorders>
            <w:noWrap/>
          </w:tcPr>
          <w:p w14:paraId="5CEDBC7A"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sz w:val="20"/>
                <w:szCs w:val="20"/>
              </w:rPr>
              <w:t>Diesel</w:t>
            </w:r>
          </w:p>
        </w:tc>
        <w:tc>
          <w:tcPr>
            <w:tcW w:w="2304" w:type="dxa"/>
            <w:tcBorders>
              <w:top w:val="single" w:sz="4" w:space="0" w:color="0067AB"/>
              <w:left w:val="single" w:sz="4" w:space="0" w:color="0067AB"/>
              <w:bottom w:val="single" w:sz="4" w:space="0" w:color="0067AB"/>
              <w:right w:val="single" w:sz="4" w:space="0" w:color="0067AB"/>
            </w:tcBorders>
            <w:noWrap/>
          </w:tcPr>
          <w:p w14:paraId="276474C1"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sz w:val="20"/>
                <w:szCs w:val="20"/>
              </w:rPr>
              <w:t>Hybrid</w:t>
            </w:r>
          </w:p>
        </w:tc>
        <w:tc>
          <w:tcPr>
            <w:tcW w:w="1780" w:type="dxa"/>
            <w:tcBorders>
              <w:top w:val="single" w:sz="4" w:space="0" w:color="0067AB"/>
              <w:left w:val="single" w:sz="4" w:space="0" w:color="0067AB"/>
              <w:bottom w:val="single" w:sz="4" w:space="0" w:color="0067AB"/>
              <w:right w:val="single" w:sz="4" w:space="0" w:color="0067AB"/>
            </w:tcBorders>
            <w:noWrap/>
          </w:tcPr>
          <w:p w14:paraId="53DFE12F"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27</w:t>
            </w:r>
          </w:p>
        </w:tc>
        <w:tc>
          <w:tcPr>
            <w:tcW w:w="1872" w:type="dxa"/>
            <w:tcBorders>
              <w:top w:val="single" w:sz="4" w:space="0" w:color="0067AB"/>
              <w:left w:val="single" w:sz="4" w:space="0" w:color="0067AB"/>
              <w:bottom w:val="single" w:sz="4" w:space="0" w:color="0067AB"/>
              <w:right w:val="single" w:sz="4" w:space="0" w:color="0067AB"/>
            </w:tcBorders>
            <w:noWrap/>
          </w:tcPr>
          <w:p w14:paraId="4ECEB671"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0.157</w:t>
            </w:r>
          </w:p>
        </w:tc>
        <w:tc>
          <w:tcPr>
            <w:tcW w:w="1660" w:type="dxa"/>
            <w:tcBorders>
              <w:top w:val="single" w:sz="4" w:space="0" w:color="0067AB"/>
              <w:left w:val="single" w:sz="4" w:space="0" w:color="0067AB"/>
              <w:bottom w:val="single" w:sz="4" w:space="0" w:color="0067AB"/>
              <w:right w:val="single" w:sz="4" w:space="0" w:color="0067AB"/>
            </w:tcBorders>
            <w:noWrap/>
          </w:tcPr>
          <w:p w14:paraId="6B39FC3E"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$1,546,154</w:t>
            </w:r>
          </w:p>
        </w:tc>
      </w:tr>
      <w:tr w:rsidR="00350F25" w:rsidRPr="00454563" w14:paraId="52CA4019" w14:textId="77777777" w:rsidTr="0010295D">
        <w:trPr>
          <w:trHeight w:val="300"/>
        </w:trPr>
        <w:tc>
          <w:tcPr>
            <w:tcW w:w="1584" w:type="dxa"/>
            <w:tcBorders>
              <w:top w:val="single" w:sz="4" w:space="0" w:color="0067AB"/>
              <w:left w:val="single" w:sz="4" w:space="0" w:color="0067AB"/>
              <w:bottom w:val="single" w:sz="4" w:space="0" w:color="0067AB"/>
              <w:right w:val="single" w:sz="4" w:space="0" w:color="0067AB"/>
            </w:tcBorders>
            <w:noWrap/>
          </w:tcPr>
          <w:p w14:paraId="42410CCE"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sz w:val="20"/>
                <w:szCs w:val="20"/>
              </w:rPr>
              <w:t>Diesel</w:t>
            </w:r>
          </w:p>
        </w:tc>
        <w:tc>
          <w:tcPr>
            <w:tcW w:w="2304" w:type="dxa"/>
            <w:tcBorders>
              <w:top w:val="single" w:sz="4" w:space="0" w:color="0067AB"/>
              <w:left w:val="single" w:sz="4" w:space="0" w:color="0067AB"/>
              <w:bottom w:val="single" w:sz="4" w:space="0" w:color="0067AB"/>
              <w:right w:val="single" w:sz="4" w:space="0" w:color="0067AB"/>
            </w:tcBorders>
            <w:noWrap/>
          </w:tcPr>
          <w:p w14:paraId="549507B6" w14:textId="77777777" w:rsidR="00350F25" w:rsidRPr="0010295D" w:rsidRDefault="00350F25" w:rsidP="00350F25">
            <w:pPr>
              <w:pStyle w:val="BodyText"/>
              <w:spacing w:after="0"/>
              <w:rPr>
                <w:rFonts w:asciiTheme="minorHAnsi" w:hAnsiTheme="minorHAnsi" w:cstheme="minorHAnsi"/>
                <w:iCs/>
                <w:sz w:val="20"/>
                <w:szCs w:val="20"/>
              </w:rPr>
            </w:pPr>
            <w:r w:rsidRPr="0010295D">
              <w:rPr>
                <w:rFonts w:asciiTheme="minorHAnsi" w:hAnsiTheme="minorHAnsi" w:cstheme="minorHAnsi"/>
                <w:sz w:val="20"/>
                <w:szCs w:val="20"/>
              </w:rPr>
              <w:t>Electric</w:t>
            </w:r>
          </w:p>
        </w:tc>
        <w:tc>
          <w:tcPr>
            <w:tcW w:w="1780" w:type="dxa"/>
            <w:tcBorders>
              <w:top w:val="single" w:sz="4" w:space="0" w:color="0067AB"/>
              <w:left w:val="single" w:sz="4" w:space="0" w:color="0067AB"/>
              <w:bottom w:val="single" w:sz="4" w:space="0" w:color="0067AB"/>
              <w:right w:val="single" w:sz="4" w:space="0" w:color="0067AB"/>
            </w:tcBorders>
            <w:noWrap/>
          </w:tcPr>
          <w:p w14:paraId="7455B8E4"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20</w:t>
            </w:r>
          </w:p>
        </w:tc>
        <w:tc>
          <w:tcPr>
            <w:tcW w:w="1872" w:type="dxa"/>
            <w:tcBorders>
              <w:top w:val="single" w:sz="4" w:space="0" w:color="0067AB"/>
              <w:left w:val="single" w:sz="4" w:space="0" w:color="0067AB"/>
              <w:bottom w:val="single" w:sz="4" w:space="0" w:color="0067AB"/>
              <w:right w:val="single" w:sz="4" w:space="0" w:color="0067AB"/>
            </w:tcBorders>
            <w:noWrap/>
          </w:tcPr>
          <w:p w14:paraId="17A2F2A0"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0.120</w:t>
            </w:r>
          </w:p>
        </w:tc>
        <w:tc>
          <w:tcPr>
            <w:tcW w:w="1660" w:type="dxa"/>
            <w:tcBorders>
              <w:top w:val="single" w:sz="4" w:space="0" w:color="0067AB"/>
              <w:left w:val="single" w:sz="4" w:space="0" w:color="0067AB"/>
              <w:bottom w:val="single" w:sz="4" w:space="0" w:color="0067AB"/>
              <w:right w:val="single" w:sz="4" w:space="0" w:color="0067AB"/>
            </w:tcBorders>
            <w:noWrap/>
          </w:tcPr>
          <w:p w14:paraId="614297E6" w14:textId="77777777" w:rsidR="00350F25" w:rsidRPr="0010295D" w:rsidRDefault="00350F25" w:rsidP="00350F25">
            <w:pPr>
              <w:pStyle w:val="BodyText"/>
              <w:spacing w:after="0"/>
              <w:jc w:val="center"/>
              <w:rPr>
                <w:rFonts w:asciiTheme="minorHAnsi" w:hAnsiTheme="minorHAnsi" w:cstheme="minorHAnsi"/>
                <w:iCs/>
                <w:sz w:val="20"/>
                <w:szCs w:val="20"/>
              </w:rPr>
            </w:pPr>
            <w:r w:rsidRPr="0010295D">
              <w:rPr>
                <w:rFonts w:asciiTheme="minorHAnsi" w:hAnsiTheme="minorHAnsi" w:cstheme="minorHAnsi"/>
                <w:sz w:val="20"/>
                <w:szCs w:val="20"/>
              </w:rPr>
              <w:t>$2,025,136</w:t>
            </w:r>
          </w:p>
        </w:tc>
      </w:tr>
    </w:tbl>
    <w:p w14:paraId="3409EE5A" w14:textId="77777777" w:rsidR="00350F25" w:rsidRDefault="00350F25" w:rsidP="00350F25">
      <w:pPr>
        <w:pStyle w:val="BodyText"/>
        <w:rPr>
          <w:iCs/>
        </w:rPr>
      </w:pPr>
    </w:p>
    <w:p w14:paraId="7C09C26A" w14:textId="77777777" w:rsidR="00350F25" w:rsidRDefault="00350F25" w:rsidP="00350F25">
      <w:pPr>
        <w:pStyle w:val="BodyText"/>
        <w:rPr>
          <w:iCs/>
        </w:rPr>
      </w:pPr>
      <w:r>
        <w:rPr>
          <w:iCs/>
        </w:rPr>
        <w:t xml:space="preserve">Because of the cost of replacing trucks is high, replacement programs are generally expensive and cannot fully cover the cost of many trucks. With $2 million available for capital costs, a program administrator could fund the replacement of 21 gasoline or diesel trucks with CNG trucks or 27 with hybrid trucks. Note that the Tool assumes there is no value to the scrapped diesel truck being replaced and thus assumes the program covers the total cost of a new truck. </w:t>
      </w:r>
    </w:p>
    <w:p w14:paraId="1D7466E7" w14:textId="77777777" w:rsidR="00350F25" w:rsidRDefault="00350F25" w:rsidP="00350F25">
      <w:pPr>
        <w:pStyle w:val="BodyText"/>
        <w:rPr>
          <w:iCs/>
        </w:rPr>
      </w:pPr>
      <w:r>
        <w:rPr>
          <w:iCs/>
        </w:rPr>
        <w:t>Because gasoline trucks already have relatively low PM emissions, alternative fuel trucks do not offer large PM reduction benefits. Even though diesel trucks have larger PM emissions than gasoline, these alternative fuel strategies have limited PM benefits. The funding level only allows for 20 to 30 trucks to be replaced resulting in PM reductions only in the hundreds of pounds per year.</w:t>
      </w:r>
    </w:p>
    <w:p w14:paraId="159C7247" w14:textId="171D1979" w:rsidR="00350F25" w:rsidRDefault="00350F25" w:rsidP="00350F25">
      <w:pPr>
        <w:pStyle w:val="BodyText"/>
        <w:rPr>
          <w:iCs/>
        </w:rPr>
      </w:pPr>
      <w:r>
        <w:rPr>
          <w:iCs/>
        </w:rPr>
        <w:t xml:space="preserve">The relatively small reductions in PM emissions combined with the high cost of truck replacement, these strategies are not very cost effective for reducing PM emissions. Even with the most cost effective option (propane or hybrid trucks), it would cost over $1.5 million to reduce one ton of PM emission per year using an alternative fuel option. For the Funding Impact Analysis, only the vehicle capital costs are considered when calculating </w:t>
      </w:r>
      <w:r w:rsidR="001F7075">
        <w:rPr>
          <w:iCs/>
        </w:rPr>
        <w:t>cost effective</w:t>
      </w:r>
      <w:r>
        <w:rPr>
          <w:iCs/>
        </w:rPr>
        <w:t>ness.</w:t>
      </w:r>
    </w:p>
    <w:p w14:paraId="2DD8D6C6" w14:textId="77777777" w:rsidR="00350F25" w:rsidRPr="00140664" w:rsidRDefault="00350F25" w:rsidP="00350F25">
      <w:pPr>
        <w:pStyle w:val="Heading2"/>
      </w:pPr>
      <w:bookmarkStart w:id="115" w:name="_Toc482973578"/>
      <w:r w:rsidRPr="00140664">
        <w:t>Port Operator Case Study</w:t>
      </w:r>
      <w:bookmarkEnd w:id="115"/>
    </w:p>
    <w:p w14:paraId="72B4409E" w14:textId="77777777" w:rsidR="00350F25" w:rsidRPr="00140664" w:rsidRDefault="00350F25" w:rsidP="00350F25">
      <w:pPr>
        <w:pStyle w:val="BodyText"/>
        <w:pBdr>
          <w:top w:val="single" w:sz="4" w:space="1" w:color="auto"/>
          <w:left w:val="single" w:sz="4" w:space="4" w:color="auto"/>
          <w:bottom w:val="single" w:sz="4" w:space="1" w:color="auto"/>
          <w:right w:val="single" w:sz="4" w:space="4" w:color="auto"/>
        </w:pBdr>
        <w:shd w:val="clear" w:color="auto" w:fill="E3E3DF" w:themeFill="background2"/>
        <w:rPr>
          <w:b/>
          <w:i/>
        </w:rPr>
      </w:pPr>
      <w:r>
        <w:rPr>
          <w:b/>
          <w:i/>
        </w:rPr>
        <w:t xml:space="preserve">Scenario: </w:t>
      </w:r>
      <w:r w:rsidRPr="00140664">
        <w:rPr>
          <w:b/>
          <w:i/>
        </w:rPr>
        <w:t xml:space="preserve">As one of the larger </w:t>
      </w:r>
      <w:r>
        <w:rPr>
          <w:b/>
          <w:i/>
        </w:rPr>
        <w:t xml:space="preserve">pollution </w:t>
      </w:r>
      <w:r w:rsidRPr="00140664">
        <w:rPr>
          <w:b/>
          <w:i/>
        </w:rPr>
        <w:t xml:space="preserve">emitters in the region, the </w:t>
      </w:r>
      <w:r>
        <w:rPr>
          <w:b/>
          <w:i/>
        </w:rPr>
        <w:t>Port Authority</w:t>
      </w:r>
      <w:r w:rsidRPr="00140664">
        <w:rPr>
          <w:b/>
          <w:i/>
        </w:rPr>
        <w:t xml:space="preserve"> is under pressure to improve air quality in the vicinity of the port. The Board has set aggressive emissions targets for 2030 to reduce NOx and PM by x% and CO</w:t>
      </w:r>
      <w:r w:rsidRPr="009774FA">
        <w:rPr>
          <w:b/>
          <w:i/>
          <w:vertAlign w:val="subscript"/>
        </w:rPr>
        <w:t>2</w:t>
      </w:r>
      <w:r w:rsidRPr="00140664">
        <w:rPr>
          <w:b/>
          <w:i/>
        </w:rPr>
        <w:t xml:space="preserve"> by y% from the on-road trucks serving the port. </w:t>
      </w:r>
      <w:r>
        <w:rPr>
          <w:b/>
          <w:i/>
        </w:rPr>
        <w:t xml:space="preserve">The Port Authority sustainability team </w:t>
      </w:r>
      <w:r w:rsidRPr="00140664">
        <w:rPr>
          <w:b/>
          <w:i/>
        </w:rPr>
        <w:t>want</w:t>
      </w:r>
      <w:r>
        <w:rPr>
          <w:b/>
          <w:i/>
        </w:rPr>
        <w:t>s</w:t>
      </w:r>
      <w:r w:rsidRPr="00140664">
        <w:rPr>
          <w:b/>
          <w:i/>
        </w:rPr>
        <w:t xml:space="preserve"> to compare a strategy that involves accelerated retirement (truck replacements) vs. a strategy that involves use of </w:t>
      </w:r>
      <w:r>
        <w:rPr>
          <w:b/>
          <w:i/>
        </w:rPr>
        <w:t>renewable natural gas (RNG)</w:t>
      </w:r>
      <w:r w:rsidRPr="00140664">
        <w:rPr>
          <w:b/>
          <w:i/>
        </w:rPr>
        <w:t xml:space="preserve"> in low NOx engines. There is a landfill area near the port that generates RNG.</w:t>
      </w:r>
    </w:p>
    <w:p w14:paraId="081FF3AC" w14:textId="77777777" w:rsidR="00350F25" w:rsidRDefault="00350F25" w:rsidP="00350F25">
      <w:pPr>
        <w:pStyle w:val="Heading3"/>
      </w:pPr>
      <w:bookmarkStart w:id="116" w:name="_Ref473729046"/>
      <w:bookmarkStart w:id="117" w:name="_Toc482973579"/>
      <w:r w:rsidRPr="00140664">
        <w:t>Truck Deployment Analysis – Alternative Fuels</w:t>
      </w:r>
      <w:bookmarkEnd w:id="116"/>
      <w:bookmarkEnd w:id="117"/>
    </w:p>
    <w:p w14:paraId="4CD3D424" w14:textId="77777777" w:rsidR="00350F25" w:rsidRDefault="00350F25" w:rsidP="00350F25">
      <w:pPr>
        <w:pStyle w:val="BodyText"/>
        <w:rPr>
          <w:iCs/>
        </w:rPr>
      </w:pPr>
      <w:r>
        <w:rPr>
          <w:iCs/>
        </w:rPr>
        <w:t xml:space="preserve">The Truck Deployment Analysis lets the user estimate the full emissions and cost impacts of different strategies to reduce emissions from the drayage trucks being targeted in this hypothetical scenario. </w:t>
      </w:r>
      <w:r>
        <w:rPr>
          <w:iCs/>
        </w:rPr>
        <w:lastRenderedPageBreak/>
        <w:t>Using this analysis, the user can estimate the emissions impacts of replacing 100 diesel combination unit short haul trucks with trucks with advance low NOx engines fueled by renewable CNG. The results from this analysis will be compared to the results of the accelerated retirement analysis described in the following section to address the scenario.</w:t>
      </w:r>
    </w:p>
    <w:p w14:paraId="757E4DEE" w14:textId="77777777" w:rsidR="00350F25" w:rsidRDefault="00350F25" w:rsidP="00350F25">
      <w:pPr>
        <w:pStyle w:val="BodyText"/>
      </w:pPr>
      <w:r>
        <w:t>For each input option, enter the selections presented in the table below.</w:t>
      </w:r>
    </w:p>
    <w:tbl>
      <w:tblPr>
        <w:tblStyle w:val="TemplateTable"/>
        <w:tblW w:w="5000" w:type="pct"/>
        <w:tblLayout w:type="fixed"/>
        <w:tblCellMar>
          <w:top w:w="0" w:type="dxa"/>
          <w:bottom w:w="0" w:type="dxa"/>
        </w:tblCellMar>
        <w:tblLook w:val="04A0" w:firstRow="1" w:lastRow="0" w:firstColumn="1" w:lastColumn="0" w:noHBand="0" w:noVBand="1"/>
      </w:tblPr>
      <w:tblGrid>
        <w:gridCol w:w="2246"/>
        <w:gridCol w:w="1801"/>
        <w:gridCol w:w="5303"/>
      </w:tblGrid>
      <w:tr w:rsidR="00350F25" w:rsidRPr="00CC451D" w14:paraId="70D792AF" w14:textId="77777777" w:rsidTr="00350F25">
        <w:trPr>
          <w:cnfStyle w:val="100000000000" w:firstRow="1" w:lastRow="0" w:firstColumn="0" w:lastColumn="0" w:oddVBand="0" w:evenVBand="0" w:oddHBand="0" w:evenHBand="0" w:firstRowFirstColumn="0" w:firstRowLastColumn="0" w:lastRowFirstColumn="0" w:lastRowLastColumn="0"/>
          <w:trHeight w:val="24"/>
        </w:trPr>
        <w:tc>
          <w:tcPr>
            <w:tcW w:w="1201" w:type="pct"/>
            <w:tcBorders>
              <w:bottom w:val="single" w:sz="4" w:space="0" w:color="0070C0"/>
            </w:tcBorders>
            <w:noWrap/>
            <w:vAlign w:val="bottom"/>
          </w:tcPr>
          <w:p w14:paraId="09809009" w14:textId="77777777" w:rsidR="00350F25" w:rsidRPr="004739E4" w:rsidRDefault="00350F25" w:rsidP="00350F25">
            <w:pPr>
              <w:pStyle w:val="TableColumnHeading"/>
            </w:pPr>
            <w:r>
              <w:t>Category</w:t>
            </w:r>
          </w:p>
        </w:tc>
        <w:tc>
          <w:tcPr>
            <w:tcW w:w="963" w:type="pct"/>
            <w:tcBorders>
              <w:bottom w:val="single" w:sz="4" w:space="0" w:color="0070C0"/>
            </w:tcBorders>
            <w:vAlign w:val="bottom"/>
          </w:tcPr>
          <w:p w14:paraId="24226464" w14:textId="77777777" w:rsidR="00350F25" w:rsidRPr="004739E4" w:rsidRDefault="00350F25" w:rsidP="00350F25">
            <w:pPr>
              <w:pStyle w:val="TableColumnHeading"/>
            </w:pPr>
            <w:r>
              <w:t>Selection</w:t>
            </w:r>
          </w:p>
        </w:tc>
        <w:tc>
          <w:tcPr>
            <w:tcW w:w="2836" w:type="pct"/>
            <w:tcBorders>
              <w:bottom w:val="single" w:sz="4" w:space="0" w:color="0070C0"/>
            </w:tcBorders>
            <w:vAlign w:val="bottom"/>
          </w:tcPr>
          <w:p w14:paraId="56720FDE" w14:textId="77777777" w:rsidR="00350F25" w:rsidRPr="004739E4" w:rsidRDefault="00350F25" w:rsidP="00350F25">
            <w:pPr>
              <w:pStyle w:val="TableColumnHeading"/>
            </w:pPr>
            <w:r>
              <w:t>Notes</w:t>
            </w:r>
          </w:p>
        </w:tc>
      </w:tr>
      <w:tr w:rsidR="00350F25" w:rsidRPr="00CC451D" w14:paraId="7728AF6A"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19233804" w14:textId="77777777" w:rsidR="00350F25" w:rsidRPr="004739E4" w:rsidRDefault="00350F25" w:rsidP="00350F25">
            <w:pPr>
              <w:pStyle w:val="TableCellText"/>
            </w:pPr>
            <w:r w:rsidRPr="00F6465A">
              <w:rPr>
                <w:b/>
              </w:rPr>
              <w:t>Analysis</w:t>
            </w:r>
          </w:p>
        </w:tc>
      </w:tr>
      <w:tr w:rsidR="00350F25" w:rsidRPr="00CC451D" w14:paraId="24243251"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6EDE7E06" w14:textId="77777777" w:rsidR="00350F25" w:rsidRPr="004739E4" w:rsidRDefault="00350F25" w:rsidP="00350F25">
            <w:pPr>
              <w:pStyle w:val="TableCellText"/>
            </w:pPr>
            <w:r>
              <w:t>Analysis</w:t>
            </w:r>
          </w:p>
        </w:tc>
        <w:tc>
          <w:tcPr>
            <w:tcW w:w="963" w:type="pct"/>
            <w:tcBorders>
              <w:top w:val="single" w:sz="4" w:space="0" w:color="0070C0"/>
              <w:left w:val="single" w:sz="4" w:space="0" w:color="0070C0"/>
              <w:bottom w:val="single" w:sz="4" w:space="0" w:color="0070C0"/>
              <w:right w:val="single" w:sz="4" w:space="0" w:color="0070C0"/>
            </w:tcBorders>
          </w:tcPr>
          <w:p w14:paraId="6895AA95" w14:textId="77777777" w:rsidR="00350F25" w:rsidRPr="004739E4" w:rsidRDefault="00350F25" w:rsidP="00350F25">
            <w:pPr>
              <w:pStyle w:val="TableCellText"/>
            </w:pPr>
            <w:r>
              <w:t>Truck Deployment Analysis</w:t>
            </w:r>
          </w:p>
        </w:tc>
        <w:tc>
          <w:tcPr>
            <w:tcW w:w="2836" w:type="pct"/>
            <w:tcBorders>
              <w:top w:val="single" w:sz="4" w:space="0" w:color="0070C0"/>
              <w:left w:val="single" w:sz="4" w:space="0" w:color="0070C0"/>
              <w:bottom w:val="single" w:sz="4" w:space="0" w:color="0070C0"/>
              <w:right w:val="single" w:sz="4" w:space="0" w:color="0070C0"/>
            </w:tcBorders>
          </w:tcPr>
          <w:p w14:paraId="50BE0074" w14:textId="77777777" w:rsidR="00350F25" w:rsidRPr="004739E4" w:rsidRDefault="00350F25" w:rsidP="00350F25">
            <w:pPr>
              <w:pStyle w:val="TableCellText"/>
            </w:pPr>
            <w:r>
              <w:t>This analysis allows the user t</w:t>
            </w:r>
            <w:r w:rsidRPr="00140664">
              <w:t xml:space="preserve">o </w:t>
            </w:r>
            <w:r>
              <w:t>estimate full costs and emissions impacts of a program.</w:t>
            </w:r>
          </w:p>
        </w:tc>
      </w:tr>
      <w:tr w:rsidR="00350F25" w:rsidRPr="00CC451D" w14:paraId="0C59980E"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1BAB0E8A" w14:textId="77777777" w:rsidR="00350F25" w:rsidRPr="004739E4" w:rsidRDefault="00350F25" w:rsidP="00350F25">
            <w:pPr>
              <w:pStyle w:val="TableCellText"/>
            </w:pPr>
            <w:r w:rsidRPr="00447743">
              <w:rPr>
                <w:b/>
              </w:rPr>
              <w:t>Scope</w:t>
            </w:r>
          </w:p>
        </w:tc>
      </w:tr>
      <w:tr w:rsidR="00350F25" w:rsidRPr="00CC451D" w14:paraId="4C0AFFD5"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642B1558" w14:textId="77777777" w:rsidR="00350F25" w:rsidRDefault="00350F25" w:rsidP="00350F25">
            <w:pPr>
              <w:pStyle w:val="TableCellText"/>
            </w:pPr>
            <w:r>
              <w:t>Year of Modification</w:t>
            </w:r>
          </w:p>
        </w:tc>
        <w:tc>
          <w:tcPr>
            <w:tcW w:w="963" w:type="pct"/>
            <w:tcBorders>
              <w:top w:val="single" w:sz="4" w:space="0" w:color="0070C0"/>
              <w:left w:val="single" w:sz="4" w:space="0" w:color="0070C0"/>
              <w:bottom w:val="single" w:sz="4" w:space="0" w:color="0070C0"/>
              <w:right w:val="single" w:sz="4" w:space="0" w:color="0070C0"/>
            </w:tcBorders>
          </w:tcPr>
          <w:p w14:paraId="63DEBD03" w14:textId="77777777" w:rsidR="00350F25" w:rsidRDefault="00350F25" w:rsidP="00350F25">
            <w:pPr>
              <w:pStyle w:val="TableCellText"/>
            </w:pPr>
            <w:r>
              <w:t>2030</w:t>
            </w:r>
          </w:p>
        </w:tc>
        <w:tc>
          <w:tcPr>
            <w:tcW w:w="2836" w:type="pct"/>
            <w:tcBorders>
              <w:top w:val="single" w:sz="4" w:space="0" w:color="0070C0"/>
              <w:left w:val="single" w:sz="4" w:space="0" w:color="0070C0"/>
              <w:bottom w:val="single" w:sz="4" w:space="0" w:color="0070C0"/>
              <w:right w:val="single" w:sz="4" w:space="0" w:color="0070C0"/>
            </w:tcBorders>
          </w:tcPr>
          <w:p w14:paraId="73061971" w14:textId="77777777" w:rsidR="00350F25" w:rsidRPr="004739E4" w:rsidRDefault="00350F25" w:rsidP="00350F25">
            <w:pPr>
              <w:pStyle w:val="TableCellText"/>
            </w:pPr>
            <w:r>
              <w:t>The modification</w:t>
            </w:r>
            <w:r w:rsidRPr="00140664">
              <w:t xml:space="preserve"> year is when the modifications </w:t>
            </w:r>
            <w:r>
              <w:t xml:space="preserve">or replacements </w:t>
            </w:r>
            <w:r w:rsidRPr="00140664">
              <w:t>take place</w:t>
            </w:r>
            <w:r>
              <w:t>. 2030 is described as the target year in the scenario, but the user can choose to select an earlier year to represent a time during the implementation of the program.</w:t>
            </w:r>
          </w:p>
        </w:tc>
      </w:tr>
      <w:tr w:rsidR="00350F25" w:rsidRPr="00CC451D" w14:paraId="5D974BFE"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5D056AEA" w14:textId="77777777" w:rsidR="00350F25" w:rsidRDefault="00350F25" w:rsidP="00350F25">
            <w:pPr>
              <w:pStyle w:val="TableCellText"/>
            </w:pPr>
            <w:r>
              <w:t>Area of Interest</w:t>
            </w:r>
          </w:p>
        </w:tc>
        <w:tc>
          <w:tcPr>
            <w:tcW w:w="963" w:type="pct"/>
            <w:tcBorders>
              <w:top w:val="single" w:sz="4" w:space="0" w:color="0070C0"/>
              <w:left w:val="single" w:sz="4" w:space="0" w:color="0070C0"/>
              <w:bottom w:val="single" w:sz="4" w:space="0" w:color="0070C0"/>
              <w:right w:val="single" w:sz="4" w:space="0" w:color="0070C0"/>
            </w:tcBorders>
          </w:tcPr>
          <w:p w14:paraId="33E3795C" w14:textId="77777777" w:rsidR="00350F25" w:rsidRDefault="00350F25" w:rsidP="00350F25">
            <w:pPr>
              <w:pStyle w:val="TableCellText"/>
            </w:pPr>
            <w:r>
              <w:t>Port</w:t>
            </w:r>
          </w:p>
        </w:tc>
        <w:tc>
          <w:tcPr>
            <w:tcW w:w="2836" w:type="pct"/>
            <w:tcBorders>
              <w:top w:val="single" w:sz="4" w:space="0" w:color="0070C0"/>
              <w:left w:val="single" w:sz="4" w:space="0" w:color="0070C0"/>
              <w:bottom w:val="single" w:sz="4" w:space="0" w:color="0070C0"/>
              <w:right w:val="single" w:sz="4" w:space="0" w:color="0070C0"/>
            </w:tcBorders>
          </w:tcPr>
          <w:p w14:paraId="38B39CE8" w14:textId="77777777" w:rsidR="00350F25" w:rsidRPr="004739E4" w:rsidRDefault="00350F25" w:rsidP="00350F25">
            <w:pPr>
              <w:pStyle w:val="TableCellText"/>
            </w:pPr>
            <w:r w:rsidRPr="00CE6761">
              <w:t xml:space="preserve">Geographic scale determines the emission factors used in the calculations. The larger the geographic scale </w:t>
            </w:r>
            <w:r>
              <w:t>assume</w:t>
            </w:r>
            <w:r w:rsidRPr="00CE6761">
              <w:t xml:space="preserve"> more freeways </w:t>
            </w:r>
            <w:r>
              <w:t xml:space="preserve">are </w:t>
            </w:r>
            <w:r w:rsidRPr="00CE6761">
              <w:t>used, while the smaller geographic scales have more local roads</w:t>
            </w:r>
            <w:r>
              <w:t>.</w:t>
            </w:r>
          </w:p>
        </w:tc>
      </w:tr>
      <w:tr w:rsidR="00350F25" w:rsidRPr="00CC451D" w14:paraId="48BF533B"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104B35B4" w14:textId="77777777" w:rsidR="00350F25" w:rsidRDefault="00350F25" w:rsidP="00350F25">
            <w:pPr>
              <w:pStyle w:val="TableCellText"/>
            </w:pPr>
            <w:r>
              <w:t>Type of Truck</w:t>
            </w:r>
          </w:p>
        </w:tc>
        <w:tc>
          <w:tcPr>
            <w:tcW w:w="963" w:type="pct"/>
            <w:tcBorders>
              <w:top w:val="single" w:sz="4" w:space="0" w:color="0070C0"/>
              <w:left w:val="single" w:sz="4" w:space="0" w:color="0070C0"/>
              <w:bottom w:val="single" w:sz="4" w:space="0" w:color="0070C0"/>
              <w:right w:val="single" w:sz="4" w:space="0" w:color="0070C0"/>
            </w:tcBorders>
          </w:tcPr>
          <w:p w14:paraId="3057F97B" w14:textId="77777777" w:rsidR="00350F25" w:rsidRDefault="00350F25" w:rsidP="00350F25">
            <w:pPr>
              <w:pStyle w:val="TableCellText"/>
            </w:pPr>
            <w:r>
              <w:t>Combo Unit Short Haul</w:t>
            </w:r>
          </w:p>
        </w:tc>
        <w:tc>
          <w:tcPr>
            <w:tcW w:w="2836" w:type="pct"/>
            <w:tcBorders>
              <w:top w:val="single" w:sz="4" w:space="0" w:color="0070C0"/>
              <w:left w:val="single" w:sz="4" w:space="0" w:color="0070C0"/>
              <w:bottom w:val="single" w:sz="4" w:space="0" w:color="0070C0"/>
              <w:right w:val="single" w:sz="4" w:space="0" w:color="0070C0"/>
            </w:tcBorders>
          </w:tcPr>
          <w:p w14:paraId="3A0ABB47" w14:textId="77777777" w:rsidR="00350F25" w:rsidRPr="004739E4" w:rsidRDefault="00350F25" w:rsidP="00350F25">
            <w:pPr>
              <w:pStyle w:val="TableCellText"/>
            </w:pPr>
            <w:r>
              <w:t xml:space="preserve">Port scenarios assume that truck programs only apply to drayage trucks, which are categorized as </w:t>
            </w:r>
            <w:r w:rsidRPr="00140664">
              <w:t xml:space="preserve">combination </w:t>
            </w:r>
            <w:r>
              <w:t>short haul trucks in the Tool.</w:t>
            </w:r>
          </w:p>
        </w:tc>
      </w:tr>
      <w:tr w:rsidR="00350F25" w:rsidRPr="00CC451D" w14:paraId="5799BAAE"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6EE8E05D" w14:textId="77777777" w:rsidR="00350F25" w:rsidRDefault="00350F25" w:rsidP="00350F25">
            <w:pPr>
              <w:pStyle w:val="TableCellText"/>
            </w:pPr>
            <w:r>
              <w:t>Type of Modification</w:t>
            </w:r>
          </w:p>
        </w:tc>
        <w:tc>
          <w:tcPr>
            <w:tcW w:w="963" w:type="pct"/>
            <w:tcBorders>
              <w:top w:val="single" w:sz="4" w:space="0" w:color="0070C0"/>
              <w:left w:val="single" w:sz="4" w:space="0" w:color="0070C0"/>
              <w:bottom w:val="single" w:sz="4" w:space="0" w:color="0070C0"/>
              <w:right w:val="single" w:sz="4" w:space="0" w:color="0070C0"/>
            </w:tcBorders>
          </w:tcPr>
          <w:p w14:paraId="76F43922" w14:textId="77777777" w:rsidR="00350F25" w:rsidRDefault="00350F25" w:rsidP="00350F25">
            <w:pPr>
              <w:pStyle w:val="TableCellText"/>
            </w:pPr>
            <w:r>
              <w:t>Alternative Fuel</w:t>
            </w:r>
          </w:p>
        </w:tc>
        <w:tc>
          <w:tcPr>
            <w:tcW w:w="2836" w:type="pct"/>
            <w:tcBorders>
              <w:top w:val="single" w:sz="4" w:space="0" w:color="0070C0"/>
              <w:left w:val="single" w:sz="4" w:space="0" w:color="0070C0"/>
              <w:bottom w:val="single" w:sz="4" w:space="0" w:color="0070C0"/>
              <w:right w:val="single" w:sz="4" w:space="0" w:color="0070C0"/>
            </w:tcBorders>
          </w:tcPr>
          <w:p w14:paraId="1240B62E" w14:textId="77777777" w:rsidR="00350F25" w:rsidRPr="004739E4" w:rsidRDefault="00350F25" w:rsidP="00350F25">
            <w:pPr>
              <w:pStyle w:val="TableCellText"/>
            </w:pPr>
            <w:r>
              <w:t>Selection indicated in the scenario.</w:t>
            </w:r>
          </w:p>
        </w:tc>
      </w:tr>
      <w:tr w:rsidR="00350F25" w:rsidRPr="00CC451D" w14:paraId="4F56DA00"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3F9B995A" w14:textId="77777777" w:rsidR="00350F25" w:rsidRPr="004739E4" w:rsidRDefault="00350F25" w:rsidP="00350F25">
            <w:pPr>
              <w:pStyle w:val="TableCellText"/>
            </w:pPr>
            <w:r w:rsidRPr="00447743">
              <w:rPr>
                <w:b/>
              </w:rPr>
              <w:t>Modifications</w:t>
            </w:r>
          </w:p>
        </w:tc>
      </w:tr>
      <w:tr w:rsidR="00350F25" w:rsidRPr="00CC451D" w14:paraId="5DA9DC33"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51F616B4" w14:textId="77777777" w:rsidR="00350F25" w:rsidRDefault="00350F25" w:rsidP="00350F25">
            <w:pPr>
              <w:pStyle w:val="TableCellText"/>
            </w:pPr>
            <w:r>
              <w:t>Alternative Fuel(s)</w:t>
            </w:r>
          </w:p>
        </w:tc>
        <w:tc>
          <w:tcPr>
            <w:tcW w:w="963" w:type="pct"/>
            <w:tcBorders>
              <w:top w:val="single" w:sz="4" w:space="0" w:color="0070C0"/>
              <w:left w:val="single" w:sz="4" w:space="0" w:color="0070C0"/>
              <w:bottom w:val="single" w:sz="4" w:space="0" w:color="0070C0"/>
              <w:right w:val="single" w:sz="4" w:space="0" w:color="0070C0"/>
            </w:tcBorders>
          </w:tcPr>
          <w:p w14:paraId="68D1D606" w14:textId="77777777" w:rsidR="00350F25" w:rsidRDefault="00350F25" w:rsidP="00350F25">
            <w:pPr>
              <w:pStyle w:val="TableCellText"/>
            </w:pPr>
            <w:r>
              <w:t>RCNG + Low NOx Engine</w:t>
            </w:r>
          </w:p>
        </w:tc>
        <w:tc>
          <w:tcPr>
            <w:tcW w:w="2836" w:type="pct"/>
            <w:tcBorders>
              <w:top w:val="single" w:sz="4" w:space="0" w:color="0070C0"/>
              <w:left w:val="single" w:sz="4" w:space="0" w:color="0070C0"/>
              <w:bottom w:val="single" w:sz="4" w:space="0" w:color="0070C0"/>
              <w:right w:val="single" w:sz="4" w:space="0" w:color="0070C0"/>
            </w:tcBorders>
          </w:tcPr>
          <w:p w14:paraId="550C8DD4" w14:textId="77777777" w:rsidR="00350F25" w:rsidRPr="004739E4" w:rsidRDefault="00350F25" w:rsidP="00350F25">
            <w:pPr>
              <w:pStyle w:val="TableCellText"/>
            </w:pPr>
            <w:r>
              <w:t>Selection indicated in the scenario. CNG selection assumes that existing diesel short haul combination trucks are replaced as part of the strategy.</w:t>
            </w:r>
          </w:p>
        </w:tc>
      </w:tr>
      <w:tr w:rsidR="00350F25" w:rsidRPr="00CC451D" w14:paraId="13E4B47C"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587176BA" w14:textId="77777777" w:rsidR="00350F25" w:rsidRPr="004739E4" w:rsidRDefault="00350F25" w:rsidP="00350F25">
            <w:pPr>
              <w:pStyle w:val="TableCellText"/>
              <w:keepNext/>
            </w:pPr>
            <w:r w:rsidRPr="00447743">
              <w:rPr>
                <w:b/>
              </w:rPr>
              <w:t>Vehicle Data</w:t>
            </w:r>
          </w:p>
        </w:tc>
      </w:tr>
      <w:tr w:rsidR="00350F25" w:rsidRPr="00CC451D" w14:paraId="5C459597"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47ECB6A3" w14:textId="77777777" w:rsidR="00350F25" w:rsidRDefault="00350F25" w:rsidP="00350F25">
            <w:pPr>
              <w:pStyle w:val="TableCellText"/>
            </w:pPr>
            <w:r>
              <w:t>Number of Trucks to Be Replaced</w:t>
            </w:r>
          </w:p>
        </w:tc>
        <w:tc>
          <w:tcPr>
            <w:tcW w:w="963" w:type="pct"/>
            <w:tcBorders>
              <w:top w:val="single" w:sz="4" w:space="0" w:color="0070C0"/>
              <w:left w:val="single" w:sz="4" w:space="0" w:color="0070C0"/>
              <w:bottom w:val="single" w:sz="4" w:space="0" w:color="0070C0"/>
              <w:right w:val="single" w:sz="4" w:space="0" w:color="0070C0"/>
            </w:tcBorders>
          </w:tcPr>
          <w:p w14:paraId="5F2770E4" w14:textId="77777777" w:rsidR="00350F25" w:rsidRDefault="00350F25" w:rsidP="00350F25">
            <w:pPr>
              <w:pStyle w:val="TableCellText"/>
            </w:pPr>
            <w:r>
              <w:t>100</w:t>
            </w:r>
          </w:p>
        </w:tc>
        <w:tc>
          <w:tcPr>
            <w:tcW w:w="2836" w:type="pct"/>
            <w:tcBorders>
              <w:top w:val="single" w:sz="4" w:space="0" w:color="0070C0"/>
              <w:left w:val="single" w:sz="4" w:space="0" w:color="0070C0"/>
              <w:bottom w:val="single" w:sz="4" w:space="0" w:color="0070C0"/>
              <w:right w:val="single" w:sz="4" w:space="0" w:color="0070C0"/>
            </w:tcBorders>
          </w:tcPr>
          <w:p w14:paraId="0722C754" w14:textId="77777777" w:rsidR="00350F25" w:rsidRPr="004739E4" w:rsidRDefault="00350F25" w:rsidP="00350F25">
            <w:pPr>
              <w:pStyle w:val="TableCellText"/>
            </w:pPr>
            <w:r>
              <w:t>The results can be divided by 100 to calculate the per-truck impacts.</w:t>
            </w:r>
          </w:p>
        </w:tc>
      </w:tr>
      <w:tr w:rsidR="00350F25" w:rsidRPr="00CC451D" w14:paraId="17DEBEE4"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7488A4E8" w14:textId="77777777" w:rsidR="00350F25" w:rsidRDefault="00350F25" w:rsidP="00350F25">
            <w:pPr>
              <w:pStyle w:val="TableCellText"/>
            </w:pPr>
            <w:r>
              <w:t>Average Annual Mileage Accumulation</w:t>
            </w:r>
          </w:p>
        </w:tc>
        <w:tc>
          <w:tcPr>
            <w:tcW w:w="963" w:type="pct"/>
            <w:tcBorders>
              <w:top w:val="single" w:sz="4" w:space="0" w:color="0070C0"/>
              <w:left w:val="single" w:sz="4" w:space="0" w:color="0070C0"/>
              <w:bottom w:val="single" w:sz="4" w:space="0" w:color="0070C0"/>
              <w:right w:val="single" w:sz="4" w:space="0" w:color="0070C0"/>
            </w:tcBorders>
          </w:tcPr>
          <w:p w14:paraId="392B5D6E" w14:textId="77777777" w:rsidR="00350F25" w:rsidRDefault="00350F25" w:rsidP="00350F25">
            <w:pPr>
              <w:pStyle w:val="TableCellText"/>
            </w:pPr>
            <w:r>
              <w:t>Leave default value (39,557)</w:t>
            </w:r>
          </w:p>
        </w:tc>
        <w:tc>
          <w:tcPr>
            <w:tcW w:w="2836" w:type="pct"/>
            <w:tcBorders>
              <w:top w:val="single" w:sz="4" w:space="0" w:color="0070C0"/>
              <w:left w:val="single" w:sz="4" w:space="0" w:color="0070C0"/>
              <w:bottom w:val="single" w:sz="4" w:space="0" w:color="0070C0"/>
              <w:right w:val="single" w:sz="4" w:space="0" w:color="0070C0"/>
            </w:tcBorders>
          </w:tcPr>
          <w:p w14:paraId="4FAC1642" w14:textId="77777777" w:rsidR="00350F25" w:rsidRPr="004739E4" w:rsidRDefault="00350F25" w:rsidP="00350F25">
            <w:pPr>
              <w:pStyle w:val="TableCellText"/>
            </w:pPr>
            <w:r>
              <w:t>The</w:t>
            </w:r>
            <w:r w:rsidRPr="0050596A">
              <w:t xml:space="preserve"> default </w:t>
            </w:r>
            <w:r>
              <w:t>values come</w:t>
            </w:r>
            <w:r w:rsidRPr="0050596A">
              <w:t xml:space="preserve"> from </w:t>
            </w:r>
            <w:r>
              <w:t xml:space="preserve">the </w:t>
            </w:r>
            <w:r w:rsidRPr="0050596A">
              <w:t>MOVES</w:t>
            </w:r>
            <w:r>
              <w:t xml:space="preserve"> model</w:t>
            </w:r>
            <w:r w:rsidRPr="0050596A">
              <w:t xml:space="preserve">. </w:t>
            </w:r>
            <w:r>
              <w:t>M</w:t>
            </w:r>
            <w:r w:rsidRPr="0050596A">
              <w:t xml:space="preserve">ore annual miles </w:t>
            </w:r>
            <w:r>
              <w:t>will result in</w:t>
            </w:r>
            <w:r w:rsidRPr="0050596A">
              <w:t xml:space="preserve"> more emissions benefits</w:t>
            </w:r>
            <w:r>
              <w:t>.</w:t>
            </w:r>
          </w:p>
        </w:tc>
      </w:tr>
      <w:tr w:rsidR="00350F25" w:rsidRPr="00CC451D" w14:paraId="451F3975"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574DED4B" w14:textId="77777777" w:rsidR="00350F25" w:rsidRDefault="00350F25" w:rsidP="00350F25">
            <w:pPr>
              <w:pStyle w:val="TableCellText"/>
            </w:pPr>
            <w:r>
              <w:t>Range of Model Years to Modify/Scrap (inclusive)</w:t>
            </w:r>
          </w:p>
        </w:tc>
        <w:tc>
          <w:tcPr>
            <w:tcW w:w="963" w:type="pct"/>
            <w:tcBorders>
              <w:top w:val="single" w:sz="4" w:space="0" w:color="0070C0"/>
              <w:left w:val="single" w:sz="4" w:space="0" w:color="0070C0"/>
              <w:bottom w:val="single" w:sz="4" w:space="0" w:color="0070C0"/>
              <w:right w:val="single" w:sz="4" w:space="0" w:color="0070C0"/>
            </w:tcBorders>
          </w:tcPr>
          <w:p w14:paraId="6395467D" w14:textId="77777777" w:rsidR="00350F25" w:rsidRDefault="00350F25" w:rsidP="00350F25">
            <w:pPr>
              <w:pStyle w:val="TableCellText"/>
            </w:pPr>
            <w:r>
              <w:t>Leave default values (2000-2017)</w:t>
            </w:r>
          </w:p>
        </w:tc>
        <w:tc>
          <w:tcPr>
            <w:tcW w:w="2836" w:type="pct"/>
            <w:tcBorders>
              <w:top w:val="single" w:sz="4" w:space="0" w:color="0070C0"/>
              <w:left w:val="single" w:sz="4" w:space="0" w:color="0070C0"/>
              <w:bottom w:val="single" w:sz="4" w:space="0" w:color="0070C0"/>
              <w:right w:val="single" w:sz="4" w:space="0" w:color="0070C0"/>
            </w:tcBorders>
          </w:tcPr>
          <w:p w14:paraId="70BE06FE" w14:textId="77777777" w:rsidR="00350F25" w:rsidRPr="004739E4" w:rsidRDefault="00350F25" w:rsidP="00350F25">
            <w:pPr>
              <w:pStyle w:val="TableCellText"/>
            </w:pPr>
            <w:r>
              <w:t>This range is based on replacing pre-2017 trucks since the Heavy-Duty GHG Phase 1</w:t>
            </w:r>
            <w:r w:rsidRPr="00140664">
              <w:t xml:space="preserve"> rule would have been fully phased in by 2017</w:t>
            </w:r>
            <w:r>
              <w:t>, and the Phase 2 regulations begin.</w:t>
            </w:r>
          </w:p>
        </w:tc>
      </w:tr>
      <w:tr w:rsidR="00350F25" w:rsidRPr="00CC451D" w14:paraId="61210893"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59EC08A8" w14:textId="5266FD2A" w:rsidR="00350F25" w:rsidRDefault="006771E4" w:rsidP="00350F25">
            <w:pPr>
              <w:pStyle w:val="TableCellText"/>
            </w:pPr>
            <w:r>
              <w:t>Long haul</w:t>
            </w:r>
            <w:r w:rsidR="00350F25">
              <w:t xml:space="preserve"> Annual Idle Hours</w:t>
            </w:r>
          </w:p>
        </w:tc>
        <w:tc>
          <w:tcPr>
            <w:tcW w:w="963" w:type="pct"/>
            <w:tcBorders>
              <w:top w:val="single" w:sz="4" w:space="0" w:color="0070C0"/>
              <w:left w:val="single" w:sz="4" w:space="0" w:color="0070C0"/>
              <w:bottom w:val="single" w:sz="4" w:space="0" w:color="0070C0"/>
              <w:right w:val="single" w:sz="4" w:space="0" w:color="0070C0"/>
            </w:tcBorders>
          </w:tcPr>
          <w:p w14:paraId="4F14F5FD" w14:textId="77777777" w:rsidR="00350F25" w:rsidRDefault="00350F25" w:rsidP="00350F25">
            <w:pPr>
              <w:pStyle w:val="TableCellText"/>
            </w:pPr>
            <w:r>
              <w:t>n/a</w:t>
            </w:r>
          </w:p>
        </w:tc>
        <w:tc>
          <w:tcPr>
            <w:tcW w:w="2836" w:type="pct"/>
            <w:tcBorders>
              <w:top w:val="single" w:sz="4" w:space="0" w:color="0070C0"/>
              <w:left w:val="single" w:sz="4" w:space="0" w:color="0070C0"/>
              <w:bottom w:val="single" w:sz="4" w:space="0" w:color="0070C0"/>
              <w:right w:val="single" w:sz="4" w:space="0" w:color="0070C0"/>
            </w:tcBorders>
          </w:tcPr>
          <w:p w14:paraId="722DC665" w14:textId="540B15AA" w:rsidR="00350F25" w:rsidRPr="004739E4" w:rsidRDefault="00350F25" w:rsidP="00350F25">
            <w:pPr>
              <w:pStyle w:val="TableCellText"/>
            </w:pPr>
            <w:r>
              <w:t xml:space="preserve">Only applicable for strategies involving combo unit </w:t>
            </w:r>
            <w:r w:rsidR="006771E4">
              <w:t>long haul</w:t>
            </w:r>
            <w:r>
              <w:t xml:space="preserve"> trucks.</w:t>
            </w:r>
          </w:p>
        </w:tc>
      </w:tr>
      <w:tr w:rsidR="00350F25" w:rsidRPr="00CC451D" w14:paraId="4596F7D0"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4B52E138" w14:textId="77777777" w:rsidR="00350F25" w:rsidRPr="004739E4" w:rsidRDefault="00350F25" w:rsidP="00350F25">
            <w:pPr>
              <w:pStyle w:val="TableCellText"/>
            </w:pPr>
            <w:r w:rsidRPr="00447743">
              <w:rPr>
                <w:b/>
              </w:rPr>
              <w:t>Fuel Costs</w:t>
            </w:r>
          </w:p>
        </w:tc>
      </w:tr>
      <w:tr w:rsidR="00350F25" w:rsidRPr="00CC451D" w14:paraId="6AC16D76"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4BADB191" w14:textId="77777777" w:rsidR="00350F25" w:rsidRDefault="00350F25" w:rsidP="00350F25">
            <w:pPr>
              <w:pStyle w:val="TableCellText"/>
            </w:pPr>
            <w:r>
              <w:t>Cost per Unit</w:t>
            </w:r>
          </w:p>
        </w:tc>
        <w:tc>
          <w:tcPr>
            <w:tcW w:w="963" w:type="pct"/>
            <w:tcBorders>
              <w:top w:val="single" w:sz="4" w:space="0" w:color="0070C0"/>
              <w:left w:val="single" w:sz="4" w:space="0" w:color="0070C0"/>
              <w:bottom w:val="single" w:sz="4" w:space="0" w:color="0070C0"/>
              <w:right w:val="single" w:sz="4" w:space="0" w:color="0070C0"/>
            </w:tcBorders>
          </w:tcPr>
          <w:p w14:paraId="6181DAB2" w14:textId="77777777" w:rsidR="00350F25" w:rsidRDefault="00350F25" w:rsidP="00350F25">
            <w:pPr>
              <w:pStyle w:val="TableCellText"/>
            </w:pPr>
            <w:r>
              <w:t>Leave default values</w:t>
            </w:r>
          </w:p>
        </w:tc>
        <w:tc>
          <w:tcPr>
            <w:tcW w:w="2836" w:type="pct"/>
            <w:tcBorders>
              <w:top w:val="single" w:sz="4" w:space="0" w:color="0070C0"/>
              <w:left w:val="single" w:sz="4" w:space="0" w:color="0070C0"/>
              <w:bottom w:val="single" w:sz="4" w:space="0" w:color="0070C0"/>
              <w:right w:val="single" w:sz="4" w:space="0" w:color="0070C0"/>
            </w:tcBorders>
          </w:tcPr>
          <w:p w14:paraId="4DAFC265" w14:textId="77777777" w:rsidR="00350F25" w:rsidRPr="004739E4" w:rsidRDefault="00350F25" w:rsidP="00350F25">
            <w:pPr>
              <w:pStyle w:val="TableCellText"/>
            </w:pPr>
            <w:r>
              <w:t xml:space="preserve">Default values are national averages; more up-to-date and regional fuel prices can be found at the Alternative Fuels Data Center’s </w:t>
            </w:r>
            <w:hyperlink r:id="rId87" w:history="1">
              <w:r w:rsidRPr="009E5B70">
                <w:rPr>
                  <w:rStyle w:val="Hyperlink"/>
                </w:rPr>
                <w:t>Fuel Prices webpage</w:t>
              </w:r>
            </w:hyperlink>
            <w:r>
              <w:t>.</w:t>
            </w:r>
          </w:p>
        </w:tc>
      </w:tr>
      <w:tr w:rsidR="00350F25" w:rsidRPr="00CC451D" w14:paraId="51F10028"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199140BB" w14:textId="77777777" w:rsidR="00350F25" w:rsidRDefault="00350F25" w:rsidP="00350F25">
            <w:pPr>
              <w:pStyle w:val="TableCellText"/>
            </w:pPr>
            <w:r>
              <w:t>Electricity Generation Region</w:t>
            </w:r>
          </w:p>
        </w:tc>
        <w:tc>
          <w:tcPr>
            <w:tcW w:w="963" w:type="pct"/>
            <w:tcBorders>
              <w:top w:val="single" w:sz="4" w:space="0" w:color="0070C0"/>
              <w:left w:val="single" w:sz="4" w:space="0" w:color="0070C0"/>
              <w:bottom w:val="single" w:sz="4" w:space="0" w:color="0070C0"/>
              <w:right w:val="single" w:sz="4" w:space="0" w:color="0070C0"/>
            </w:tcBorders>
          </w:tcPr>
          <w:p w14:paraId="746CF8E2" w14:textId="77777777" w:rsidR="00350F25" w:rsidRDefault="00350F25" w:rsidP="00350F25">
            <w:pPr>
              <w:pStyle w:val="TableCellText"/>
            </w:pPr>
            <w:r>
              <w:t>n/a</w:t>
            </w:r>
          </w:p>
        </w:tc>
        <w:tc>
          <w:tcPr>
            <w:tcW w:w="2836" w:type="pct"/>
            <w:tcBorders>
              <w:top w:val="single" w:sz="4" w:space="0" w:color="0070C0"/>
              <w:left w:val="single" w:sz="4" w:space="0" w:color="0070C0"/>
              <w:bottom w:val="single" w:sz="4" w:space="0" w:color="0070C0"/>
              <w:right w:val="single" w:sz="4" w:space="0" w:color="0070C0"/>
            </w:tcBorders>
          </w:tcPr>
          <w:p w14:paraId="1394E3BA" w14:textId="77777777" w:rsidR="00350F25" w:rsidRPr="004739E4" w:rsidRDefault="00350F25" w:rsidP="00350F25">
            <w:pPr>
              <w:pStyle w:val="TableCellText"/>
            </w:pPr>
            <w:r>
              <w:t>This selection does not apply to CNG replacements.</w:t>
            </w:r>
          </w:p>
        </w:tc>
      </w:tr>
      <w:tr w:rsidR="00350F25" w:rsidRPr="00CC451D" w14:paraId="7DB949C9"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259FD11B" w14:textId="77777777" w:rsidR="00350F25" w:rsidRDefault="00350F25" w:rsidP="00350F25">
            <w:pPr>
              <w:pStyle w:val="TableCellText"/>
            </w:pPr>
            <w:r>
              <w:t>CO</w:t>
            </w:r>
            <w:r w:rsidRPr="00F6465A">
              <w:rPr>
                <w:vertAlign w:val="subscript"/>
              </w:rPr>
              <w:t>2</w:t>
            </w:r>
          </w:p>
        </w:tc>
        <w:tc>
          <w:tcPr>
            <w:tcW w:w="963" w:type="pct"/>
            <w:tcBorders>
              <w:top w:val="single" w:sz="4" w:space="0" w:color="0070C0"/>
              <w:left w:val="single" w:sz="4" w:space="0" w:color="0070C0"/>
              <w:bottom w:val="single" w:sz="4" w:space="0" w:color="0070C0"/>
              <w:right w:val="single" w:sz="4" w:space="0" w:color="0070C0"/>
            </w:tcBorders>
          </w:tcPr>
          <w:p w14:paraId="7F25B2BA" w14:textId="77777777" w:rsidR="00350F25" w:rsidRDefault="00350F25" w:rsidP="00350F25">
            <w:pPr>
              <w:pStyle w:val="TableCellText"/>
            </w:pPr>
            <w:r>
              <w:t>n/a</w:t>
            </w:r>
          </w:p>
        </w:tc>
        <w:tc>
          <w:tcPr>
            <w:tcW w:w="2836" w:type="pct"/>
            <w:tcBorders>
              <w:top w:val="single" w:sz="4" w:space="0" w:color="0070C0"/>
              <w:left w:val="single" w:sz="4" w:space="0" w:color="0070C0"/>
              <w:bottom w:val="single" w:sz="4" w:space="0" w:color="0070C0"/>
              <w:right w:val="single" w:sz="4" w:space="0" w:color="0070C0"/>
            </w:tcBorders>
          </w:tcPr>
          <w:p w14:paraId="64467311" w14:textId="77777777" w:rsidR="00350F25" w:rsidRPr="004739E4" w:rsidRDefault="00350F25" w:rsidP="00350F25">
            <w:pPr>
              <w:pStyle w:val="TableCellText"/>
            </w:pPr>
            <w:r>
              <w:t>This selection does not apply to CNG replacements.</w:t>
            </w:r>
          </w:p>
        </w:tc>
      </w:tr>
      <w:tr w:rsidR="00350F25" w:rsidRPr="00CC451D" w14:paraId="560FAF2E"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48509277" w14:textId="77777777" w:rsidR="00350F25" w:rsidRPr="004739E4" w:rsidRDefault="00350F25" w:rsidP="00350F25">
            <w:pPr>
              <w:pStyle w:val="TableCellText"/>
            </w:pPr>
            <w:r w:rsidRPr="00447743">
              <w:rPr>
                <w:b/>
              </w:rPr>
              <w:t>Capital Costs</w:t>
            </w:r>
          </w:p>
        </w:tc>
      </w:tr>
      <w:tr w:rsidR="00350F25" w:rsidRPr="00CC451D" w14:paraId="26F197B0"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32C04A48" w14:textId="77777777" w:rsidR="00350F25" w:rsidRDefault="00350F25" w:rsidP="00350F25">
            <w:pPr>
              <w:pStyle w:val="TableCellText"/>
            </w:pPr>
            <w:r>
              <w:t>Cost</w:t>
            </w:r>
          </w:p>
        </w:tc>
        <w:tc>
          <w:tcPr>
            <w:tcW w:w="963" w:type="pct"/>
            <w:tcBorders>
              <w:top w:val="single" w:sz="4" w:space="0" w:color="0070C0"/>
              <w:left w:val="single" w:sz="4" w:space="0" w:color="0070C0"/>
              <w:bottom w:val="single" w:sz="4" w:space="0" w:color="0070C0"/>
              <w:right w:val="single" w:sz="4" w:space="0" w:color="0070C0"/>
            </w:tcBorders>
          </w:tcPr>
          <w:p w14:paraId="15EE8C71" w14:textId="77777777" w:rsidR="00350F25" w:rsidRDefault="00350F25" w:rsidP="00350F25">
            <w:pPr>
              <w:pStyle w:val="TableCellText"/>
            </w:pPr>
            <w:r>
              <w:t>Leave default value ($197,152)</w:t>
            </w:r>
          </w:p>
        </w:tc>
        <w:tc>
          <w:tcPr>
            <w:tcW w:w="2836" w:type="pct"/>
            <w:tcBorders>
              <w:top w:val="single" w:sz="4" w:space="0" w:color="0070C0"/>
              <w:left w:val="single" w:sz="4" w:space="0" w:color="0070C0"/>
              <w:bottom w:val="single" w:sz="4" w:space="0" w:color="0070C0"/>
              <w:right w:val="single" w:sz="4" w:space="0" w:color="0070C0"/>
            </w:tcBorders>
          </w:tcPr>
          <w:p w14:paraId="7B8E8E2F" w14:textId="77777777" w:rsidR="00350F25" w:rsidRPr="004739E4" w:rsidRDefault="00350F25" w:rsidP="00350F25">
            <w:pPr>
              <w:pStyle w:val="TableCellText"/>
            </w:pPr>
            <w:r>
              <w:t>Default value is based on recent (2015) estimates. Replacing default with more up-to-date or local average will improve cost and cost effectiveness estimates in the results.</w:t>
            </w:r>
          </w:p>
        </w:tc>
      </w:tr>
    </w:tbl>
    <w:p w14:paraId="6164867C" w14:textId="77777777" w:rsidR="00350F25" w:rsidRDefault="00350F25" w:rsidP="00350F25">
      <w:pPr>
        <w:pStyle w:val="BodyText"/>
        <w:rPr>
          <w:b/>
          <w:iCs/>
        </w:rPr>
      </w:pPr>
      <w:r w:rsidRPr="001E1A0E">
        <w:rPr>
          <w:b/>
          <w:iCs/>
        </w:rPr>
        <w:lastRenderedPageBreak/>
        <w:t>Results</w:t>
      </w:r>
    </w:p>
    <w:p w14:paraId="688829EC" w14:textId="77777777" w:rsidR="00350F25" w:rsidRDefault="00350F25" w:rsidP="00350F25">
      <w:pPr>
        <w:pStyle w:val="BodyText"/>
        <w:rPr>
          <w:iCs/>
        </w:rPr>
      </w:pPr>
      <w:r>
        <w:rPr>
          <w:iCs/>
        </w:rPr>
        <w:t>The results from this analysis are summarized and described in the following section to compare the results of the two analyses.</w:t>
      </w:r>
    </w:p>
    <w:p w14:paraId="4ABD2BA2" w14:textId="77777777" w:rsidR="00350F25" w:rsidRDefault="00350F25" w:rsidP="00350F25">
      <w:pPr>
        <w:pStyle w:val="Heading3"/>
      </w:pPr>
      <w:bookmarkStart w:id="118" w:name="_Toc482973580"/>
      <w:r w:rsidRPr="00140664">
        <w:t>Truck Deployment Analysis – Accelerated Retirement</w:t>
      </w:r>
      <w:bookmarkEnd w:id="118"/>
    </w:p>
    <w:p w14:paraId="563FCB14" w14:textId="77777777" w:rsidR="00350F25" w:rsidRDefault="00350F25" w:rsidP="00350F25">
      <w:pPr>
        <w:pStyle w:val="BodyText"/>
      </w:pPr>
      <w:r>
        <w:t xml:space="preserve">As described in the scenario, the results of the alternative fuel truck deployment should be compared to accelerating the deployment of new diesel trucks to replace older models. </w:t>
      </w:r>
    </w:p>
    <w:p w14:paraId="685EA750" w14:textId="77777777" w:rsidR="00350F25" w:rsidRDefault="00350F25" w:rsidP="00350F25">
      <w:pPr>
        <w:pStyle w:val="BodyText"/>
      </w:pPr>
      <w:r>
        <w:t>For each input option, enter the selections presented in the table below.</w:t>
      </w:r>
    </w:p>
    <w:tbl>
      <w:tblPr>
        <w:tblStyle w:val="TemplateTable"/>
        <w:tblW w:w="5000" w:type="pct"/>
        <w:tblLayout w:type="fixed"/>
        <w:tblCellMar>
          <w:top w:w="0" w:type="dxa"/>
          <w:bottom w:w="0" w:type="dxa"/>
        </w:tblCellMar>
        <w:tblLook w:val="04A0" w:firstRow="1" w:lastRow="0" w:firstColumn="1" w:lastColumn="0" w:noHBand="0" w:noVBand="1"/>
      </w:tblPr>
      <w:tblGrid>
        <w:gridCol w:w="2246"/>
        <w:gridCol w:w="1801"/>
        <w:gridCol w:w="5303"/>
      </w:tblGrid>
      <w:tr w:rsidR="00350F25" w:rsidRPr="00CC451D" w14:paraId="3F2C21A6" w14:textId="77777777" w:rsidTr="00350F25">
        <w:trPr>
          <w:cnfStyle w:val="100000000000" w:firstRow="1" w:lastRow="0" w:firstColumn="0" w:lastColumn="0" w:oddVBand="0" w:evenVBand="0" w:oddHBand="0" w:evenHBand="0" w:firstRowFirstColumn="0" w:firstRowLastColumn="0" w:lastRowFirstColumn="0" w:lastRowLastColumn="0"/>
          <w:trHeight w:val="24"/>
        </w:trPr>
        <w:tc>
          <w:tcPr>
            <w:tcW w:w="1201" w:type="pct"/>
            <w:tcBorders>
              <w:bottom w:val="single" w:sz="4" w:space="0" w:color="0070C0"/>
            </w:tcBorders>
            <w:noWrap/>
            <w:vAlign w:val="bottom"/>
          </w:tcPr>
          <w:p w14:paraId="12459B3B" w14:textId="77777777" w:rsidR="00350F25" w:rsidRPr="004739E4" w:rsidRDefault="00350F25" w:rsidP="00350F25">
            <w:pPr>
              <w:pStyle w:val="TableColumnHeading"/>
            </w:pPr>
            <w:r>
              <w:t>Category</w:t>
            </w:r>
          </w:p>
        </w:tc>
        <w:tc>
          <w:tcPr>
            <w:tcW w:w="963" w:type="pct"/>
            <w:tcBorders>
              <w:bottom w:val="single" w:sz="4" w:space="0" w:color="0070C0"/>
            </w:tcBorders>
            <w:vAlign w:val="bottom"/>
          </w:tcPr>
          <w:p w14:paraId="1360E0E1" w14:textId="77777777" w:rsidR="00350F25" w:rsidRPr="004739E4" w:rsidRDefault="00350F25" w:rsidP="00350F25">
            <w:pPr>
              <w:pStyle w:val="TableColumnHeading"/>
            </w:pPr>
            <w:r>
              <w:t>Selection</w:t>
            </w:r>
          </w:p>
        </w:tc>
        <w:tc>
          <w:tcPr>
            <w:tcW w:w="2836" w:type="pct"/>
            <w:tcBorders>
              <w:bottom w:val="single" w:sz="4" w:space="0" w:color="0070C0"/>
            </w:tcBorders>
            <w:vAlign w:val="bottom"/>
          </w:tcPr>
          <w:p w14:paraId="069FE54B" w14:textId="77777777" w:rsidR="00350F25" w:rsidRPr="004739E4" w:rsidRDefault="00350F25" w:rsidP="00350F25">
            <w:pPr>
              <w:pStyle w:val="TableColumnHeading"/>
            </w:pPr>
            <w:r>
              <w:t>Notes</w:t>
            </w:r>
          </w:p>
        </w:tc>
      </w:tr>
      <w:tr w:rsidR="00350F25" w:rsidRPr="00CC451D" w14:paraId="5C21323C"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1B13A803" w14:textId="77777777" w:rsidR="00350F25" w:rsidRPr="004739E4" w:rsidRDefault="00350F25" w:rsidP="00350F25">
            <w:pPr>
              <w:pStyle w:val="TableCellText"/>
            </w:pPr>
            <w:r w:rsidRPr="00F6465A">
              <w:rPr>
                <w:b/>
              </w:rPr>
              <w:t>Analysis</w:t>
            </w:r>
          </w:p>
        </w:tc>
      </w:tr>
      <w:tr w:rsidR="00350F25" w:rsidRPr="00CC451D" w14:paraId="2890EEA0"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00911C04" w14:textId="77777777" w:rsidR="00350F25" w:rsidRPr="004739E4" w:rsidRDefault="00350F25" w:rsidP="00350F25">
            <w:pPr>
              <w:pStyle w:val="TableCellText"/>
            </w:pPr>
            <w:r>
              <w:t>Analysis</w:t>
            </w:r>
          </w:p>
        </w:tc>
        <w:tc>
          <w:tcPr>
            <w:tcW w:w="963" w:type="pct"/>
            <w:tcBorders>
              <w:top w:val="single" w:sz="4" w:space="0" w:color="0070C0"/>
              <w:left w:val="single" w:sz="4" w:space="0" w:color="0070C0"/>
              <w:bottom w:val="single" w:sz="4" w:space="0" w:color="0070C0"/>
              <w:right w:val="single" w:sz="4" w:space="0" w:color="0070C0"/>
            </w:tcBorders>
          </w:tcPr>
          <w:p w14:paraId="59EC6E5D" w14:textId="77777777" w:rsidR="00350F25" w:rsidRPr="004739E4" w:rsidRDefault="00350F25" w:rsidP="00350F25">
            <w:pPr>
              <w:pStyle w:val="TableCellText"/>
            </w:pPr>
            <w:r>
              <w:t>Truck Deployment Analysis</w:t>
            </w:r>
          </w:p>
        </w:tc>
        <w:tc>
          <w:tcPr>
            <w:tcW w:w="2836" w:type="pct"/>
            <w:tcBorders>
              <w:top w:val="single" w:sz="4" w:space="0" w:color="0070C0"/>
              <w:left w:val="single" w:sz="4" w:space="0" w:color="0070C0"/>
              <w:bottom w:val="single" w:sz="4" w:space="0" w:color="0070C0"/>
              <w:right w:val="single" w:sz="4" w:space="0" w:color="0070C0"/>
            </w:tcBorders>
          </w:tcPr>
          <w:p w14:paraId="5E52C65E" w14:textId="77777777" w:rsidR="00350F25" w:rsidRPr="004739E4" w:rsidRDefault="00350F25" w:rsidP="00350F25">
            <w:pPr>
              <w:pStyle w:val="TableCellText"/>
            </w:pPr>
            <w:r>
              <w:t>This analysis allows the user t</w:t>
            </w:r>
            <w:r w:rsidRPr="00140664">
              <w:t xml:space="preserve">o </w:t>
            </w:r>
            <w:r>
              <w:t>estimate full costs and emissions impacts of a program.</w:t>
            </w:r>
          </w:p>
        </w:tc>
      </w:tr>
      <w:tr w:rsidR="00350F25" w:rsidRPr="00CC451D" w14:paraId="5549753F"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5B1F27DF" w14:textId="77777777" w:rsidR="00350F25" w:rsidRPr="004739E4" w:rsidRDefault="00350F25" w:rsidP="00350F25">
            <w:pPr>
              <w:pStyle w:val="TableCellText"/>
            </w:pPr>
            <w:r w:rsidRPr="00447743">
              <w:rPr>
                <w:b/>
              </w:rPr>
              <w:t>Scope</w:t>
            </w:r>
          </w:p>
        </w:tc>
      </w:tr>
      <w:tr w:rsidR="00350F25" w:rsidRPr="00CC451D" w14:paraId="02C8C81E"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7E23C68D" w14:textId="77777777" w:rsidR="00350F25" w:rsidRDefault="00350F25" w:rsidP="00350F25">
            <w:pPr>
              <w:pStyle w:val="TableCellText"/>
            </w:pPr>
            <w:r>
              <w:t>Year of Modification</w:t>
            </w:r>
          </w:p>
        </w:tc>
        <w:tc>
          <w:tcPr>
            <w:tcW w:w="963" w:type="pct"/>
            <w:tcBorders>
              <w:top w:val="single" w:sz="4" w:space="0" w:color="0070C0"/>
              <w:left w:val="single" w:sz="4" w:space="0" w:color="0070C0"/>
              <w:bottom w:val="single" w:sz="4" w:space="0" w:color="0070C0"/>
              <w:right w:val="single" w:sz="4" w:space="0" w:color="0070C0"/>
            </w:tcBorders>
          </w:tcPr>
          <w:p w14:paraId="3D85192B" w14:textId="77777777" w:rsidR="00350F25" w:rsidRDefault="00350F25" w:rsidP="00350F25">
            <w:pPr>
              <w:pStyle w:val="TableCellText"/>
            </w:pPr>
            <w:r>
              <w:t>2030</w:t>
            </w:r>
          </w:p>
        </w:tc>
        <w:tc>
          <w:tcPr>
            <w:tcW w:w="2836" w:type="pct"/>
            <w:tcBorders>
              <w:top w:val="single" w:sz="4" w:space="0" w:color="0070C0"/>
              <w:left w:val="single" w:sz="4" w:space="0" w:color="0070C0"/>
              <w:bottom w:val="single" w:sz="4" w:space="0" w:color="0070C0"/>
              <w:right w:val="single" w:sz="4" w:space="0" w:color="0070C0"/>
            </w:tcBorders>
          </w:tcPr>
          <w:p w14:paraId="36234988" w14:textId="77777777" w:rsidR="00350F25" w:rsidRPr="004739E4" w:rsidRDefault="00350F25" w:rsidP="00350F25">
            <w:pPr>
              <w:pStyle w:val="TableCellText"/>
            </w:pPr>
            <w:r>
              <w:t>The modification</w:t>
            </w:r>
            <w:r w:rsidRPr="00140664">
              <w:t xml:space="preserve"> year is when the modifications </w:t>
            </w:r>
            <w:r>
              <w:t xml:space="preserve">or replacements </w:t>
            </w:r>
            <w:r w:rsidRPr="00140664">
              <w:t>take place</w:t>
            </w:r>
            <w:r>
              <w:t>. 2030 is described as the target year in the scenario, but the user can choose to select an earlier year to represent a time during the implementation of the program.</w:t>
            </w:r>
          </w:p>
        </w:tc>
      </w:tr>
      <w:tr w:rsidR="00350F25" w:rsidRPr="00CC451D" w14:paraId="7660490A"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6BB1D4FA" w14:textId="77777777" w:rsidR="00350F25" w:rsidRDefault="00350F25" w:rsidP="00350F25">
            <w:pPr>
              <w:pStyle w:val="TableCellText"/>
            </w:pPr>
            <w:r>
              <w:t>Area of Interest</w:t>
            </w:r>
          </w:p>
        </w:tc>
        <w:tc>
          <w:tcPr>
            <w:tcW w:w="963" w:type="pct"/>
            <w:tcBorders>
              <w:top w:val="single" w:sz="4" w:space="0" w:color="0070C0"/>
              <w:left w:val="single" w:sz="4" w:space="0" w:color="0070C0"/>
              <w:bottom w:val="single" w:sz="4" w:space="0" w:color="0070C0"/>
              <w:right w:val="single" w:sz="4" w:space="0" w:color="0070C0"/>
            </w:tcBorders>
          </w:tcPr>
          <w:p w14:paraId="20446FDD" w14:textId="77777777" w:rsidR="00350F25" w:rsidRDefault="00350F25" w:rsidP="00350F25">
            <w:pPr>
              <w:pStyle w:val="TableCellText"/>
            </w:pPr>
            <w:r>
              <w:t>Port</w:t>
            </w:r>
          </w:p>
        </w:tc>
        <w:tc>
          <w:tcPr>
            <w:tcW w:w="2836" w:type="pct"/>
            <w:tcBorders>
              <w:top w:val="single" w:sz="4" w:space="0" w:color="0070C0"/>
              <w:left w:val="single" w:sz="4" w:space="0" w:color="0070C0"/>
              <w:bottom w:val="single" w:sz="4" w:space="0" w:color="0070C0"/>
              <w:right w:val="single" w:sz="4" w:space="0" w:color="0070C0"/>
            </w:tcBorders>
          </w:tcPr>
          <w:p w14:paraId="7C843132" w14:textId="77777777" w:rsidR="00350F25" w:rsidRPr="004739E4" w:rsidRDefault="00350F25" w:rsidP="00350F25">
            <w:pPr>
              <w:pStyle w:val="TableCellText"/>
            </w:pPr>
            <w:r w:rsidRPr="00CE6761">
              <w:t xml:space="preserve">Geographic scale determines the emission factors used in the calculations. The larger the geographic scale </w:t>
            </w:r>
            <w:r>
              <w:t>assume</w:t>
            </w:r>
            <w:r w:rsidRPr="00CE6761">
              <w:t xml:space="preserve"> more freeways </w:t>
            </w:r>
            <w:r>
              <w:t xml:space="preserve">are </w:t>
            </w:r>
            <w:r w:rsidRPr="00CE6761">
              <w:t>used, while the smaller geographic scales have more local roads</w:t>
            </w:r>
            <w:r>
              <w:t>.</w:t>
            </w:r>
          </w:p>
        </w:tc>
      </w:tr>
      <w:tr w:rsidR="00350F25" w:rsidRPr="00CC451D" w14:paraId="0ED0FDE5"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66DF0AD4" w14:textId="77777777" w:rsidR="00350F25" w:rsidRDefault="00350F25" w:rsidP="00350F25">
            <w:pPr>
              <w:pStyle w:val="TableCellText"/>
            </w:pPr>
            <w:r>
              <w:t>Type of Truck</w:t>
            </w:r>
          </w:p>
        </w:tc>
        <w:tc>
          <w:tcPr>
            <w:tcW w:w="963" w:type="pct"/>
            <w:tcBorders>
              <w:top w:val="single" w:sz="4" w:space="0" w:color="0070C0"/>
              <w:left w:val="single" w:sz="4" w:space="0" w:color="0070C0"/>
              <w:bottom w:val="single" w:sz="4" w:space="0" w:color="0070C0"/>
              <w:right w:val="single" w:sz="4" w:space="0" w:color="0070C0"/>
            </w:tcBorders>
          </w:tcPr>
          <w:p w14:paraId="15AF4D25" w14:textId="77777777" w:rsidR="00350F25" w:rsidRDefault="00350F25" w:rsidP="00350F25">
            <w:pPr>
              <w:pStyle w:val="TableCellText"/>
            </w:pPr>
            <w:r>
              <w:t>Combo Unit Short Haul</w:t>
            </w:r>
          </w:p>
        </w:tc>
        <w:tc>
          <w:tcPr>
            <w:tcW w:w="2836" w:type="pct"/>
            <w:tcBorders>
              <w:top w:val="single" w:sz="4" w:space="0" w:color="0070C0"/>
              <w:left w:val="single" w:sz="4" w:space="0" w:color="0070C0"/>
              <w:bottom w:val="single" w:sz="4" w:space="0" w:color="0070C0"/>
              <w:right w:val="single" w:sz="4" w:space="0" w:color="0070C0"/>
            </w:tcBorders>
          </w:tcPr>
          <w:p w14:paraId="012F4E06" w14:textId="77777777" w:rsidR="00350F25" w:rsidRPr="004739E4" w:rsidRDefault="00350F25" w:rsidP="00350F25">
            <w:pPr>
              <w:pStyle w:val="TableCellText"/>
            </w:pPr>
            <w:r>
              <w:t xml:space="preserve">Port scenarios assume that truck programs only apply to drayage trucks, which are categorized as </w:t>
            </w:r>
            <w:r w:rsidRPr="00140664">
              <w:t xml:space="preserve">combination </w:t>
            </w:r>
            <w:r>
              <w:t>short haul trucks in the Tool.</w:t>
            </w:r>
          </w:p>
        </w:tc>
      </w:tr>
      <w:tr w:rsidR="00350F25" w:rsidRPr="00CC451D" w14:paraId="5CECFC2E"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02A8F923" w14:textId="77777777" w:rsidR="00350F25" w:rsidRDefault="00350F25" w:rsidP="00350F25">
            <w:pPr>
              <w:pStyle w:val="TableCellText"/>
            </w:pPr>
            <w:r>
              <w:t>Type of Modification</w:t>
            </w:r>
          </w:p>
        </w:tc>
        <w:tc>
          <w:tcPr>
            <w:tcW w:w="963" w:type="pct"/>
            <w:tcBorders>
              <w:top w:val="single" w:sz="4" w:space="0" w:color="0070C0"/>
              <w:left w:val="single" w:sz="4" w:space="0" w:color="0070C0"/>
              <w:bottom w:val="single" w:sz="4" w:space="0" w:color="0070C0"/>
              <w:right w:val="single" w:sz="4" w:space="0" w:color="0070C0"/>
            </w:tcBorders>
          </w:tcPr>
          <w:p w14:paraId="276A6282" w14:textId="77777777" w:rsidR="00350F25" w:rsidRDefault="00350F25" w:rsidP="00350F25">
            <w:pPr>
              <w:pStyle w:val="TableCellText"/>
            </w:pPr>
            <w:r>
              <w:t>Accelerated Retirement</w:t>
            </w:r>
          </w:p>
        </w:tc>
        <w:tc>
          <w:tcPr>
            <w:tcW w:w="2836" w:type="pct"/>
            <w:tcBorders>
              <w:top w:val="single" w:sz="4" w:space="0" w:color="0070C0"/>
              <w:left w:val="single" w:sz="4" w:space="0" w:color="0070C0"/>
              <w:bottom w:val="single" w:sz="4" w:space="0" w:color="0070C0"/>
              <w:right w:val="single" w:sz="4" w:space="0" w:color="0070C0"/>
            </w:tcBorders>
          </w:tcPr>
          <w:p w14:paraId="3751EC8F" w14:textId="77777777" w:rsidR="00350F25" w:rsidRPr="004739E4" w:rsidRDefault="00350F25" w:rsidP="00350F25">
            <w:pPr>
              <w:pStyle w:val="TableCellText"/>
            </w:pPr>
            <w:r>
              <w:t>This selection assumes trucks of older model years (selected on the Vehicle Data page) will be replaced with trucks of later model years.</w:t>
            </w:r>
          </w:p>
        </w:tc>
      </w:tr>
      <w:tr w:rsidR="00350F25" w:rsidRPr="00CC451D" w14:paraId="54823CA3"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0A936B26" w14:textId="77777777" w:rsidR="00350F25" w:rsidRPr="004739E4" w:rsidRDefault="00350F25" w:rsidP="00350F25">
            <w:pPr>
              <w:pStyle w:val="TableCellText"/>
            </w:pPr>
            <w:r w:rsidRPr="00447743">
              <w:rPr>
                <w:b/>
              </w:rPr>
              <w:t>Vehicle Data</w:t>
            </w:r>
          </w:p>
        </w:tc>
      </w:tr>
      <w:tr w:rsidR="00350F25" w:rsidRPr="00CC451D" w14:paraId="511135D7"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235D1D05" w14:textId="77777777" w:rsidR="00350F25" w:rsidRDefault="00350F25" w:rsidP="00350F25">
            <w:pPr>
              <w:pStyle w:val="TableCellText"/>
            </w:pPr>
            <w:r>
              <w:t>Number of Trucks to Be Replaced</w:t>
            </w:r>
          </w:p>
        </w:tc>
        <w:tc>
          <w:tcPr>
            <w:tcW w:w="963" w:type="pct"/>
            <w:tcBorders>
              <w:top w:val="single" w:sz="4" w:space="0" w:color="0070C0"/>
              <w:left w:val="single" w:sz="4" w:space="0" w:color="0070C0"/>
              <w:bottom w:val="single" w:sz="4" w:space="0" w:color="0070C0"/>
              <w:right w:val="single" w:sz="4" w:space="0" w:color="0070C0"/>
            </w:tcBorders>
          </w:tcPr>
          <w:p w14:paraId="462F208F" w14:textId="77777777" w:rsidR="00350F25" w:rsidRDefault="00350F25" w:rsidP="00350F25">
            <w:pPr>
              <w:pStyle w:val="TableCellText"/>
            </w:pPr>
            <w:r>
              <w:t>100</w:t>
            </w:r>
          </w:p>
        </w:tc>
        <w:tc>
          <w:tcPr>
            <w:tcW w:w="2836" w:type="pct"/>
            <w:tcBorders>
              <w:top w:val="single" w:sz="4" w:space="0" w:color="0070C0"/>
              <w:left w:val="single" w:sz="4" w:space="0" w:color="0070C0"/>
              <w:bottom w:val="single" w:sz="4" w:space="0" w:color="0070C0"/>
              <w:right w:val="single" w:sz="4" w:space="0" w:color="0070C0"/>
            </w:tcBorders>
          </w:tcPr>
          <w:p w14:paraId="1900DC54" w14:textId="77777777" w:rsidR="00350F25" w:rsidRPr="004739E4" w:rsidRDefault="00350F25" w:rsidP="00350F25">
            <w:pPr>
              <w:pStyle w:val="TableCellText"/>
            </w:pPr>
            <w:r>
              <w:t>The results can be divided by 100 to calculate the per-truck impacts.</w:t>
            </w:r>
          </w:p>
        </w:tc>
      </w:tr>
      <w:tr w:rsidR="00350F25" w:rsidRPr="00CC451D" w14:paraId="3D98E654"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1C4B6335" w14:textId="77777777" w:rsidR="00350F25" w:rsidRDefault="00350F25" w:rsidP="00350F25">
            <w:pPr>
              <w:pStyle w:val="TableCellText"/>
            </w:pPr>
            <w:r>
              <w:t>Average Annual Mileage Accumulation</w:t>
            </w:r>
          </w:p>
        </w:tc>
        <w:tc>
          <w:tcPr>
            <w:tcW w:w="963" w:type="pct"/>
            <w:tcBorders>
              <w:top w:val="single" w:sz="4" w:space="0" w:color="0070C0"/>
              <w:left w:val="single" w:sz="4" w:space="0" w:color="0070C0"/>
              <w:bottom w:val="single" w:sz="4" w:space="0" w:color="0070C0"/>
              <w:right w:val="single" w:sz="4" w:space="0" w:color="0070C0"/>
            </w:tcBorders>
          </w:tcPr>
          <w:p w14:paraId="1329A386" w14:textId="77777777" w:rsidR="00350F25" w:rsidRDefault="00350F25" w:rsidP="00350F25">
            <w:pPr>
              <w:pStyle w:val="TableCellText"/>
            </w:pPr>
            <w:r>
              <w:t>Leave default value (39,557)</w:t>
            </w:r>
          </w:p>
        </w:tc>
        <w:tc>
          <w:tcPr>
            <w:tcW w:w="2836" w:type="pct"/>
            <w:tcBorders>
              <w:top w:val="single" w:sz="4" w:space="0" w:color="0070C0"/>
              <w:left w:val="single" w:sz="4" w:space="0" w:color="0070C0"/>
              <w:bottom w:val="single" w:sz="4" w:space="0" w:color="0070C0"/>
              <w:right w:val="single" w:sz="4" w:space="0" w:color="0070C0"/>
            </w:tcBorders>
          </w:tcPr>
          <w:p w14:paraId="3F731928" w14:textId="77777777" w:rsidR="00350F25" w:rsidRPr="004739E4" w:rsidRDefault="00350F25" w:rsidP="00350F25">
            <w:pPr>
              <w:pStyle w:val="TableCellText"/>
            </w:pPr>
            <w:r>
              <w:t>The</w:t>
            </w:r>
            <w:r w:rsidRPr="0050596A">
              <w:t xml:space="preserve"> default </w:t>
            </w:r>
            <w:r>
              <w:t>values come</w:t>
            </w:r>
            <w:r w:rsidRPr="0050596A">
              <w:t xml:space="preserve"> from </w:t>
            </w:r>
            <w:r>
              <w:t xml:space="preserve">the </w:t>
            </w:r>
            <w:r w:rsidRPr="0050596A">
              <w:t>MOVES</w:t>
            </w:r>
            <w:r>
              <w:t xml:space="preserve"> model</w:t>
            </w:r>
            <w:r w:rsidRPr="0050596A">
              <w:t xml:space="preserve">. </w:t>
            </w:r>
            <w:r>
              <w:t>M</w:t>
            </w:r>
            <w:r w:rsidRPr="0050596A">
              <w:t xml:space="preserve">ore annual miles </w:t>
            </w:r>
            <w:r>
              <w:t>will result in</w:t>
            </w:r>
            <w:r w:rsidRPr="0050596A">
              <w:t xml:space="preserve"> more emissions benefits</w:t>
            </w:r>
            <w:r>
              <w:t>.</w:t>
            </w:r>
          </w:p>
        </w:tc>
      </w:tr>
      <w:tr w:rsidR="00350F25" w:rsidRPr="00CC451D" w14:paraId="46003D92"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2DC8F357" w14:textId="77777777" w:rsidR="00350F25" w:rsidRDefault="00350F25" w:rsidP="00350F25">
            <w:pPr>
              <w:pStyle w:val="TableCellText"/>
            </w:pPr>
            <w:r>
              <w:t>Range of Model Years to Modify/Scrap (inclusive)</w:t>
            </w:r>
          </w:p>
        </w:tc>
        <w:tc>
          <w:tcPr>
            <w:tcW w:w="963" w:type="pct"/>
            <w:tcBorders>
              <w:top w:val="single" w:sz="4" w:space="0" w:color="0070C0"/>
              <w:left w:val="single" w:sz="4" w:space="0" w:color="0070C0"/>
              <w:bottom w:val="single" w:sz="4" w:space="0" w:color="0070C0"/>
              <w:right w:val="single" w:sz="4" w:space="0" w:color="0070C0"/>
            </w:tcBorders>
          </w:tcPr>
          <w:p w14:paraId="112C2DBF" w14:textId="77777777" w:rsidR="00350F25" w:rsidRDefault="00350F25" w:rsidP="00350F25">
            <w:pPr>
              <w:pStyle w:val="TableCellText"/>
            </w:pPr>
            <w:r>
              <w:t>Leave default values (2000-2017)</w:t>
            </w:r>
          </w:p>
        </w:tc>
        <w:tc>
          <w:tcPr>
            <w:tcW w:w="2836" w:type="pct"/>
            <w:tcBorders>
              <w:top w:val="single" w:sz="4" w:space="0" w:color="0070C0"/>
              <w:left w:val="single" w:sz="4" w:space="0" w:color="0070C0"/>
              <w:bottom w:val="single" w:sz="4" w:space="0" w:color="0070C0"/>
              <w:right w:val="single" w:sz="4" w:space="0" w:color="0070C0"/>
            </w:tcBorders>
          </w:tcPr>
          <w:p w14:paraId="66E3A365" w14:textId="77777777" w:rsidR="00350F25" w:rsidRPr="004739E4" w:rsidRDefault="00350F25" w:rsidP="00350F25">
            <w:pPr>
              <w:pStyle w:val="TableCellText"/>
            </w:pPr>
            <w:r>
              <w:t>This range is based on replacing pre-2018 trucks since the Heavy-Duty GHG Phase 1</w:t>
            </w:r>
            <w:r w:rsidRPr="00140664">
              <w:t xml:space="preserve"> rule would have been fully phased in by 201</w:t>
            </w:r>
            <w:r>
              <w:t>8, and the Phase 2 regulations begin.</w:t>
            </w:r>
          </w:p>
        </w:tc>
      </w:tr>
      <w:tr w:rsidR="00350F25" w:rsidRPr="00CC451D" w14:paraId="486AD42D"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1246E8C0" w14:textId="484AF9B1" w:rsidR="00350F25" w:rsidRDefault="006771E4" w:rsidP="00350F25">
            <w:pPr>
              <w:pStyle w:val="TableCellText"/>
            </w:pPr>
            <w:r>
              <w:t>Long haul</w:t>
            </w:r>
            <w:r w:rsidR="00350F25">
              <w:t xml:space="preserve"> Annual Idle Hours</w:t>
            </w:r>
          </w:p>
        </w:tc>
        <w:tc>
          <w:tcPr>
            <w:tcW w:w="963" w:type="pct"/>
            <w:tcBorders>
              <w:top w:val="single" w:sz="4" w:space="0" w:color="0070C0"/>
              <w:left w:val="single" w:sz="4" w:space="0" w:color="0070C0"/>
              <w:bottom w:val="single" w:sz="4" w:space="0" w:color="0070C0"/>
              <w:right w:val="single" w:sz="4" w:space="0" w:color="0070C0"/>
            </w:tcBorders>
          </w:tcPr>
          <w:p w14:paraId="455BD801" w14:textId="77777777" w:rsidR="00350F25" w:rsidRDefault="00350F25" w:rsidP="00350F25">
            <w:pPr>
              <w:pStyle w:val="TableCellText"/>
            </w:pPr>
            <w:r>
              <w:t>n/a</w:t>
            </w:r>
          </w:p>
        </w:tc>
        <w:tc>
          <w:tcPr>
            <w:tcW w:w="2836" w:type="pct"/>
            <w:tcBorders>
              <w:top w:val="single" w:sz="4" w:space="0" w:color="0070C0"/>
              <w:left w:val="single" w:sz="4" w:space="0" w:color="0070C0"/>
              <w:bottom w:val="single" w:sz="4" w:space="0" w:color="0070C0"/>
              <w:right w:val="single" w:sz="4" w:space="0" w:color="0070C0"/>
            </w:tcBorders>
          </w:tcPr>
          <w:p w14:paraId="6F7A786D" w14:textId="7F59DA75" w:rsidR="00350F25" w:rsidRPr="004739E4" w:rsidRDefault="00350F25" w:rsidP="00350F25">
            <w:pPr>
              <w:pStyle w:val="TableCellText"/>
            </w:pPr>
            <w:r>
              <w:t xml:space="preserve">Only applicable for strategies involving combo unit </w:t>
            </w:r>
            <w:r w:rsidR="006771E4">
              <w:t>long haul</w:t>
            </w:r>
            <w:r>
              <w:t xml:space="preserve"> trucks.</w:t>
            </w:r>
          </w:p>
        </w:tc>
      </w:tr>
      <w:tr w:rsidR="00350F25" w:rsidRPr="00CC451D" w14:paraId="3E3E0518"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455A8F73" w14:textId="77777777" w:rsidR="00350F25" w:rsidRPr="004739E4" w:rsidRDefault="00350F25" w:rsidP="0010295D">
            <w:pPr>
              <w:pStyle w:val="TableCellText"/>
              <w:keepNext/>
            </w:pPr>
            <w:r w:rsidRPr="00447743">
              <w:rPr>
                <w:b/>
              </w:rPr>
              <w:lastRenderedPageBreak/>
              <w:t>Fuel Costs</w:t>
            </w:r>
          </w:p>
        </w:tc>
      </w:tr>
      <w:tr w:rsidR="00350F25" w:rsidRPr="00CC451D" w14:paraId="61AF1F16"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6C564D25" w14:textId="77777777" w:rsidR="00350F25" w:rsidRDefault="00350F25" w:rsidP="0010295D">
            <w:pPr>
              <w:pStyle w:val="TableCellText"/>
              <w:keepNext/>
            </w:pPr>
            <w:r>
              <w:t>Cost per Unit</w:t>
            </w:r>
          </w:p>
        </w:tc>
        <w:tc>
          <w:tcPr>
            <w:tcW w:w="963" w:type="pct"/>
            <w:tcBorders>
              <w:top w:val="single" w:sz="4" w:space="0" w:color="0070C0"/>
              <w:left w:val="single" w:sz="4" w:space="0" w:color="0070C0"/>
              <w:bottom w:val="single" w:sz="4" w:space="0" w:color="0070C0"/>
              <w:right w:val="single" w:sz="4" w:space="0" w:color="0070C0"/>
            </w:tcBorders>
          </w:tcPr>
          <w:p w14:paraId="45DA8611" w14:textId="77777777" w:rsidR="00350F25" w:rsidRDefault="00350F25" w:rsidP="0010295D">
            <w:pPr>
              <w:pStyle w:val="TableCellText"/>
              <w:keepNext/>
            </w:pPr>
            <w:r>
              <w:t>Leave default values</w:t>
            </w:r>
          </w:p>
        </w:tc>
        <w:tc>
          <w:tcPr>
            <w:tcW w:w="2836" w:type="pct"/>
            <w:tcBorders>
              <w:top w:val="single" w:sz="4" w:space="0" w:color="0070C0"/>
              <w:left w:val="single" w:sz="4" w:space="0" w:color="0070C0"/>
              <w:bottom w:val="single" w:sz="4" w:space="0" w:color="0070C0"/>
              <w:right w:val="single" w:sz="4" w:space="0" w:color="0070C0"/>
            </w:tcBorders>
          </w:tcPr>
          <w:p w14:paraId="6B561D4E" w14:textId="77777777" w:rsidR="00350F25" w:rsidRPr="004739E4" w:rsidRDefault="00350F25" w:rsidP="0010295D">
            <w:pPr>
              <w:pStyle w:val="TableCellText"/>
              <w:keepNext/>
            </w:pPr>
            <w:r>
              <w:t xml:space="preserve">Default values are national averages; more up-to-date and regional fuel prices can be found at the Alternative Fuels Data Center’s </w:t>
            </w:r>
            <w:hyperlink r:id="rId88" w:history="1">
              <w:r w:rsidRPr="009E5B70">
                <w:rPr>
                  <w:rStyle w:val="Hyperlink"/>
                </w:rPr>
                <w:t>Fuel Prices webpage</w:t>
              </w:r>
            </w:hyperlink>
            <w:r>
              <w:t>.</w:t>
            </w:r>
          </w:p>
        </w:tc>
      </w:tr>
      <w:tr w:rsidR="00350F25" w:rsidRPr="00CC451D" w14:paraId="29987597"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1648829C" w14:textId="77777777" w:rsidR="00350F25" w:rsidRDefault="00350F25" w:rsidP="0010295D">
            <w:pPr>
              <w:pStyle w:val="TableCellText"/>
              <w:keepNext/>
            </w:pPr>
            <w:r>
              <w:t>Electricity Generation Region</w:t>
            </w:r>
          </w:p>
        </w:tc>
        <w:tc>
          <w:tcPr>
            <w:tcW w:w="963" w:type="pct"/>
            <w:tcBorders>
              <w:top w:val="single" w:sz="4" w:space="0" w:color="0070C0"/>
              <w:left w:val="single" w:sz="4" w:space="0" w:color="0070C0"/>
              <w:bottom w:val="single" w:sz="4" w:space="0" w:color="0070C0"/>
              <w:right w:val="single" w:sz="4" w:space="0" w:color="0070C0"/>
            </w:tcBorders>
          </w:tcPr>
          <w:p w14:paraId="76C7588F" w14:textId="77777777" w:rsidR="00350F25" w:rsidRDefault="00350F25" w:rsidP="0010295D">
            <w:pPr>
              <w:pStyle w:val="TableCellText"/>
              <w:keepNext/>
            </w:pPr>
            <w:r>
              <w:t>n/a</w:t>
            </w:r>
          </w:p>
        </w:tc>
        <w:tc>
          <w:tcPr>
            <w:tcW w:w="2836" w:type="pct"/>
            <w:tcBorders>
              <w:top w:val="single" w:sz="4" w:space="0" w:color="0070C0"/>
              <w:left w:val="single" w:sz="4" w:space="0" w:color="0070C0"/>
              <w:bottom w:val="single" w:sz="4" w:space="0" w:color="0070C0"/>
              <w:right w:val="single" w:sz="4" w:space="0" w:color="0070C0"/>
            </w:tcBorders>
          </w:tcPr>
          <w:p w14:paraId="589D6780" w14:textId="77777777" w:rsidR="00350F25" w:rsidRPr="004739E4" w:rsidRDefault="00350F25" w:rsidP="0010295D">
            <w:pPr>
              <w:pStyle w:val="TableCellText"/>
              <w:keepNext/>
            </w:pPr>
            <w:r>
              <w:t>This selection does not apply because accelerated retirement assumes replacement with new gasoline or diesel trucks, not electric trucks.</w:t>
            </w:r>
          </w:p>
        </w:tc>
      </w:tr>
      <w:tr w:rsidR="00350F25" w:rsidRPr="00CC451D" w14:paraId="716BB6CB"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58E3DE65" w14:textId="77777777" w:rsidR="00350F25" w:rsidRDefault="00350F25" w:rsidP="00350F25">
            <w:pPr>
              <w:pStyle w:val="TableCellText"/>
            </w:pPr>
            <w:r>
              <w:t>CO</w:t>
            </w:r>
            <w:r w:rsidRPr="00F6465A">
              <w:rPr>
                <w:vertAlign w:val="subscript"/>
              </w:rPr>
              <w:t>2</w:t>
            </w:r>
          </w:p>
        </w:tc>
        <w:tc>
          <w:tcPr>
            <w:tcW w:w="963" w:type="pct"/>
            <w:tcBorders>
              <w:top w:val="single" w:sz="4" w:space="0" w:color="0070C0"/>
              <w:left w:val="single" w:sz="4" w:space="0" w:color="0070C0"/>
              <w:bottom w:val="single" w:sz="4" w:space="0" w:color="0070C0"/>
              <w:right w:val="single" w:sz="4" w:space="0" w:color="0070C0"/>
            </w:tcBorders>
          </w:tcPr>
          <w:p w14:paraId="38D7BFE7" w14:textId="77777777" w:rsidR="00350F25" w:rsidRDefault="00350F25" w:rsidP="00350F25">
            <w:pPr>
              <w:pStyle w:val="TableCellText"/>
            </w:pPr>
            <w:r>
              <w:t>n/a</w:t>
            </w:r>
          </w:p>
        </w:tc>
        <w:tc>
          <w:tcPr>
            <w:tcW w:w="2836" w:type="pct"/>
            <w:tcBorders>
              <w:top w:val="single" w:sz="4" w:space="0" w:color="0070C0"/>
              <w:left w:val="single" w:sz="4" w:space="0" w:color="0070C0"/>
              <w:bottom w:val="single" w:sz="4" w:space="0" w:color="0070C0"/>
              <w:right w:val="single" w:sz="4" w:space="0" w:color="0070C0"/>
            </w:tcBorders>
          </w:tcPr>
          <w:p w14:paraId="47E9DA62" w14:textId="77777777" w:rsidR="00350F25" w:rsidRPr="004739E4" w:rsidRDefault="00350F25" w:rsidP="00350F25">
            <w:pPr>
              <w:pStyle w:val="TableCellText"/>
            </w:pPr>
            <w:r>
              <w:t>This selection does not apply for accelerated retirement.</w:t>
            </w:r>
          </w:p>
        </w:tc>
      </w:tr>
      <w:tr w:rsidR="00350F25" w:rsidRPr="00CC451D" w14:paraId="460E8060" w14:textId="77777777" w:rsidTr="00350F25">
        <w:trPr>
          <w:trHeight w:val="24"/>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D9D9D9" w:themeFill="accent5" w:themeFillTint="99"/>
            <w:noWrap/>
          </w:tcPr>
          <w:p w14:paraId="4C5077BE" w14:textId="77777777" w:rsidR="00350F25" w:rsidRPr="004739E4" w:rsidRDefault="00350F25" w:rsidP="00350F25">
            <w:pPr>
              <w:pStyle w:val="TableCellText"/>
            </w:pPr>
            <w:r w:rsidRPr="00447743">
              <w:rPr>
                <w:b/>
              </w:rPr>
              <w:t>Capital Costs</w:t>
            </w:r>
          </w:p>
        </w:tc>
      </w:tr>
      <w:tr w:rsidR="00350F25" w:rsidRPr="00CC451D" w14:paraId="66529CB4" w14:textId="77777777" w:rsidTr="00350F25">
        <w:trPr>
          <w:trHeight w:val="24"/>
        </w:trPr>
        <w:tc>
          <w:tcPr>
            <w:tcW w:w="1201" w:type="pct"/>
            <w:tcBorders>
              <w:top w:val="single" w:sz="4" w:space="0" w:color="0070C0"/>
              <w:left w:val="single" w:sz="4" w:space="0" w:color="0070C0"/>
              <w:bottom w:val="single" w:sz="4" w:space="0" w:color="0070C0"/>
              <w:right w:val="single" w:sz="4" w:space="0" w:color="0070C0"/>
            </w:tcBorders>
            <w:noWrap/>
          </w:tcPr>
          <w:p w14:paraId="355FC03D" w14:textId="77777777" w:rsidR="00350F25" w:rsidRDefault="00350F25" w:rsidP="00350F25">
            <w:pPr>
              <w:pStyle w:val="TableCellText"/>
            </w:pPr>
            <w:r>
              <w:t>Cost</w:t>
            </w:r>
          </w:p>
        </w:tc>
        <w:tc>
          <w:tcPr>
            <w:tcW w:w="963" w:type="pct"/>
            <w:tcBorders>
              <w:top w:val="single" w:sz="4" w:space="0" w:color="0070C0"/>
              <w:left w:val="single" w:sz="4" w:space="0" w:color="0070C0"/>
              <w:bottom w:val="single" w:sz="4" w:space="0" w:color="0070C0"/>
              <w:right w:val="single" w:sz="4" w:space="0" w:color="0070C0"/>
            </w:tcBorders>
          </w:tcPr>
          <w:p w14:paraId="355EA413" w14:textId="77777777" w:rsidR="00350F25" w:rsidRDefault="00350F25" w:rsidP="00350F25">
            <w:pPr>
              <w:pStyle w:val="TableCellText"/>
            </w:pPr>
            <w:r>
              <w:t>Leave default value ($123,152)</w:t>
            </w:r>
          </w:p>
        </w:tc>
        <w:tc>
          <w:tcPr>
            <w:tcW w:w="2836" w:type="pct"/>
            <w:tcBorders>
              <w:top w:val="single" w:sz="4" w:space="0" w:color="0070C0"/>
              <w:left w:val="single" w:sz="4" w:space="0" w:color="0070C0"/>
              <w:bottom w:val="single" w:sz="4" w:space="0" w:color="0070C0"/>
              <w:right w:val="single" w:sz="4" w:space="0" w:color="0070C0"/>
            </w:tcBorders>
          </w:tcPr>
          <w:p w14:paraId="0AC9446C" w14:textId="77777777" w:rsidR="00350F25" w:rsidRPr="004739E4" w:rsidRDefault="00350F25" w:rsidP="00350F25">
            <w:pPr>
              <w:pStyle w:val="TableCellText"/>
            </w:pPr>
            <w:r>
              <w:t>Default value is based on recent (2015) estimates. Replacing default with more up-to-date or local average will improve cost and cost effectiveness estimates in the results.</w:t>
            </w:r>
          </w:p>
        </w:tc>
      </w:tr>
    </w:tbl>
    <w:p w14:paraId="0A528B72" w14:textId="77777777" w:rsidR="00350F25" w:rsidRDefault="00350F25" w:rsidP="00350F25">
      <w:pPr>
        <w:pStyle w:val="BodyText"/>
      </w:pPr>
    </w:p>
    <w:p w14:paraId="1BBC5707" w14:textId="77777777" w:rsidR="00350F25" w:rsidRPr="000D61DA" w:rsidRDefault="00350F25" w:rsidP="00350F25">
      <w:pPr>
        <w:pStyle w:val="BodyText"/>
        <w:rPr>
          <w:b/>
        </w:rPr>
      </w:pPr>
      <w:r w:rsidRPr="000D61DA">
        <w:rPr>
          <w:b/>
        </w:rPr>
        <w:t>Results</w:t>
      </w:r>
    </w:p>
    <w:p w14:paraId="23636D61" w14:textId="77777777" w:rsidR="00350F25" w:rsidRDefault="00350F25" w:rsidP="00350F25">
      <w:pPr>
        <w:pStyle w:val="BodyText"/>
      </w:pPr>
      <w:r>
        <w:t xml:space="preserve">The results of the alternative fuel deployment analysis described in the previous section (Section </w:t>
      </w:r>
      <w:r>
        <w:fldChar w:fldCharType="begin"/>
      </w:r>
      <w:r>
        <w:instrText xml:space="preserve"> REF _Ref473729046 \r \h </w:instrText>
      </w:r>
      <w:r>
        <w:fldChar w:fldCharType="separate"/>
      </w:r>
      <w:r>
        <w:t>1.3.1</w:t>
      </w:r>
      <w:r>
        <w:fldChar w:fldCharType="end"/>
      </w:r>
      <w:r>
        <w:t>) and of the accelerated retirement deployment analysis described above. These analyses assume 100 model year 2017 or older conventional diesel trucks are replaced with either low NOx trucks fueled with renewable CNG or with newer model diesel trucks. Results are shown in the table below.</w:t>
      </w:r>
    </w:p>
    <w:tbl>
      <w:tblPr>
        <w:tblStyle w:val="TableGrid"/>
        <w:tblW w:w="9471" w:type="dxa"/>
        <w:tblLook w:val="04A0" w:firstRow="1" w:lastRow="0" w:firstColumn="1" w:lastColumn="0" w:noHBand="0" w:noVBand="1"/>
      </w:tblPr>
      <w:tblGrid>
        <w:gridCol w:w="1008"/>
        <w:gridCol w:w="1467"/>
        <w:gridCol w:w="869"/>
        <w:gridCol w:w="869"/>
        <w:gridCol w:w="869"/>
        <w:gridCol w:w="1246"/>
        <w:gridCol w:w="1008"/>
        <w:gridCol w:w="1127"/>
        <w:gridCol w:w="1008"/>
      </w:tblGrid>
      <w:tr w:rsidR="0010295D" w:rsidRPr="0010295D" w14:paraId="6AEFE193" w14:textId="77777777" w:rsidTr="0010295D">
        <w:trPr>
          <w:trHeight w:val="387"/>
        </w:trPr>
        <w:tc>
          <w:tcPr>
            <w:tcW w:w="1008" w:type="dxa"/>
            <w:vMerge w:val="restart"/>
            <w:tcBorders>
              <w:bottom w:val="single" w:sz="4" w:space="0" w:color="FFFFFF" w:themeColor="background1"/>
              <w:right w:val="single" w:sz="4" w:space="0" w:color="FFFFFF" w:themeColor="background1"/>
            </w:tcBorders>
            <w:shd w:val="clear" w:color="auto" w:fill="0067AB"/>
            <w:vAlign w:val="bottom"/>
            <w:hideMark/>
          </w:tcPr>
          <w:p w14:paraId="3867E0CE" w14:textId="77777777" w:rsidR="00350F25" w:rsidRPr="0010295D" w:rsidRDefault="00350F25" w:rsidP="0010295D">
            <w:pPr>
              <w:pStyle w:val="BodyText"/>
              <w:spacing w:after="0"/>
              <w:jc w:val="center"/>
              <w:rPr>
                <w:b/>
                <w:bCs/>
                <w:iCs/>
                <w:color w:val="FFFFFF" w:themeColor="background1"/>
                <w:sz w:val="20"/>
                <w:szCs w:val="20"/>
              </w:rPr>
            </w:pPr>
            <w:r w:rsidRPr="0010295D">
              <w:rPr>
                <w:b/>
                <w:bCs/>
                <w:iCs/>
                <w:color w:val="FFFFFF" w:themeColor="background1"/>
                <w:sz w:val="20"/>
                <w:szCs w:val="20"/>
              </w:rPr>
              <w:t>Baseline Fuel</w:t>
            </w:r>
          </w:p>
        </w:tc>
        <w:tc>
          <w:tcPr>
            <w:tcW w:w="1467"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0067AB"/>
            <w:vAlign w:val="bottom"/>
            <w:hideMark/>
          </w:tcPr>
          <w:p w14:paraId="04280C04" w14:textId="77777777" w:rsidR="00350F25" w:rsidRPr="0010295D" w:rsidRDefault="00350F25" w:rsidP="0010295D">
            <w:pPr>
              <w:pStyle w:val="BodyText"/>
              <w:spacing w:after="0"/>
              <w:jc w:val="center"/>
              <w:rPr>
                <w:b/>
                <w:bCs/>
                <w:iCs/>
                <w:color w:val="FFFFFF" w:themeColor="background1"/>
                <w:sz w:val="20"/>
                <w:szCs w:val="20"/>
              </w:rPr>
            </w:pPr>
            <w:r w:rsidRPr="0010295D">
              <w:rPr>
                <w:b/>
                <w:bCs/>
                <w:iCs/>
                <w:color w:val="FFFFFF" w:themeColor="background1"/>
                <w:sz w:val="20"/>
                <w:szCs w:val="20"/>
              </w:rPr>
              <w:t>Modification</w:t>
            </w:r>
          </w:p>
        </w:tc>
        <w:tc>
          <w:tcPr>
            <w:tcW w:w="2607"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0067AB"/>
            <w:vAlign w:val="bottom"/>
            <w:hideMark/>
          </w:tcPr>
          <w:p w14:paraId="0F61AC61" w14:textId="77777777" w:rsidR="00350F25" w:rsidRPr="0010295D" w:rsidRDefault="00350F25" w:rsidP="0010295D">
            <w:pPr>
              <w:pStyle w:val="BodyText"/>
              <w:spacing w:after="0"/>
              <w:jc w:val="center"/>
              <w:rPr>
                <w:b/>
                <w:bCs/>
                <w:iCs/>
                <w:color w:val="FFFFFF" w:themeColor="background1"/>
                <w:sz w:val="20"/>
                <w:szCs w:val="20"/>
              </w:rPr>
            </w:pPr>
            <w:r w:rsidRPr="0010295D">
              <w:rPr>
                <w:b/>
                <w:bCs/>
                <w:iCs/>
                <w:color w:val="FFFFFF" w:themeColor="background1"/>
                <w:sz w:val="20"/>
                <w:szCs w:val="20"/>
              </w:rPr>
              <w:t>Annual Emissions Reduced (tons)</w:t>
            </w:r>
          </w:p>
        </w:tc>
        <w:tc>
          <w:tcPr>
            <w:tcW w:w="1246"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0067AB"/>
            <w:vAlign w:val="bottom"/>
          </w:tcPr>
          <w:p w14:paraId="311EBE2F" w14:textId="77777777" w:rsidR="00350F25" w:rsidRPr="0010295D" w:rsidRDefault="00350F25" w:rsidP="0010295D">
            <w:pPr>
              <w:pStyle w:val="BodyText"/>
              <w:spacing w:after="0"/>
              <w:jc w:val="center"/>
              <w:rPr>
                <w:b/>
                <w:bCs/>
                <w:iCs/>
                <w:color w:val="FFFFFF" w:themeColor="background1"/>
                <w:sz w:val="20"/>
                <w:szCs w:val="20"/>
              </w:rPr>
            </w:pPr>
            <w:r w:rsidRPr="0010295D">
              <w:rPr>
                <w:b/>
                <w:bCs/>
                <w:iCs/>
                <w:color w:val="FFFFFF" w:themeColor="background1"/>
                <w:sz w:val="20"/>
                <w:szCs w:val="20"/>
              </w:rPr>
              <w:t>Capital Cost (annualized)</w:t>
            </w:r>
          </w:p>
        </w:tc>
        <w:tc>
          <w:tcPr>
            <w:tcW w:w="3143" w:type="dxa"/>
            <w:gridSpan w:val="3"/>
            <w:tcBorders>
              <w:left w:val="single" w:sz="4" w:space="0" w:color="FFFFFF" w:themeColor="background1"/>
              <w:bottom w:val="single" w:sz="4" w:space="0" w:color="FFFFFF" w:themeColor="background1"/>
            </w:tcBorders>
            <w:shd w:val="clear" w:color="auto" w:fill="0067AB"/>
            <w:vAlign w:val="bottom"/>
            <w:hideMark/>
          </w:tcPr>
          <w:p w14:paraId="0372ECB7" w14:textId="77777777" w:rsidR="00350F25" w:rsidRPr="0010295D" w:rsidRDefault="00350F25" w:rsidP="0010295D">
            <w:pPr>
              <w:pStyle w:val="BodyText"/>
              <w:spacing w:after="0"/>
              <w:jc w:val="center"/>
              <w:rPr>
                <w:b/>
                <w:bCs/>
                <w:iCs/>
                <w:color w:val="FFFFFF" w:themeColor="background1"/>
                <w:sz w:val="20"/>
                <w:szCs w:val="20"/>
              </w:rPr>
            </w:pPr>
            <w:r w:rsidRPr="0010295D">
              <w:rPr>
                <w:b/>
                <w:bCs/>
                <w:iCs/>
                <w:color w:val="FFFFFF" w:themeColor="background1"/>
                <w:sz w:val="20"/>
                <w:szCs w:val="20"/>
              </w:rPr>
              <w:t>Cost Effectiveness ($/ton)</w:t>
            </w:r>
          </w:p>
        </w:tc>
      </w:tr>
      <w:tr w:rsidR="0010295D" w:rsidRPr="0010295D" w14:paraId="3AFA5AC9" w14:textId="77777777" w:rsidTr="0010295D">
        <w:trPr>
          <w:trHeight w:val="387"/>
        </w:trPr>
        <w:tc>
          <w:tcPr>
            <w:tcW w:w="1008" w:type="dxa"/>
            <w:vMerge/>
            <w:tcBorders>
              <w:top w:val="single" w:sz="4" w:space="0" w:color="FFFFFF" w:themeColor="background1"/>
              <w:bottom w:val="single" w:sz="4" w:space="0" w:color="0067AB"/>
              <w:right w:val="single" w:sz="4" w:space="0" w:color="FFFFFF" w:themeColor="background1"/>
            </w:tcBorders>
            <w:shd w:val="clear" w:color="auto" w:fill="0067AB"/>
            <w:vAlign w:val="bottom"/>
          </w:tcPr>
          <w:p w14:paraId="0FADADFB" w14:textId="77777777" w:rsidR="00350F25" w:rsidRPr="0010295D" w:rsidRDefault="00350F25" w:rsidP="0010295D">
            <w:pPr>
              <w:pStyle w:val="BodyText"/>
              <w:spacing w:after="0"/>
              <w:jc w:val="center"/>
              <w:rPr>
                <w:b/>
                <w:bCs/>
                <w:iCs/>
                <w:color w:val="FFFFFF" w:themeColor="background1"/>
                <w:sz w:val="20"/>
                <w:szCs w:val="20"/>
              </w:rPr>
            </w:pPr>
          </w:p>
        </w:tc>
        <w:tc>
          <w:tcPr>
            <w:tcW w:w="1467" w:type="dxa"/>
            <w:vMerge/>
            <w:tcBorders>
              <w:top w:val="single" w:sz="4" w:space="0" w:color="FFFFFF" w:themeColor="background1"/>
              <w:left w:val="single" w:sz="4" w:space="0" w:color="FFFFFF" w:themeColor="background1"/>
              <w:bottom w:val="single" w:sz="4" w:space="0" w:color="0067AB"/>
              <w:right w:val="single" w:sz="4" w:space="0" w:color="FFFFFF" w:themeColor="background1"/>
            </w:tcBorders>
            <w:shd w:val="clear" w:color="auto" w:fill="0067AB"/>
            <w:vAlign w:val="bottom"/>
          </w:tcPr>
          <w:p w14:paraId="14F8271D" w14:textId="77777777" w:rsidR="00350F25" w:rsidRPr="0010295D" w:rsidRDefault="00350F25" w:rsidP="0010295D">
            <w:pPr>
              <w:pStyle w:val="BodyText"/>
              <w:spacing w:after="0"/>
              <w:jc w:val="center"/>
              <w:rPr>
                <w:b/>
                <w:bCs/>
                <w:iCs/>
                <w:color w:val="FFFFFF" w:themeColor="background1"/>
                <w:sz w:val="20"/>
                <w:szCs w:val="20"/>
              </w:rPr>
            </w:pPr>
          </w:p>
        </w:tc>
        <w:tc>
          <w:tcPr>
            <w:tcW w:w="869" w:type="dxa"/>
            <w:tcBorders>
              <w:top w:val="single" w:sz="4" w:space="0" w:color="FFFFFF" w:themeColor="background1"/>
              <w:left w:val="single" w:sz="4" w:space="0" w:color="FFFFFF" w:themeColor="background1"/>
              <w:bottom w:val="single" w:sz="4" w:space="0" w:color="0067AB"/>
              <w:right w:val="single" w:sz="4" w:space="0" w:color="FFFFFF" w:themeColor="background1"/>
            </w:tcBorders>
            <w:shd w:val="clear" w:color="auto" w:fill="0067AB"/>
            <w:vAlign w:val="bottom"/>
          </w:tcPr>
          <w:p w14:paraId="0F014E77" w14:textId="77777777" w:rsidR="00350F25" w:rsidRPr="0010295D" w:rsidRDefault="00350F25" w:rsidP="0010295D">
            <w:pPr>
              <w:pStyle w:val="BodyText"/>
              <w:spacing w:after="0"/>
              <w:jc w:val="center"/>
              <w:rPr>
                <w:b/>
                <w:bCs/>
                <w:iCs/>
                <w:color w:val="FFFFFF" w:themeColor="background1"/>
                <w:sz w:val="20"/>
                <w:szCs w:val="20"/>
              </w:rPr>
            </w:pPr>
            <w:r w:rsidRPr="0010295D">
              <w:rPr>
                <w:b/>
                <w:bCs/>
                <w:iCs/>
                <w:color w:val="FFFFFF" w:themeColor="background1"/>
                <w:sz w:val="20"/>
                <w:szCs w:val="20"/>
              </w:rPr>
              <w:t>NOx</w:t>
            </w:r>
          </w:p>
        </w:tc>
        <w:tc>
          <w:tcPr>
            <w:tcW w:w="869" w:type="dxa"/>
            <w:tcBorders>
              <w:top w:val="single" w:sz="4" w:space="0" w:color="FFFFFF" w:themeColor="background1"/>
              <w:left w:val="single" w:sz="4" w:space="0" w:color="FFFFFF" w:themeColor="background1"/>
              <w:bottom w:val="single" w:sz="4" w:space="0" w:color="0067AB"/>
              <w:right w:val="single" w:sz="4" w:space="0" w:color="FFFFFF" w:themeColor="background1"/>
            </w:tcBorders>
            <w:shd w:val="clear" w:color="auto" w:fill="0067AB"/>
            <w:vAlign w:val="bottom"/>
          </w:tcPr>
          <w:p w14:paraId="402BF748" w14:textId="77777777" w:rsidR="00350F25" w:rsidRPr="0010295D" w:rsidRDefault="00350F25" w:rsidP="0010295D">
            <w:pPr>
              <w:pStyle w:val="BodyText"/>
              <w:spacing w:after="0"/>
              <w:jc w:val="center"/>
              <w:rPr>
                <w:b/>
                <w:bCs/>
                <w:iCs/>
                <w:color w:val="FFFFFF" w:themeColor="background1"/>
                <w:sz w:val="20"/>
                <w:szCs w:val="20"/>
              </w:rPr>
            </w:pPr>
            <w:r w:rsidRPr="0010295D">
              <w:rPr>
                <w:b/>
                <w:bCs/>
                <w:iCs/>
                <w:color w:val="FFFFFF" w:themeColor="background1"/>
                <w:sz w:val="20"/>
                <w:szCs w:val="20"/>
              </w:rPr>
              <w:t>PM</w:t>
            </w:r>
            <w:r w:rsidRPr="0010295D">
              <w:rPr>
                <w:b/>
                <w:bCs/>
                <w:iCs/>
                <w:color w:val="FFFFFF" w:themeColor="background1"/>
                <w:sz w:val="20"/>
                <w:szCs w:val="20"/>
                <w:vertAlign w:val="subscript"/>
              </w:rPr>
              <w:t>2.5</w:t>
            </w:r>
          </w:p>
        </w:tc>
        <w:tc>
          <w:tcPr>
            <w:tcW w:w="869" w:type="dxa"/>
            <w:tcBorders>
              <w:top w:val="single" w:sz="4" w:space="0" w:color="FFFFFF" w:themeColor="background1"/>
              <w:left w:val="single" w:sz="4" w:space="0" w:color="FFFFFF" w:themeColor="background1"/>
              <w:bottom w:val="single" w:sz="4" w:space="0" w:color="0067AB"/>
              <w:right w:val="single" w:sz="4" w:space="0" w:color="FFFFFF" w:themeColor="background1"/>
            </w:tcBorders>
            <w:shd w:val="clear" w:color="auto" w:fill="0067AB"/>
            <w:vAlign w:val="bottom"/>
          </w:tcPr>
          <w:p w14:paraId="71BA6D01" w14:textId="77777777" w:rsidR="00350F25" w:rsidRPr="0010295D" w:rsidRDefault="00350F25" w:rsidP="0010295D">
            <w:pPr>
              <w:pStyle w:val="BodyText"/>
              <w:spacing w:after="0"/>
              <w:jc w:val="center"/>
              <w:rPr>
                <w:b/>
                <w:bCs/>
                <w:iCs/>
                <w:color w:val="FFFFFF" w:themeColor="background1"/>
                <w:sz w:val="20"/>
                <w:szCs w:val="20"/>
              </w:rPr>
            </w:pPr>
            <w:r w:rsidRPr="0010295D">
              <w:rPr>
                <w:b/>
                <w:bCs/>
                <w:iCs/>
                <w:color w:val="FFFFFF" w:themeColor="background1"/>
                <w:sz w:val="20"/>
                <w:szCs w:val="20"/>
              </w:rPr>
              <w:t>CO</w:t>
            </w:r>
            <w:r w:rsidRPr="0010295D">
              <w:rPr>
                <w:b/>
                <w:bCs/>
                <w:iCs/>
                <w:color w:val="FFFFFF" w:themeColor="background1"/>
                <w:sz w:val="20"/>
                <w:szCs w:val="20"/>
                <w:vertAlign w:val="subscript"/>
              </w:rPr>
              <w:t>2</w:t>
            </w:r>
          </w:p>
        </w:tc>
        <w:tc>
          <w:tcPr>
            <w:tcW w:w="1246" w:type="dxa"/>
            <w:vMerge/>
            <w:tcBorders>
              <w:top w:val="single" w:sz="4" w:space="0" w:color="FFFFFF" w:themeColor="background1"/>
              <w:left w:val="single" w:sz="4" w:space="0" w:color="FFFFFF" w:themeColor="background1"/>
              <w:bottom w:val="single" w:sz="4" w:space="0" w:color="0067AB"/>
              <w:right w:val="single" w:sz="4" w:space="0" w:color="FFFFFF" w:themeColor="background1"/>
            </w:tcBorders>
            <w:shd w:val="clear" w:color="auto" w:fill="0067AB"/>
            <w:vAlign w:val="bottom"/>
          </w:tcPr>
          <w:p w14:paraId="17F4B621" w14:textId="77777777" w:rsidR="00350F25" w:rsidRPr="0010295D" w:rsidRDefault="00350F25" w:rsidP="0010295D">
            <w:pPr>
              <w:pStyle w:val="BodyText"/>
              <w:spacing w:after="0"/>
              <w:jc w:val="center"/>
              <w:rPr>
                <w:b/>
                <w:bCs/>
                <w:iCs/>
                <w:color w:val="FFFFFF" w:themeColor="background1"/>
                <w:sz w:val="20"/>
                <w:szCs w:val="20"/>
              </w:rPr>
            </w:pPr>
          </w:p>
        </w:tc>
        <w:tc>
          <w:tcPr>
            <w:tcW w:w="1008" w:type="dxa"/>
            <w:tcBorders>
              <w:top w:val="single" w:sz="4" w:space="0" w:color="FFFFFF" w:themeColor="background1"/>
              <w:left w:val="single" w:sz="4" w:space="0" w:color="FFFFFF" w:themeColor="background1"/>
              <w:bottom w:val="single" w:sz="4" w:space="0" w:color="0067AB"/>
              <w:right w:val="single" w:sz="4" w:space="0" w:color="FFFFFF" w:themeColor="background1"/>
            </w:tcBorders>
            <w:shd w:val="clear" w:color="auto" w:fill="0067AB"/>
            <w:vAlign w:val="bottom"/>
          </w:tcPr>
          <w:p w14:paraId="21FBBFB8" w14:textId="77777777" w:rsidR="00350F25" w:rsidRPr="0010295D" w:rsidRDefault="00350F25" w:rsidP="0010295D">
            <w:pPr>
              <w:pStyle w:val="BodyText"/>
              <w:spacing w:after="0"/>
              <w:jc w:val="center"/>
              <w:rPr>
                <w:b/>
                <w:bCs/>
                <w:iCs/>
                <w:color w:val="FFFFFF" w:themeColor="background1"/>
                <w:sz w:val="20"/>
                <w:szCs w:val="20"/>
              </w:rPr>
            </w:pPr>
            <w:r w:rsidRPr="0010295D">
              <w:rPr>
                <w:b/>
                <w:bCs/>
                <w:iCs/>
                <w:color w:val="FFFFFF" w:themeColor="background1"/>
                <w:sz w:val="20"/>
                <w:szCs w:val="20"/>
              </w:rPr>
              <w:t>NOx</w:t>
            </w:r>
          </w:p>
        </w:tc>
        <w:tc>
          <w:tcPr>
            <w:tcW w:w="1127" w:type="dxa"/>
            <w:tcBorders>
              <w:top w:val="single" w:sz="4" w:space="0" w:color="FFFFFF" w:themeColor="background1"/>
              <w:left w:val="single" w:sz="4" w:space="0" w:color="FFFFFF" w:themeColor="background1"/>
              <w:bottom w:val="single" w:sz="4" w:space="0" w:color="0067AB"/>
              <w:right w:val="single" w:sz="4" w:space="0" w:color="FFFFFF" w:themeColor="background1"/>
            </w:tcBorders>
            <w:shd w:val="clear" w:color="auto" w:fill="0067AB"/>
            <w:vAlign w:val="bottom"/>
          </w:tcPr>
          <w:p w14:paraId="51F6C45E" w14:textId="77777777" w:rsidR="00350F25" w:rsidRPr="0010295D" w:rsidRDefault="00350F25" w:rsidP="0010295D">
            <w:pPr>
              <w:pStyle w:val="BodyText"/>
              <w:spacing w:after="0"/>
              <w:jc w:val="center"/>
              <w:rPr>
                <w:b/>
                <w:bCs/>
                <w:iCs/>
                <w:color w:val="FFFFFF" w:themeColor="background1"/>
                <w:sz w:val="20"/>
                <w:szCs w:val="20"/>
              </w:rPr>
            </w:pPr>
            <w:r w:rsidRPr="0010295D">
              <w:rPr>
                <w:b/>
                <w:bCs/>
                <w:iCs/>
                <w:color w:val="FFFFFF" w:themeColor="background1"/>
                <w:sz w:val="20"/>
                <w:szCs w:val="20"/>
              </w:rPr>
              <w:t>PM</w:t>
            </w:r>
            <w:r w:rsidRPr="0010295D">
              <w:rPr>
                <w:b/>
                <w:bCs/>
                <w:iCs/>
                <w:color w:val="FFFFFF" w:themeColor="background1"/>
                <w:sz w:val="20"/>
                <w:szCs w:val="20"/>
                <w:vertAlign w:val="subscript"/>
              </w:rPr>
              <w:t>2.5</w:t>
            </w:r>
          </w:p>
        </w:tc>
        <w:tc>
          <w:tcPr>
            <w:tcW w:w="1008" w:type="dxa"/>
            <w:tcBorders>
              <w:top w:val="single" w:sz="4" w:space="0" w:color="FFFFFF" w:themeColor="background1"/>
              <w:left w:val="single" w:sz="4" w:space="0" w:color="FFFFFF" w:themeColor="background1"/>
              <w:bottom w:val="single" w:sz="4" w:space="0" w:color="0067AB"/>
            </w:tcBorders>
            <w:shd w:val="clear" w:color="auto" w:fill="0067AB"/>
            <w:vAlign w:val="bottom"/>
          </w:tcPr>
          <w:p w14:paraId="02D831C7" w14:textId="77777777" w:rsidR="00350F25" w:rsidRPr="0010295D" w:rsidRDefault="00350F25" w:rsidP="0010295D">
            <w:pPr>
              <w:pStyle w:val="BodyText"/>
              <w:spacing w:after="0"/>
              <w:jc w:val="center"/>
              <w:rPr>
                <w:b/>
                <w:bCs/>
                <w:iCs/>
                <w:color w:val="FFFFFF" w:themeColor="background1"/>
                <w:sz w:val="20"/>
                <w:szCs w:val="20"/>
              </w:rPr>
            </w:pPr>
            <w:r w:rsidRPr="0010295D">
              <w:rPr>
                <w:b/>
                <w:bCs/>
                <w:iCs/>
                <w:color w:val="FFFFFF" w:themeColor="background1"/>
                <w:sz w:val="20"/>
                <w:szCs w:val="20"/>
              </w:rPr>
              <w:t>CO</w:t>
            </w:r>
            <w:r w:rsidRPr="0010295D">
              <w:rPr>
                <w:b/>
                <w:bCs/>
                <w:iCs/>
                <w:color w:val="FFFFFF" w:themeColor="background1"/>
                <w:sz w:val="20"/>
                <w:szCs w:val="20"/>
                <w:vertAlign w:val="subscript"/>
              </w:rPr>
              <w:t>2</w:t>
            </w:r>
          </w:p>
        </w:tc>
      </w:tr>
      <w:tr w:rsidR="00350F25" w:rsidRPr="00AF50CB" w14:paraId="3BB6043A" w14:textId="77777777" w:rsidTr="0010295D">
        <w:trPr>
          <w:trHeight w:val="300"/>
        </w:trPr>
        <w:tc>
          <w:tcPr>
            <w:tcW w:w="1008" w:type="dxa"/>
            <w:tcBorders>
              <w:top w:val="single" w:sz="4" w:space="0" w:color="0067AB"/>
              <w:left w:val="single" w:sz="4" w:space="0" w:color="0067AB"/>
              <w:bottom w:val="single" w:sz="4" w:space="0" w:color="0067AB"/>
              <w:right w:val="single" w:sz="4" w:space="0" w:color="0067AB"/>
            </w:tcBorders>
            <w:noWrap/>
            <w:vAlign w:val="center"/>
          </w:tcPr>
          <w:p w14:paraId="3179B367" w14:textId="77777777" w:rsidR="00350F25" w:rsidRPr="0010295D" w:rsidRDefault="00350F25" w:rsidP="0010295D">
            <w:pPr>
              <w:pStyle w:val="BodyText"/>
              <w:spacing w:after="0"/>
              <w:jc w:val="center"/>
              <w:rPr>
                <w:iCs/>
                <w:sz w:val="20"/>
                <w:szCs w:val="20"/>
              </w:rPr>
            </w:pPr>
            <w:r w:rsidRPr="0010295D">
              <w:rPr>
                <w:iCs/>
                <w:sz w:val="20"/>
                <w:szCs w:val="20"/>
              </w:rPr>
              <w:t>Diesel</w:t>
            </w:r>
          </w:p>
        </w:tc>
        <w:tc>
          <w:tcPr>
            <w:tcW w:w="1467" w:type="dxa"/>
            <w:tcBorders>
              <w:top w:val="single" w:sz="4" w:space="0" w:color="0067AB"/>
              <w:left w:val="single" w:sz="4" w:space="0" w:color="0067AB"/>
              <w:bottom w:val="single" w:sz="4" w:space="0" w:color="0067AB"/>
              <w:right w:val="single" w:sz="4" w:space="0" w:color="0067AB"/>
            </w:tcBorders>
            <w:noWrap/>
            <w:vAlign w:val="center"/>
          </w:tcPr>
          <w:p w14:paraId="24E453DB" w14:textId="77777777" w:rsidR="00350F25" w:rsidRPr="0010295D" w:rsidRDefault="00350F25" w:rsidP="0010295D">
            <w:pPr>
              <w:pStyle w:val="BodyText"/>
              <w:spacing w:after="0"/>
              <w:rPr>
                <w:iCs/>
                <w:sz w:val="20"/>
                <w:szCs w:val="20"/>
              </w:rPr>
            </w:pPr>
            <w:r w:rsidRPr="0010295D">
              <w:rPr>
                <w:iCs/>
                <w:sz w:val="20"/>
                <w:szCs w:val="20"/>
              </w:rPr>
              <w:t>RCNG+LowNOx</w:t>
            </w:r>
          </w:p>
        </w:tc>
        <w:tc>
          <w:tcPr>
            <w:tcW w:w="869" w:type="dxa"/>
            <w:tcBorders>
              <w:top w:val="single" w:sz="4" w:space="0" w:color="0067AB"/>
              <w:left w:val="single" w:sz="4" w:space="0" w:color="0067AB"/>
              <w:bottom w:val="single" w:sz="4" w:space="0" w:color="0067AB"/>
              <w:right w:val="single" w:sz="4" w:space="0" w:color="0067AB"/>
            </w:tcBorders>
            <w:noWrap/>
            <w:vAlign w:val="center"/>
          </w:tcPr>
          <w:p w14:paraId="6671BF70" w14:textId="77777777" w:rsidR="00350F25" w:rsidRPr="0010295D" w:rsidRDefault="00350F25" w:rsidP="0010295D">
            <w:pPr>
              <w:pStyle w:val="BodyText"/>
              <w:spacing w:after="0"/>
              <w:jc w:val="center"/>
              <w:rPr>
                <w:iCs/>
                <w:sz w:val="20"/>
                <w:szCs w:val="20"/>
              </w:rPr>
            </w:pPr>
            <w:r w:rsidRPr="0010295D">
              <w:rPr>
                <w:iCs/>
                <w:sz w:val="20"/>
                <w:szCs w:val="20"/>
              </w:rPr>
              <w:t>26.88</w:t>
            </w:r>
          </w:p>
        </w:tc>
        <w:tc>
          <w:tcPr>
            <w:tcW w:w="869" w:type="dxa"/>
            <w:tcBorders>
              <w:top w:val="single" w:sz="4" w:space="0" w:color="0067AB"/>
              <w:left w:val="single" w:sz="4" w:space="0" w:color="0067AB"/>
              <w:bottom w:val="single" w:sz="4" w:space="0" w:color="0067AB"/>
              <w:right w:val="single" w:sz="4" w:space="0" w:color="0067AB"/>
            </w:tcBorders>
            <w:noWrap/>
            <w:vAlign w:val="center"/>
          </w:tcPr>
          <w:p w14:paraId="34CA2572" w14:textId="77777777" w:rsidR="00350F25" w:rsidRPr="0010295D" w:rsidRDefault="00350F25" w:rsidP="0010295D">
            <w:pPr>
              <w:pStyle w:val="BodyText"/>
              <w:spacing w:after="0"/>
              <w:jc w:val="center"/>
              <w:rPr>
                <w:iCs/>
                <w:sz w:val="20"/>
                <w:szCs w:val="20"/>
              </w:rPr>
            </w:pPr>
            <w:r w:rsidRPr="0010295D">
              <w:rPr>
                <w:iCs/>
                <w:sz w:val="20"/>
                <w:szCs w:val="20"/>
              </w:rPr>
              <w:t>0.967</w:t>
            </w:r>
          </w:p>
        </w:tc>
        <w:tc>
          <w:tcPr>
            <w:tcW w:w="869" w:type="dxa"/>
            <w:tcBorders>
              <w:top w:val="single" w:sz="4" w:space="0" w:color="0067AB"/>
              <w:left w:val="single" w:sz="4" w:space="0" w:color="0067AB"/>
              <w:bottom w:val="single" w:sz="4" w:space="0" w:color="0067AB"/>
              <w:right w:val="single" w:sz="4" w:space="0" w:color="0067AB"/>
            </w:tcBorders>
            <w:noWrap/>
            <w:vAlign w:val="center"/>
          </w:tcPr>
          <w:p w14:paraId="4A0B669F" w14:textId="77777777" w:rsidR="00350F25" w:rsidRPr="0010295D" w:rsidRDefault="00350F25" w:rsidP="0010295D">
            <w:pPr>
              <w:pStyle w:val="BodyText"/>
              <w:spacing w:after="0"/>
              <w:jc w:val="center"/>
              <w:rPr>
                <w:iCs/>
                <w:sz w:val="20"/>
                <w:szCs w:val="20"/>
              </w:rPr>
            </w:pPr>
            <w:r w:rsidRPr="0010295D">
              <w:rPr>
                <w:iCs/>
                <w:sz w:val="20"/>
                <w:szCs w:val="20"/>
              </w:rPr>
              <w:t>8,500</w:t>
            </w:r>
          </w:p>
        </w:tc>
        <w:tc>
          <w:tcPr>
            <w:tcW w:w="1246" w:type="dxa"/>
            <w:tcBorders>
              <w:top w:val="single" w:sz="4" w:space="0" w:color="0067AB"/>
              <w:left w:val="single" w:sz="4" w:space="0" w:color="0067AB"/>
              <w:bottom w:val="single" w:sz="4" w:space="0" w:color="0067AB"/>
              <w:right w:val="single" w:sz="4" w:space="0" w:color="0067AB"/>
            </w:tcBorders>
            <w:vAlign w:val="center"/>
          </w:tcPr>
          <w:p w14:paraId="326CC44B" w14:textId="77777777" w:rsidR="00350F25" w:rsidRPr="0010295D" w:rsidRDefault="00350F25" w:rsidP="0010295D">
            <w:pPr>
              <w:pStyle w:val="BodyText"/>
              <w:spacing w:after="0"/>
              <w:jc w:val="center"/>
              <w:rPr>
                <w:iCs/>
                <w:sz w:val="20"/>
                <w:szCs w:val="20"/>
              </w:rPr>
            </w:pPr>
            <w:r w:rsidRPr="0010295D">
              <w:rPr>
                <w:iCs/>
                <w:sz w:val="20"/>
                <w:szCs w:val="20"/>
              </w:rPr>
              <w:t>$1,642,933</w:t>
            </w:r>
          </w:p>
        </w:tc>
        <w:tc>
          <w:tcPr>
            <w:tcW w:w="1008" w:type="dxa"/>
            <w:tcBorders>
              <w:top w:val="single" w:sz="4" w:space="0" w:color="0067AB"/>
              <w:left w:val="single" w:sz="4" w:space="0" w:color="0067AB"/>
              <w:bottom w:val="single" w:sz="4" w:space="0" w:color="0067AB"/>
              <w:right w:val="single" w:sz="4" w:space="0" w:color="0067AB"/>
            </w:tcBorders>
            <w:noWrap/>
            <w:vAlign w:val="center"/>
          </w:tcPr>
          <w:p w14:paraId="11B3459E" w14:textId="77777777" w:rsidR="00350F25" w:rsidRPr="0010295D" w:rsidRDefault="00350F25" w:rsidP="0010295D">
            <w:pPr>
              <w:pStyle w:val="BodyText"/>
              <w:spacing w:after="0"/>
              <w:jc w:val="center"/>
              <w:rPr>
                <w:iCs/>
                <w:sz w:val="20"/>
                <w:szCs w:val="20"/>
              </w:rPr>
            </w:pPr>
            <w:r w:rsidRPr="0010295D">
              <w:rPr>
                <w:iCs/>
                <w:sz w:val="20"/>
                <w:szCs w:val="20"/>
              </w:rPr>
              <w:t>$72,571</w:t>
            </w:r>
          </w:p>
        </w:tc>
        <w:tc>
          <w:tcPr>
            <w:tcW w:w="1127" w:type="dxa"/>
            <w:tcBorders>
              <w:top w:val="single" w:sz="4" w:space="0" w:color="0067AB"/>
              <w:left w:val="single" w:sz="4" w:space="0" w:color="0067AB"/>
              <w:bottom w:val="single" w:sz="4" w:space="0" w:color="0067AB"/>
              <w:right w:val="single" w:sz="4" w:space="0" w:color="0067AB"/>
            </w:tcBorders>
            <w:noWrap/>
            <w:vAlign w:val="center"/>
          </w:tcPr>
          <w:p w14:paraId="2582861B" w14:textId="77777777" w:rsidR="00350F25" w:rsidRPr="0010295D" w:rsidRDefault="00350F25" w:rsidP="0010295D">
            <w:pPr>
              <w:pStyle w:val="BodyText"/>
              <w:spacing w:after="0"/>
              <w:jc w:val="center"/>
              <w:rPr>
                <w:iCs/>
                <w:sz w:val="20"/>
                <w:szCs w:val="20"/>
              </w:rPr>
            </w:pPr>
            <w:r w:rsidRPr="0010295D">
              <w:rPr>
                <w:iCs/>
                <w:sz w:val="20"/>
                <w:szCs w:val="20"/>
              </w:rPr>
              <w:t>$2,017,375</w:t>
            </w:r>
          </w:p>
        </w:tc>
        <w:tc>
          <w:tcPr>
            <w:tcW w:w="1008" w:type="dxa"/>
            <w:tcBorders>
              <w:top w:val="single" w:sz="4" w:space="0" w:color="0067AB"/>
              <w:left w:val="single" w:sz="4" w:space="0" w:color="0067AB"/>
              <w:bottom w:val="single" w:sz="4" w:space="0" w:color="0067AB"/>
              <w:right w:val="single" w:sz="4" w:space="0" w:color="0067AB"/>
            </w:tcBorders>
            <w:noWrap/>
            <w:vAlign w:val="center"/>
          </w:tcPr>
          <w:p w14:paraId="1B5F8D22" w14:textId="77777777" w:rsidR="00350F25" w:rsidRPr="0010295D" w:rsidRDefault="00350F25" w:rsidP="0010295D">
            <w:pPr>
              <w:pStyle w:val="BodyText"/>
              <w:spacing w:after="0"/>
              <w:jc w:val="center"/>
              <w:rPr>
                <w:iCs/>
                <w:sz w:val="20"/>
                <w:szCs w:val="20"/>
              </w:rPr>
            </w:pPr>
            <w:r w:rsidRPr="0010295D">
              <w:rPr>
                <w:iCs/>
                <w:sz w:val="20"/>
                <w:szCs w:val="20"/>
              </w:rPr>
              <w:t>$230</w:t>
            </w:r>
          </w:p>
        </w:tc>
      </w:tr>
      <w:tr w:rsidR="00350F25" w:rsidRPr="00AF50CB" w14:paraId="5128999C" w14:textId="77777777" w:rsidTr="0010295D">
        <w:trPr>
          <w:trHeight w:val="300"/>
        </w:trPr>
        <w:tc>
          <w:tcPr>
            <w:tcW w:w="1008" w:type="dxa"/>
            <w:tcBorders>
              <w:top w:val="single" w:sz="4" w:space="0" w:color="0067AB"/>
              <w:left w:val="single" w:sz="4" w:space="0" w:color="0067AB"/>
              <w:bottom w:val="single" w:sz="4" w:space="0" w:color="0067AB"/>
              <w:right w:val="single" w:sz="4" w:space="0" w:color="0067AB"/>
            </w:tcBorders>
            <w:noWrap/>
            <w:vAlign w:val="center"/>
            <w:hideMark/>
          </w:tcPr>
          <w:p w14:paraId="50CD0BB9" w14:textId="77777777" w:rsidR="00350F25" w:rsidRPr="0010295D" w:rsidRDefault="00350F25" w:rsidP="0010295D">
            <w:pPr>
              <w:pStyle w:val="BodyText"/>
              <w:spacing w:after="0"/>
              <w:jc w:val="center"/>
              <w:rPr>
                <w:iCs/>
                <w:sz w:val="20"/>
                <w:szCs w:val="20"/>
              </w:rPr>
            </w:pPr>
            <w:r w:rsidRPr="0010295D">
              <w:rPr>
                <w:iCs/>
                <w:sz w:val="20"/>
                <w:szCs w:val="20"/>
              </w:rPr>
              <w:t>Diesel</w:t>
            </w:r>
          </w:p>
        </w:tc>
        <w:tc>
          <w:tcPr>
            <w:tcW w:w="1467" w:type="dxa"/>
            <w:tcBorders>
              <w:top w:val="single" w:sz="4" w:space="0" w:color="0067AB"/>
              <w:left w:val="single" w:sz="4" w:space="0" w:color="0067AB"/>
              <w:bottom w:val="single" w:sz="4" w:space="0" w:color="0067AB"/>
              <w:right w:val="single" w:sz="4" w:space="0" w:color="0067AB"/>
            </w:tcBorders>
            <w:noWrap/>
            <w:vAlign w:val="center"/>
          </w:tcPr>
          <w:p w14:paraId="65478C33" w14:textId="77777777" w:rsidR="00350F25" w:rsidRPr="0010295D" w:rsidRDefault="00350F25" w:rsidP="0010295D">
            <w:pPr>
              <w:pStyle w:val="BodyText"/>
              <w:spacing w:after="0"/>
              <w:rPr>
                <w:iCs/>
                <w:sz w:val="20"/>
                <w:szCs w:val="20"/>
              </w:rPr>
            </w:pPr>
            <w:r w:rsidRPr="0010295D">
              <w:rPr>
                <w:iCs/>
                <w:sz w:val="20"/>
                <w:szCs w:val="20"/>
              </w:rPr>
              <w:t>Accelerated Retirement</w:t>
            </w:r>
          </w:p>
        </w:tc>
        <w:tc>
          <w:tcPr>
            <w:tcW w:w="869" w:type="dxa"/>
            <w:tcBorders>
              <w:top w:val="single" w:sz="4" w:space="0" w:color="0067AB"/>
              <w:left w:val="single" w:sz="4" w:space="0" w:color="0067AB"/>
              <w:bottom w:val="single" w:sz="4" w:space="0" w:color="0067AB"/>
              <w:right w:val="single" w:sz="4" w:space="0" w:color="0067AB"/>
            </w:tcBorders>
            <w:noWrap/>
            <w:vAlign w:val="center"/>
          </w:tcPr>
          <w:p w14:paraId="04DA721F" w14:textId="77777777" w:rsidR="00350F25" w:rsidRPr="0010295D" w:rsidRDefault="00350F25" w:rsidP="0010295D">
            <w:pPr>
              <w:pStyle w:val="BodyText"/>
              <w:spacing w:after="0"/>
              <w:jc w:val="center"/>
              <w:rPr>
                <w:iCs/>
                <w:sz w:val="20"/>
                <w:szCs w:val="20"/>
              </w:rPr>
            </w:pPr>
            <w:r w:rsidRPr="0010295D">
              <w:rPr>
                <w:iCs/>
                <w:sz w:val="20"/>
                <w:szCs w:val="20"/>
              </w:rPr>
              <w:t>18.30</w:t>
            </w:r>
          </w:p>
        </w:tc>
        <w:tc>
          <w:tcPr>
            <w:tcW w:w="869" w:type="dxa"/>
            <w:tcBorders>
              <w:top w:val="single" w:sz="4" w:space="0" w:color="0067AB"/>
              <w:left w:val="single" w:sz="4" w:space="0" w:color="0067AB"/>
              <w:bottom w:val="single" w:sz="4" w:space="0" w:color="0067AB"/>
              <w:right w:val="single" w:sz="4" w:space="0" w:color="0067AB"/>
            </w:tcBorders>
            <w:noWrap/>
            <w:vAlign w:val="center"/>
          </w:tcPr>
          <w:p w14:paraId="4B58D0D3" w14:textId="77777777" w:rsidR="00350F25" w:rsidRPr="0010295D" w:rsidRDefault="00350F25" w:rsidP="0010295D">
            <w:pPr>
              <w:pStyle w:val="BodyText"/>
              <w:spacing w:after="0"/>
              <w:jc w:val="center"/>
              <w:rPr>
                <w:iCs/>
                <w:sz w:val="20"/>
                <w:szCs w:val="20"/>
              </w:rPr>
            </w:pPr>
            <w:r w:rsidRPr="0010295D">
              <w:rPr>
                <w:iCs/>
                <w:sz w:val="20"/>
                <w:szCs w:val="20"/>
              </w:rPr>
              <w:t>0.967</w:t>
            </w:r>
          </w:p>
        </w:tc>
        <w:tc>
          <w:tcPr>
            <w:tcW w:w="869" w:type="dxa"/>
            <w:tcBorders>
              <w:top w:val="single" w:sz="4" w:space="0" w:color="0067AB"/>
              <w:left w:val="single" w:sz="4" w:space="0" w:color="0067AB"/>
              <w:bottom w:val="single" w:sz="4" w:space="0" w:color="0067AB"/>
              <w:right w:val="single" w:sz="4" w:space="0" w:color="0067AB"/>
            </w:tcBorders>
            <w:noWrap/>
            <w:vAlign w:val="center"/>
          </w:tcPr>
          <w:p w14:paraId="29500605" w14:textId="77777777" w:rsidR="00350F25" w:rsidRPr="0010295D" w:rsidRDefault="00350F25" w:rsidP="0010295D">
            <w:pPr>
              <w:pStyle w:val="BodyText"/>
              <w:spacing w:after="0"/>
              <w:jc w:val="center"/>
              <w:rPr>
                <w:iCs/>
                <w:sz w:val="20"/>
                <w:szCs w:val="20"/>
              </w:rPr>
            </w:pPr>
            <w:r w:rsidRPr="0010295D">
              <w:rPr>
                <w:iCs/>
                <w:sz w:val="20"/>
                <w:szCs w:val="20"/>
              </w:rPr>
              <w:t>756</w:t>
            </w:r>
          </w:p>
        </w:tc>
        <w:tc>
          <w:tcPr>
            <w:tcW w:w="1246" w:type="dxa"/>
            <w:tcBorders>
              <w:top w:val="single" w:sz="4" w:space="0" w:color="0067AB"/>
              <w:left w:val="single" w:sz="4" w:space="0" w:color="0067AB"/>
              <w:bottom w:val="single" w:sz="4" w:space="0" w:color="0067AB"/>
              <w:right w:val="single" w:sz="4" w:space="0" w:color="0067AB"/>
            </w:tcBorders>
            <w:vAlign w:val="center"/>
          </w:tcPr>
          <w:p w14:paraId="7E03BFB6" w14:textId="77777777" w:rsidR="00350F25" w:rsidRPr="0010295D" w:rsidRDefault="00350F25" w:rsidP="0010295D">
            <w:pPr>
              <w:pStyle w:val="BodyText"/>
              <w:spacing w:after="0"/>
              <w:jc w:val="center"/>
              <w:rPr>
                <w:iCs/>
                <w:sz w:val="20"/>
                <w:szCs w:val="20"/>
              </w:rPr>
            </w:pPr>
            <w:r w:rsidRPr="0010295D">
              <w:rPr>
                <w:iCs/>
                <w:sz w:val="20"/>
                <w:szCs w:val="20"/>
              </w:rPr>
              <w:t>$1,026,267</w:t>
            </w:r>
          </w:p>
        </w:tc>
        <w:tc>
          <w:tcPr>
            <w:tcW w:w="1008" w:type="dxa"/>
            <w:tcBorders>
              <w:top w:val="single" w:sz="4" w:space="0" w:color="0067AB"/>
              <w:left w:val="single" w:sz="4" w:space="0" w:color="0067AB"/>
              <w:bottom w:val="single" w:sz="4" w:space="0" w:color="0067AB"/>
              <w:right w:val="single" w:sz="4" w:space="0" w:color="0067AB"/>
            </w:tcBorders>
            <w:noWrap/>
            <w:vAlign w:val="center"/>
          </w:tcPr>
          <w:p w14:paraId="70DE9769" w14:textId="77777777" w:rsidR="00350F25" w:rsidRPr="0010295D" w:rsidRDefault="00350F25" w:rsidP="0010295D">
            <w:pPr>
              <w:pStyle w:val="BodyText"/>
              <w:spacing w:after="0"/>
              <w:jc w:val="center"/>
              <w:rPr>
                <w:iCs/>
                <w:sz w:val="20"/>
                <w:szCs w:val="20"/>
              </w:rPr>
            </w:pPr>
            <w:r w:rsidRPr="0010295D">
              <w:rPr>
                <w:iCs/>
                <w:sz w:val="20"/>
                <w:szCs w:val="20"/>
              </w:rPr>
              <w:t>$48,504</w:t>
            </w:r>
          </w:p>
        </w:tc>
        <w:tc>
          <w:tcPr>
            <w:tcW w:w="1127" w:type="dxa"/>
            <w:tcBorders>
              <w:top w:val="single" w:sz="4" w:space="0" w:color="0067AB"/>
              <w:left w:val="single" w:sz="4" w:space="0" w:color="0067AB"/>
              <w:bottom w:val="single" w:sz="4" w:space="0" w:color="0067AB"/>
              <w:right w:val="single" w:sz="4" w:space="0" w:color="0067AB"/>
            </w:tcBorders>
            <w:noWrap/>
            <w:vAlign w:val="center"/>
          </w:tcPr>
          <w:p w14:paraId="26637F5F" w14:textId="77777777" w:rsidR="00350F25" w:rsidRPr="0010295D" w:rsidRDefault="00350F25" w:rsidP="0010295D">
            <w:pPr>
              <w:pStyle w:val="BodyText"/>
              <w:spacing w:after="0"/>
              <w:jc w:val="center"/>
              <w:rPr>
                <w:iCs/>
                <w:sz w:val="20"/>
                <w:szCs w:val="20"/>
              </w:rPr>
            </w:pPr>
            <w:r w:rsidRPr="0010295D">
              <w:rPr>
                <w:iCs/>
                <w:sz w:val="20"/>
                <w:szCs w:val="20"/>
              </w:rPr>
              <w:t>$918,107</w:t>
            </w:r>
          </w:p>
        </w:tc>
        <w:tc>
          <w:tcPr>
            <w:tcW w:w="1008" w:type="dxa"/>
            <w:tcBorders>
              <w:top w:val="single" w:sz="4" w:space="0" w:color="0067AB"/>
              <w:left w:val="single" w:sz="4" w:space="0" w:color="0067AB"/>
              <w:bottom w:val="single" w:sz="4" w:space="0" w:color="0067AB"/>
              <w:right w:val="single" w:sz="4" w:space="0" w:color="0067AB"/>
            </w:tcBorders>
            <w:noWrap/>
            <w:vAlign w:val="center"/>
          </w:tcPr>
          <w:p w14:paraId="521A2C76" w14:textId="77777777" w:rsidR="00350F25" w:rsidRPr="0010295D" w:rsidRDefault="00350F25" w:rsidP="0010295D">
            <w:pPr>
              <w:pStyle w:val="BodyText"/>
              <w:spacing w:after="0"/>
              <w:jc w:val="center"/>
              <w:rPr>
                <w:iCs/>
                <w:sz w:val="20"/>
                <w:szCs w:val="20"/>
              </w:rPr>
            </w:pPr>
            <w:r w:rsidRPr="0010295D">
              <w:rPr>
                <w:iCs/>
                <w:sz w:val="20"/>
                <w:szCs w:val="20"/>
              </w:rPr>
              <w:t>$1,174</w:t>
            </w:r>
          </w:p>
        </w:tc>
      </w:tr>
    </w:tbl>
    <w:p w14:paraId="1D99E159" w14:textId="77777777" w:rsidR="00350F25" w:rsidRDefault="00350F25" w:rsidP="00350F25">
      <w:pPr>
        <w:pStyle w:val="BodyText"/>
      </w:pPr>
    </w:p>
    <w:p w14:paraId="3366C77C" w14:textId="77777777" w:rsidR="00350F25" w:rsidRDefault="00350F25" w:rsidP="00350F25">
      <w:pPr>
        <w:pStyle w:val="BodyText"/>
        <w:rPr>
          <w:iCs/>
        </w:rPr>
      </w:pPr>
      <w:r>
        <w:rPr>
          <w:iCs/>
        </w:rPr>
        <w:t>The results show that deploying 100 trucks with low NOx engine and using renewable compressed natural gas will reduce NOx by 27 tons, PM by 0.97 tons, and carbon dioxide by 8,500 tons per year. Replacing trucks with new diesel trucks would reduce NOx by 18 tons, PM by 0.97 tons, and carbon dioxide by 756 tons per year. The alternative fuel option shows larger emission reductions than accelerated retirement because the alternative fuel strategy employs advanced natural gas engines, which reduce NOx emissions, and assumes the trucks are fueled with CNG produced from renewable sources (such as landfill gas in this scenario), which reduces lifecycle carbon emissions.</w:t>
      </w:r>
    </w:p>
    <w:p w14:paraId="08FFA3B6" w14:textId="77777777" w:rsidR="00350F25" w:rsidRDefault="00350F25" w:rsidP="00350F25">
      <w:pPr>
        <w:pStyle w:val="BodyText"/>
        <w:rPr>
          <w:iCs/>
        </w:rPr>
      </w:pPr>
      <w:r>
        <w:rPr>
          <w:iCs/>
        </w:rPr>
        <w:t>Based on the estimates from the Tool, replacing 100 diesel drayage trucks with low NOx engine trucks will cost $1.6 million per year for the assumed 12-year useful life of combination trucks; thus, the upfront capital cost is $19.7 million for the replacements (excluding operations and maintenance costs). Replacing an older fleet with new diesel trucks will cost $1.0 million per year, or $12.3 million total for the trucks.</w:t>
      </w:r>
    </w:p>
    <w:p w14:paraId="5238316B" w14:textId="77777777" w:rsidR="00350F25" w:rsidRDefault="00350F25" w:rsidP="00350F25">
      <w:pPr>
        <w:pStyle w:val="BodyText"/>
      </w:pPr>
      <w:r>
        <w:lastRenderedPageBreak/>
        <w:t xml:space="preserve">Although trucks with low NOx engines and RCNG show greater NOx emission reductions than new diesel trucks, they cost over 50% more; thus, an </w:t>
      </w:r>
      <w:r w:rsidRPr="00C4483E">
        <w:t xml:space="preserve">accelerated retirement program </w:t>
      </w:r>
      <w:r>
        <w:t>could provide</w:t>
      </w:r>
      <w:r w:rsidRPr="00C4483E">
        <w:t xml:space="preserve"> </w:t>
      </w:r>
      <w:r>
        <w:t>similar</w:t>
      </w:r>
      <w:r w:rsidRPr="00C4483E">
        <w:t xml:space="preserve"> NOx a</w:t>
      </w:r>
      <w:r>
        <w:t>nd PM reductions but at a lower</w:t>
      </w:r>
      <w:r w:rsidRPr="00C4483E">
        <w:t xml:space="preserve"> cost.</w:t>
      </w:r>
      <w:r>
        <w:t xml:space="preserve"> If the Port Authority wants to target a small number of trucks and get the most emission reductions regardless of cost, the low NOx strategy may be best. However, if there is limited funding and the Port wants to get the most NOx and PM emissions as possible with that funding even if it means replacing more trucks, the accelerated retirement program may be a better option.</w:t>
      </w:r>
    </w:p>
    <w:p w14:paraId="41B8618A" w14:textId="07CB81A5" w:rsidR="007D3F70" w:rsidRDefault="007D3F70" w:rsidP="007D3F70">
      <w:pPr>
        <w:pStyle w:val="BodyText"/>
      </w:pPr>
      <w:r>
        <w:br w:type="page"/>
      </w:r>
    </w:p>
    <w:p w14:paraId="2539391C" w14:textId="77777777" w:rsidR="007D3F70" w:rsidRPr="007D3F70" w:rsidRDefault="007D3F70" w:rsidP="007D3F70">
      <w:pPr>
        <w:pStyle w:val="BodyText"/>
      </w:pPr>
    </w:p>
    <w:p w14:paraId="5C93BA46" w14:textId="4B91FCBA" w:rsidR="003A44D8" w:rsidRPr="005146D4" w:rsidRDefault="005D31DC" w:rsidP="005B1B21">
      <w:pPr>
        <w:pStyle w:val="BlankPage"/>
      </w:pPr>
      <w:r w:rsidRPr="00D2164E">
        <w:rPr>
          <w:rFonts w:cs="Arial"/>
          <w:noProof/>
        </w:rPr>
        <w:drawing>
          <wp:inline distT="0" distB="0" distL="0" distR="0" wp14:anchorId="09BDC5AC" wp14:editId="50550CAF">
            <wp:extent cx="923925" cy="466725"/>
            <wp:effectExtent l="0" t="0" r="0" b="0"/>
            <wp:docPr id="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cstate="print"/>
                    <a:srcRect/>
                    <a:stretch>
                      <a:fillRect/>
                    </a:stretch>
                  </pic:blipFill>
                  <pic:spPr bwMode="auto">
                    <a:xfrm>
                      <a:off x="0" y="0"/>
                      <a:ext cx="924560" cy="467360"/>
                    </a:xfrm>
                    <a:prstGeom prst="rect">
                      <a:avLst/>
                    </a:prstGeom>
                    <a:noFill/>
                  </pic:spPr>
                </pic:pic>
              </a:graphicData>
            </a:graphic>
          </wp:inline>
        </w:drawing>
      </w:r>
    </w:p>
    <w:sectPr w:rsidR="003A44D8" w:rsidRPr="005146D4" w:rsidSect="0010295D">
      <w:pgSz w:w="12240" w:h="15840"/>
      <w:pgMar w:top="1440" w:right="1440" w:bottom="1440" w:left="1440" w:header="576" w:footer="576" w:gutter="0"/>
      <w:pgNumType w:chapStyle="6"/>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F9CD4E" w14:textId="77777777" w:rsidR="00923641" w:rsidRDefault="00923641" w:rsidP="00FB0227">
      <w:r>
        <w:separator/>
      </w:r>
    </w:p>
    <w:p w14:paraId="7C45D983" w14:textId="77777777" w:rsidR="00923641" w:rsidRDefault="00923641"/>
    <w:p w14:paraId="1EB66EED" w14:textId="77777777" w:rsidR="00923641" w:rsidRDefault="00923641"/>
  </w:endnote>
  <w:endnote w:type="continuationSeparator" w:id="0">
    <w:p w14:paraId="0665027C" w14:textId="77777777" w:rsidR="00923641" w:rsidRDefault="00923641" w:rsidP="00FB0227">
      <w:r>
        <w:continuationSeparator/>
      </w:r>
    </w:p>
    <w:p w14:paraId="6C1D140E" w14:textId="77777777" w:rsidR="00923641" w:rsidRDefault="00923641"/>
    <w:p w14:paraId="32974217" w14:textId="77777777" w:rsidR="00923641" w:rsidRDefault="009236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2A7C1" w14:textId="77777777" w:rsidR="00D517E7" w:rsidRPr="00FD0BF6" w:rsidRDefault="00D517E7" w:rsidP="00FD0BF6">
    <w:pPr>
      <w:pStyle w:val="FooterPortrait"/>
    </w:pPr>
    <w:r w:rsidRPr="00FD0BF6">
      <w:t>ICF International</w:t>
    </w:r>
    <w:r w:rsidRPr="00FD0BF6">
      <w:tab/>
    </w:r>
    <w:r>
      <w:fldChar w:fldCharType="begin"/>
    </w:r>
    <w:r>
      <w:instrText xml:space="preserve"> PAGE   \* MERGEFORMAT </w:instrText>
    </w:r>
    <w:r>
      <w:fldChar w:fldCharType="separate"/>
    </w:r>
    <w:r>
      <w:rPr>
        <w:noProof/>
      </w:rPr>
      <w:t>i</w:t>
    </w:r>
    <w:r>
      <w:rPr>
        <w:noProof/>
      </w:rPr>
      <w:fldChar w:fldCharType="end"/>
    </w:r>
    <w:r w:rsidRPr="00FD0BF6">
      <w:tab/>
    </w:r>
    <w:r>
      <w:fldChar w:fldCharType="begin"/>
    </w:r>
    <w:r>
      <w:instrText xml:space="preserve"> STYLEREF  "Date_Title Page"  \* MERGEFORMAT </w:instrTex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AD366C" w14:textId="69583D72" w:rsidR="00D517E7" w:rsidRPr="005D31DC" w:rsidRDefault="00D517E7" w:rsidP="00D7066F">
    <w:pPr>
      <w:pStyle w:val="FooterPortrait"/>
      <w:numPr>
        <w:ilvl w:val="0"/>
        <w:numId w:val="31"/>
      </w:numPr>
      <w:tabs>
        <w:tab w:val="clear" w:pos="720"/>
        <w:tab w:val="right" w:pos="12960"/>
      </w:tabs>
      <w:ind w:left="0" w:right="-1440" w:firstLine="0"/>
    </w:pPr>
    <w:r>
      <w:fldChar w:fldCharType="begin"/>
    </w:r>
    <w:r>
      <w:instrText xml:space="preserve"> PAGE   \* MERGEFORMAT </w:instrText>
    </w:r>
    <w:r>
      <w:fldChar w:fldCharType="separate"/>
    </w:r>
    <w:r w:rsidR="00E764A8">
      <w:rPr>
        <w:noProof/>
      </w:rPr>
      <w:t>27</w:t>
    </w:r>
    <w:r>
      <w:rPr>
        <w:noProof/>
      </w:rPr>
      <w:fldChar w:fldCharType="end"/>
    </w:r>
    <w:r w:rsidRPr="00D6516B">
      <w:tab/>
    </w:r>
    <w:r w:rsidR="00923641">
      <w:fldChar w:fldCharType="begin"/>
    </w:r>
    <w:r w:rsidR="00923641">
      <w:instrText xml:space="preserve"> STYLEREF  "Date_Title Page"  \* MERGEFORMAT </w:instrText>
    </w:r>
    <w:r w:rsidR="00923641">
      <w:fldChar w:fldCharType="separate"/>
    </w:r>
    <w:r w:rsidR="00E764A8">
      <w:rPr>
        <w:noProof/>
      </w:rPr>
      <w:t>May 2017</w:t>
    </w:r>
    <w:r w:rsidR="00923641">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210C7" w14:textId="77777777" w:rsidR="00D517E7" w:rsidRPr="005D31DC" w:rsidRDefault="00D517E7" w:rsidP="00215538">
    <w:pPr>
      <w:pStyle w:val="FooterPortrait"/>
      <w:numPr>
        <w:ilvl w:val="0"/>
        <w:numId w:val="29"/>
      </w:numPr>
      <w:tabs>
        <w:tab w:val="clear" w:pos="720"/>
        <w:tab w:val="clear" w:pos="4680"/>
        <w:tab w:val="clear" w:pos="9360"/>
        <w:tab w:val="center" w:pos="6480"/>
        <w:tab w:val="right" w:pos="12960"/>
      </w:tabs>
      <w:ind w:left="0" w:firstLine="0"/>
    </w:pPr>
    <w:r>
      <w:fldChar w:fldCharType="begin"/>
    </w:r>
    <w:r>
      <w:instrText xml:space="preserve"> PAGE   \* MERGEFORMAT </w:instrText>
    </w:r>
    <w:r>
      <w:fldChar w:fldCharType="separate"/>
    </w:r>
    <w:r>
      <w:rPr>
        <w:noProof/>
      </w:rPr>
      <w:t>30</w:t>
    </w:r>
    <w:r>
      <w:rPr>
        <w:noProof/>
      </w:rPr>
      <w:fldChar w:fldCharType="end"/>
    </w:r>
    <w:r w:rsidRPr="00D6516B">
      <w:tab/>
    </w:r>
    <w:r w:rsidR="00923641">
      <w:fldChar w:fldCharType="begin"/>
    </w:r>
    <w:r w:rsidR="00923641">
      <w:instrText xml:space="preserve"> STYLEREF  "Date_Title Page"  \* MERGEFORMAT </w:instrText>
    </w:r>
    <w:r w:rsidR="00923641">
      <w:fldChar w:fldCharType="separate"/>
    </w:r>
    <w:r>
      <w:rPr>
        <w:noProof/>
      </w:rPr>
      <w:t>December 2016</w:t>
    </w:r>
    <w:r w:rsidR="00923641">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57625D" w14:textId="6990AFDE" w:rsidR="00D517E7" w:rsidRPr="005D31DC" w:rsidRDefault="00D517E7" w:rsidP="00D7066F">
    <w:pPr>
      <w:pStyle w:val="FooterPortrait"/>
      <w:numPr>
        <w:ilvl w:val="0"/>
        <w:numId w:val="32"/>
      </w:numPr>
      <w:tabs>
        <w:tab w:val="clear" w:pos="720"/>
        <w:tab w:val="clear" w:pos="4680"/>
        <w:tab w:val="clear" w:pos="9360"/>
        <w:tab w:val="center" w:pos="6480"/>
        <w:tab w:val="right" w:pos="12960"/>
      </w:tabs>
      <w:ind w:left="0" w:right="-1440" w:firstLine="0"/>
    </w:pPr>
    <w:r>
      <w:fldChar w:fldCharType="begin"/>
    </w:r>
    <w:r>
      <w:instrText xml:space="preserve"> PAGE   \* MERGEFORMAT </w:instrText>
    </w:r>
    <w:r>
      <w:fldChar w:fldCharType="separate"/>
    </w:r>
    <w:r w:rsidR="00E764A8">
      <w:rPr>
        <w:noProof/>
      </w:rPr>
      <w:t>30</w:t>
    </w:r>
    <w:r>
      <w:rPr>
        <w:noProof/>
      </w:rPr>
      <w:fldChar w:fldCharType="end"/>
    </w:r>
    <w:r w:rsidRPr="00D6516B">
      <w:tab/>
    </w:r>
    <w:r w:rsidR="00923641">
      <w:fldChar w:fldCharType="begin"/>
    </w:r>
    <w:r w:rsidR="00923641">
      <w:instrText xml:space="preserve"> STYLEREF  "Date_Title Page"  \* MERGEFORMAT </w:instrText>
    </w:r>
    <w:r w:rsidR="00923641">
      <w:fldChar w:fldCharType="separate"/>
    </w:r>
    <w:r w:rsidR="00E764A8">
      <w:rPr>
        <w:noProof/>
      </w:rPr>
      <w:t>May 2017</w:t>
    </w:r>
    <w:r w:rsidR="00923641">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B3381" w14:textId="77777777" w:rsidR="00D517E7" w:rsidRPr="005D31DC" w:rsidRDefault="00D517E7" w:rsidP="00642A87">
    <w:pPr>
      <w:pStyle w:val="FooterPortrait"/>
      <w:numPr>
        <w:ilvl w:val="0"/>
        <w:numId w:val="29"/>
      </w:numPr>
      <w:tabs>
        <w:tab w:val="clear" w:pos="720"/>
        <w:tab w:val="right" w:pos="12960"/>
      </w:tabs>
      <w:ind w:left="0" w:firstLine="0"/>
    </w:pPr>
    <w:r>
      <w:fldChar w:fldCharType="begin"/>
    </w:r>
    <w:r>
      <w:instrText xml:space="preserve"> PAGE   \* MERGEFORMAT </w:instrText>
    </w:r>
    <w:r>
      <w:fldChar w:fldCharType="separate"/>
    </w:r>
    <w:r w:rsidR="00E764A8">
      <w:rPr>
        <w:noProof/>
      </w:rPr>
      <w:t>46</w:t>
    </w:r>
    <w:r>
      <w:rPr>
        <w:noProof/>
      </w:rPr>
      <w:fldChar w:fldCharType="end"/>
    </w:r>
    <w:r w:rsidRPr="00D6516B">
      <w:tab/>
    </w:r>
    <w:r w:rsidR="00923641">
      <w:fldChar w:fldCharType="begin"/>
    </w:r>
    <w:r w:rsidR="00923641">
      <w:instrText xml:space="preserve"> STYLEREF  "Date_Title Page"  \* MERGEFORMAT </w:instrText>
    </w:r>
    <w:r w:rsidR="00923641">
      <w:fldChar w:fldCharType="separate"/>
    </w:r>
    <w:r w:rsidR="00E764A8">
      <w:rPr>
        <w:noProof/>
      </w:rPr>
      <w:t>May 2017</w:t>
    </w:r>
    <w:r w:rsidR="00923641">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7B8DF" w14:textId="6BF69579" w:rsidR="00D517E7" w:rsidRPr="005D31DC" w:rsidRDefault="00D517E7" w:rsidP="00D7066F">
    <w:pPr>
      <w:pStyle w:val="FooterPortrait"/>
      <w:numPr>
        <w:ilvl w:val="0"/>
        <w:numId w:val="33"/>
      </w:numPr>
      <w:tabs>
        <w:tab w:val="clear" w:pos="720"/>
        <w:tab w:val="right" w:pos="12960"/>
      </w:tabs>
      <w:ind w:left="0" w:right="-1440" w:firstLine="0"/>
    </w:pPr>
    <w:r>
      <w:fldChar w:fldCharType="begin"/>
    </w:r>
    <w:r>
      <w:instrText xml:space="preserve"> PAGE   \* MERGEFORMAT </w:instrText>
    </w:r>
    <w:r>
      <w:fldChar w:fldCharType="separate"/>
    </w:r>
    <w:r w:rsidR="00E764A8">
      <w:rPr>
        <w:noProof/>
      </w:rPr>
      <w:t>31</w:t>
    </w:r>
    <w:r>
      <w:rPr>
        <w:noProof/>
      </w:rPr>
      <w:fldChar w:fldCharType="end"/>
    </w:r>
    <w:r w:rsidRPr="00D6516B">
      <w:tab/>
    </w:r>
    <w:r w:rsidR="00923641">
      <w:fldChar w:fldCharType="begin"/>
    </w:r>
    <w:r w:rsidR="00923641">
      <w:instrText xml:space="preserve"> STYLEREF  "Date_Title Page"  \* MERGEFORMAT </w:instrText>
    </w:r>
    <w:r w:rsidR="00923641">
      <w:fldChar w:fldCharType="separate"/>
    </w:r>
    <w:r w:rsidR="00E764A8">
      <w:rPr>
        <w:noProof/>
      </w:rPr>
      <w:t>May 2017</w:t>
    </w:r>
    <w:r w:rsidR="00923641">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7490B" w14:textId="7374743F" w:rsidR="00D517E7" w:rsidRPr="005D31DC" w:rsidRDefault="00D517E7" w:rsidP="00D7066F">
    <w:pPr>
      <w:pStyle w:val="FooterPortrait"/>
      <w:numPr>
        <w:ilvl w:val="0"/>
        <w:numId w:val="34"/>
      </w:numPr>
      <w:tabs>
        <w:tab w:val="clear" w:pos="720"/>
        <w:tab w:val="clear" w:pos="4680"/>
        <w:tab w:val="clear" w:pos="9360"/>
        <w:tab w:val="center" w:pos="6480"/>
        <w:tab w:val="right" w:pos="12960"/>
      </w:tabs>
      <w:ind w:left="0" w:right="-1440" w:firstLine="0"/>
    </w:pPr>
    <w:r>
      <w:fldChar w:fldCharType="begin"/>
    </w:r>
    <w:r>
      <w:instrText xml:space="preserve"> PAGE   \* MERGEFORMAT </w:instrText>
    </w:r>
    <w:r>
      <w:fldChar w:fldCharType="separate"/>
    </w:r>
    <w:r w:rsidR="00E764A8">
      <w:rPr>
        <w:noProof/>
      </w:rPr>
      <w:t>33</w:t>
    </w:r>
    <w:r>
      <w:rPr>
        <w:noProof/>
      </w:rPr>
      <w:fldChar w:fldCharType="end"/>
    </w:r>
    <w:r w:rsidRPr="00D6516B">
      <w:tab/>
    </w:r>
    <w:r w:rsidR="00923641">
      <w:fldChar w:fldCharType="begin"/>
    </w:r>
    <w:r w:rsidR="00923641">
      <w:instrText xml:space="preserve"> STYLEREF  "Date_Title Page"  \* MERGEFORMAT </w:instrText>
    </w:r>
    <w:r w:rsidR="00923641">
      <w:fldChar w:fldCharType="separate"/>
    </w:r>
    <w:r w:rsidR="00E764A8">
      <w:rPr>
        <w:noProof/>
      </w:rPr>
      <w:t>May 2017</w:t>
    </w:r>
    <w:r w:rsidR="00923641">
      <w:rPr>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619B8" w14:textId="77777777" w:rsidR="00D517E7" w:rsidRPr="005D31DC" w:rsidRDefault="00D517E7" w:rsidP="002067D4">
    <w:pPr>
      <w:pStyle w:val="FooterPortrait"/>
      <w:numPr>
        <w:ilvl w:val="0"/>
        <w:numId w:val="34"/>
      </w:numPr>
      <w:tabs>
        <w:tab w:val="clear" w:pos="720"/>
        <w:tab w:val="right" w:pos="12960"/>
      </w:tabs>
      <w:ind w:left="0" w:right="-1440" w:firstLine="0"/>
    </w:pPr>
    <w:r>
      <w:fldChar w:fldCharType="begin"/>
    </w:r>
    <w:r>
      <w:instrText xml:space="preserve"> PAGE   \* MERGEFORMAT </w:instrText>
    </w:r>
    <w:r>
      <w:fldChar w:fldCharType="separate"/>
    </w:r>
    <w:r w:rsidR="00E764A8">
      <w:rPr>
        <w:noProof/>
      </w:rPr>
      <w:t>52</w:t>
    </w:r>
    <w:r>
      <w:rPr>
        <w:noProof/>
      </w:rPr>
      <w:fldChar w:fldCharType="end"/>
    </w:r>
    <w:r w:rsidRPr="00D6516B">
      <w:tab/>
    </w:r>
    <w:r w:rsidR="00923641">
      <w:fldChar w:fldCharType="begin"/>
    </w:r>
    <w:r w:rsidR="00923641">
      <w:instrText xml:space="preserve"> STYLEREF  "Date_Title Page"  \* MERGEFORMAT </w:instrText>
    </w:r>
    <w:r w:rsidR="00923641">
      <w:fldChar w:fldCharType="separate"/>
    </w:r>
    <w:r w:rsidR="00E764A8">
      <w:rPr>
        <w:noProof/>
      </w:rPr>
      <w:t>May 2017</w:t>
    </w:r>
    <w:r w:rsidR="00923641">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4A9D7" w14:textId="77777777" w:rsidR="00D517E7" w:rsidRPr="008C6540" w:rsidRDefault="00D517E7" w:rsidP="008C6540">
    <w:r>
      <w:rPr>
        <w:noProof/>
      </w:rPr>
      <w:drawing>
        <wp:inline distT="0" distB="0" distL="0" distR="0" wp14:anchorId="20962538" wp14:editId="3B1EA871">
          <wp:extent cx="5943600" cy="1651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5943600" cy="165100"/>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C7CAF" w14:textId="77777777" w:rsidR="00D517E7" w:rsidRPr="005F6257" w:rsidRDefault="00D517E7" w:rsidP="005F625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8BA80" w14:textId="6AD88825" w:rsidR="00D517E7" w:rsidRPr="007D2DAE" w:rsidRDefault="00D517E7" w:rsidP="00D7066F">
    <w:pPr>
      <w:pStyle w:val="FooterPortrait"/>
      <w:numPr>
        <w:ilvl w:val="0"/>
        <w:numId w:val="27"/>
      </w:numPr>
      <w:tabs>
        <w:tab w:val="clear" w:pos="720"/>
      </w:tabs>
      <w:ind w:left="0" w:firstLine="0"/>
    </w:pPr>
    <w:r>
      <w:fldChar w:fldCharType="begin"/>
    </w:r>
    <w:r>
      <w:instrText xml:space="preserve"> PAGE   \* MERGEFORMAT </w:instrText>
    </w:r>
    <w:r>
      <w:fldChar w:fldCharType="separate"/>
    </w:r>
    <w:r w:rsidR="00E764A8">
      <w:rPr>
        <w:noProof/>
      </w:rPr>
      <w:t>vi</w:t>
    </w:r>
    <w:r>
      <w:rPr>
        <w:noProof/>
      </w:rPr>
      <w:fldChar w:fldCharType="end"/>
    </w:r>
    <w:r w:rsidRPr="007D2DAE">
      <w:tab/>
    </w:r>
    <w:r w:rsidR="00923641">
      <w:fldChar w:fldCharType="begin"/>
    </w:r>
    <w:r w:rsidR="00923641">
      <w:instrText xml:space="preserve"> STYLEREF  "Date_Title Page"  \* MERGEFORMAT </w:instrText>
    </w:r>
    <w:r w:rsidR="00923641">
      <w:fldChar w:fldCharType="separate"/>
    </w:r>
    <w:r w:rsidR="00E764A8">
      <w:rPr>
        <w:noProof/>
      </w:rPr>
      <w:t>May 2017</w:t>
    </w:r>
    <w:r w:rsidR="00923641">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7340D" w14:textId="77777777" w:rsidR="00D517E7" w:rsidRPr="009E148D" w:rsidRDefault="00D517E7" w:rsidP="00A10CE3">
    <w:r>
      <w:t>ICF International</w:t>
    </w:r>
    <w:r>
      <w:tab/>
    </w:r>
    <w:r>
      <w:tab/>
    </w:r>
    <w:r>
      <w:fldChar w:fldCharType="begin"/>
    </w:r>
    <w:r>
      <w:instrText xml:space="preserve"> STYLEREF  Client  \* MERGEFORMAT </w:instrText>
    </w:r>
    <w:r>
      <w:fldChar w:fldCharType="separate"/>
    </w:r>
    <w:r>
      <w:rPr>
        <w:b/>
        <w:bCs/>
        <w:noProof/>
      </w:rPr>
      <w:t>Error! Use the Home tab to apply Client to the text that you want to appear here.</w:t>
    </w:r>
    <w:r>
      <w:fldChar w:fldCharType="end"/>
    </w:r>
    <w:r>
      <w:fldChar w:fldCharType="begin"/>
    </w:r>
    <w:r>
      <w:instrText xml:space="preserve"> STYLEREF  "Production Number"  \* MERGEFORMAT </w:instrText>
    </w:r>
    <w:r>
      <w:fldChar w:fldCharType="separate"/>
    </w:r>
    <w:r>
      <w:rPr>
        <w:b/>
        <w:bCs/>
        <w:noProof/>
      </w:rPr>
      <w:t>Error! Use the Home tab to apply Production Number to the text that you want to appear here.</w:t>
    </w:r>
    <w:r>
      <w:fldChar w:fldCharType="end"/>
    </w:r>
    <w:r>
      <w:fldChar w:fldCharType="begin"/>
    </w:r>
    <w:r>
      <w:instrText xml:space="preserve"> STYLEREF  Date  \* MERGEFORMAT </w:instrText>
    </w:r>
    <w:r>
      <w:fldChar w:fldCharType="separate"/>
    </w:r>
    <w:r>
      <w:rPr>
        <w:b/>
        <w:bCs/>
        <w:noProof/>
      </w:rPr>
      <w:t>Error! Use the Home tab to apply Date to the text that you want to appear here.</w:t>
    </w:r>
    <w:r>
      <w:fldChar w:fldCharType="end"/>
    </w: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C968EB" w14:textId="77777777" w:rsidR="00D517E7" w:rsidRPr="009E148D" w:rsidRDefault="00D517E7" w:rsidP="00FD0BF6">
    <w:pPr>
      <w:pStyle w:val="FooterPortrait"/>
    </w:pPr>
    <w:r>
      <w:t>ICF International</w:t>
    </w:r>
    <w:r>
      <w:tab/>
    </w:r>
    <w:r>
      <w:fldChar w:fldCharType="begin"/>
    </w:r>
    <w:r>
      <w:instrText xml:space="preserve"> PAGE </w:instrText>
    </w:r>
    <w:r>
      <w:fldChar w:fldCharType="separate"/>
    </w:r>
    <w:r>
      <w:rPr>
        <w:noProof/>
      </w:rPr>
      <w:t>1-1</w:t>
    </w:r>
    <w:r>
      <w:rPr>
        <w:noProof/>
      </w:rPr>
      <w:fldChar w:fldCharType="end"/>
    </w:r>
    <w:r>
      <w:tab/>
    </w:r>
    <w:r w:rsidR="00923641">
      <w:fldChar w:fldCharType="begin"/>
    </w:r>
    <w:r w:rsidR="00923641">
      <w:instrText xml:space="preserve"> STYLEREF  "Date_Title Page"  \* MERGEFORMAT </w:instrText>
    </w:r>
    <w:r w:rsidR="00923641">
      <w:fldChar w:fldCharType="separate"/>
    </w:r>
    <w:r>
      <w:rPr>
        <w:noProof/>
      </w:rPr>
      <w:t>April 2017</w:t>
    </w:r>
    <w:r w:rsidR="00923641">
      <w:rPr>
        <w:noProof/>
      </w:rP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AC4CCA" w14:textId="7DC5EA8B" w:rsidR="00D517E7" w:rsidRPr="005D31DC" w:rsidRDefault="00D517E7" w:rsidP="00D7066F">
    <w:pPr>
      <w:pStyle w:val="FooterPortrait"/>
      <w:numPr>
        <w:ilvl w:val="0"/>
        <w:numId w:val="29"/>
      </w:numPr>
      <w:tabs>
        <w:tab w:val="clear" w:pos="720"/>
      </w:tabs>
      <w:ind w:left="0" w:firstLine="0"/>
    </w:pPr>
    <w:r>
      <w:fldChar w:fldCharType="begin"/>
    </w:r>
    <w:r>
      <w:instrText xml:space="preserve"> PAGE   \* MERGEFORMAT </w:instrText>
    </w:r>
    <w:r>
      <w:fldChar w:fldCharType="separate"/>
    </w:r>
    <w:r w:rsidR="00E764A8">
      <w:rPr>
        <w:noProof/>
      </w:rPr>
      <w:t>15</w:t>
    </w:r>
    <w:r>
      <w:rPr>
        <w:noProof/>
      </w:rPr>
      <w:fldChar w:fldCharType="end"/>
    </w:r>
    <w:r w:rsidRPr="00D6516B">
      <w:tab/>
    </w:r>
    <w:r w:rsidR="00923641">
      <w:fldChar w:fldCharType="begin"/>
    </w:r>
    <w:r w:rsidR="00923641">
      <w:instrText xml:space="preserve"> STYLEREF  "Date_Title Page"  \* MERGEFORMAT </w:instrText>
    </w:r>
    <w:r w:rsidR="00923641">
      <w:fldChar w:fldCharType="separate"/>
    </w:r>
    <w:r w:rsidR="00E764A8">
      <w:rPr>
        <w:noProof/>
      </w:rPr>
      <w:t>May 2017</w:t>
    </w:r>
    <w:r w:rsidR="00923641">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DD851" w14:textId="77CF8516" w:rsidR="00D517E7" w:rsidRPr="005D31DC" w:rsidRDefault="00D517E7" w:rsidP="00D7066F">
    <w:pPr>
      <w:pStyle w:val="FooterPortrait"/>
      <w:numPr>
        <w:ilvl w:val="0"/>
        <w:numId w:val="28"/>
      </w:numPr>
      <w:tabs>
        <w:tab w:val="clear" w:pos="720"/>
      </w:tabs>
      <w:ind w:left="0" w:firstLine="0"/>
    </w:pPr>
    <w:r>
      <w:fldChar w:fldCharType="begin"/>
    </w:r>
    <w:r>
      <w:instrText xml:space="preserve"> PAGE   \* MERGEFORMAT </w:instrText>
    </w:r>
    <w:r>
      <w:fldChar w:fldCharType="separate"/>
    </w:r>
    <w:r w:rsidR="00E764A8">
      <w:rPr>
        <w:noProof/>
      </w:rPr>
      <w:t>3</w:t>
    </w:r>
    <w:r>
      <w:rPr>
        <w:noProof/>
      </w:rPr>
      <w:fldChar w:fldCharType="end"/>
    </w:r>
    <w:r w:rsidRPr="00D6516B">
      <w:tab/>
    </w:r>
    <w:r w:rsidR="00923641">
      <w:fldChar w:fldCharType="begin"/>
    </w:r>
    <w:r w:rsidR="00923641">
      <w:instrText xml:space="preserve"> STYLEREF  "Date_Title Page"  \* MERGEFORMAT </w:instrText>
    </w:r>
    <w:r w:rsidR="00923641">
      <w:fldChar w:fldCharType="separate"/>
    </w:r>
    <w:r w:rsidR="00E764A8">
      <w:rPr>
        <w:noProof/>
      </w:rPr>
      <w:t>May 2017</w:t>
    </w:r>
    <w:r w:rsidR="00923641">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50223" w14:textId="632D69D4" w:rsidR="00D517E7" w:rsidRPr="005D31DC" w:rsidRDefault="00D517E7" w:rsidP="00D7066F">
    <w:pPr>
      <w:pStyle w:val="FooterPortrait"/>
      <w:numPr>
        <w:ilvl w:val="0"/>
        <w:numId w:val="30"/>
      </w:numPr>
      <w:tabs>
        <w:tab w:val="clear" w:pos="720"/>
        <w:tab w:val="clear" w:pos="4680"/>
        <w:tab w:val="clear" w:pos="9360"/>
        <w:tab w:val="center" w:pos="6480"/>
        <w:tab w:val="right" w:pos="12960"/>
      </w:tabs>
      <w:ind w:left="0" w:right="-1440" w:firstLine="0"/>
    </w:pPr>
    <w:r>
      <w:fldChar w:fldCharType="begin"/>
    </w:r>
    <w:r>
      <w:instrText xml:space="preserve"> PAGE   \* MERGEFORMAT </w:instrText>
    </w:r>
    <w:r>
      <w:fldChar w:fldCharType="separate"/>
    </w:r>
    <w:r w:rsidR="00E764A8">
      <w:rPr>
        <w:noProof/>
      </w:rPr>
      <w:t>26</w:t>
    </w:r>
    <w:r>
      <w:rPr>
        <w:noProof/>
      </w:rPr>
      <w:fldChar w:fldCharType="end"/>
    </w:r>
    <w:r w:rsidRPr="00D6516B">
      <w:tab/>
    </w:r>
    <w:r w:rsidR="00923641">
      <w:fldChar w:fldCharType="begin"/>
    </w:r>
    <w:r w:rsidR="00923641">
      <w:instrText xml:space="preserve"> STYLEREF  "Date_Title Page"  \* MERGEFORMAT </w:instrText>
    </w:r>
    <w:r w:rsidR="00923641">
      <w:fldChar w:fldCharType="separate"/>
    </w:r>
    <w:r w:rsidR="00E764A8">
      <w:rPr>
        <w:noProof/>
      </w:rPr>
      <w:t>May 2017</w:t>
    </w:r>
    <w:r w:rsidR="0092364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BA50C3" w14:textId="77777777" w:rsidR="00923641" w:rsidRDefault="00923641">
      <w:r>
        <w:separator/>
      </w:r>
    </w:p>
    <w:p w14:paraId="10B904A3" w14:textId="77777777" w:rsidR="00923641" w:rsidRDefault="00923641"/>
  </w:footnote>
  <w:footnote w:type="continuationSeparator" w:id="0">
    <w:p w14:paraId="2F515F56" w14:textId="77777777" w:rsidR="00923641" w:rsidRDefault="00923641" w:rsidP="00FB0227">
      <w:r>
        <w:continuationSeparator/>
      </w:r>
    </w:p>
    <w:p w14:paraId="5FC337B0" w14:textId="77777777" w:rsidR="00923641" w:rsidRDefault="00923641"/>
    <w:p w14:paraId="5F3C45C9" w14:textId="77777777" w:rsidR="00923641" w:rsidRDefault="00923641"/>
  </w:footnote>
  <w:footnote w:id="1">
    <w:p w14:paraId="2230BB63" w14:textId="77777777" w:rsidR="00D517E7" w:rsidRDefault="00D517E7" w:rsidP="009C29A8">
      <w:pPr>
        <w:pStyle w:val="FootnoteText"/>
      </w:pPr>
      <w:r>
        <w:rPr>
          <w:rStyle w:val="FootnoteReference"/>
        </w:rPr>
        <w:footnoteRef/>
      </w:r>
      <w:r>
        <w:t xml:space="preserve"> Microsoft help on the Trust Center: </w:t>
      </w:r>
      <w:hyperlink r:id="rId1" w:history="1">
        <w:r w:rsidRPr="009B7B8F">
          <w:rPr>
            <w:rStyle w:val="Hyperlink"/>
          </w:rPr>
          <w:t>https://support.office.com/en-us/article/Create-remove-or-change-a-trusted-location-for-your-files-f5151879-25ea-4998-80a5-4208b3540a62</w:t>
        </w:r>
      </w:hyperlink>
      <w:r>
        <w:t xml:space="preserve">. </w:t>
      </w:r>
    </w:p>
  </w:footnote>
  <w:footnote w:id="2">
    <w:p w14:paraId="4291919E" w14:textId="77777777" w:rsidR="00D517E7" w:rsidRDefault="00D517E7" w:rsidP="009C29A8">
      <w:pPr>
        <w:pStyle w:val="FootnoteText"/>
      </w:pPr>
      <w:r>
        <w:rPr>
          <w:rStyle w:val="FootnoteReference"/>
        </w:rPr>
        <w:footnoteRef/>
      </w:r>
      <w:r>
        <w:t xml:space="preserve"> Microsoft instructions on Excel macro security: </w:t>
      </w:r>
      <w:hyperlink r:id="rId2" w:history="1">
        <w:r w:rsidRPr="009B7B8F">
          <w:rPr>
            <w:rStyle w:val="Hyperlink"/>
          </w:rPr>
          <w:t>https://support.office.com/en-us/article/Change-macro-security-settings-in-Excel-3b5ec213-efcc-4d48-9efd-83d097397a7e?ui=en-US&amp;rs=en-US&amp;ad=US&amp;fromAR=1</w:t>
        </w:r>
      </w:hyperlink>
      <w:r>
        <w:t xml:space="preserve">. </w:t>
      </w:r>
    </w:p>
  </w:footnote>
  <w:footnote w:id="3">
    <w:p w14:paraId="531AD475" w14:textId="77777777" w:rsidR="00D517E7" w:rsidRDefault="00D517E7" w:rsidP="00893B8E">
      <w:pPr>
        <w:pStyle w:val="FootnoteText"/>
      </w:pPr>
      <w:r>
        <w:rPr>
          <w:rStyle w:val="FootnoteReference"/>
        </w:rPr>
        <w:footnoteRef/>
      </w:r>
      <w:r>
        <w:t xml:space="preserve"> MOVES: </w:t>
      </w:r>
      <w:hyperlink r:id="rId3" w:history="1">
        <w:r w:rsidRPr="009C2ADF">
          <w:rPr>
            <w:rStyle w:val="Hyperlink"/>
          </w:rPr>
          <w:t>https://www3.epa.gov/otaq/models/moves/</w:t>
        </w:r>
      </w:hyperlink>
      <w:r>
        <w:rPr>
          <w:rStyle w:val="Hyperlink"/>
        </w:rPr>
        <w:t xml:space="preserve">. </w:t>
      </w:r>
    </w:p>
  </w:footnote>
  <w:footnote w:id="4">
    <w:p w14:paraId="6681422E" w14:textId="77777777" w:rsidR="00D517E7" w:rsidRDefault="00D517E7" w:rsidP="00B0776A">
      <w:pPr>
        <w:pStyle w:val="FootnoteText"/>
      </w:pPr>
      <w:r>
        <w:rPr>
          <w:rStyle w:val="FootnoteReference"/>
        </w:rPr>
        <w:footnoteRef/>
      </w:r>
      <w:r>
        <w:t xml:space="preserve"> Core-based statistical areas: </w:t>
      </w:r>
      <w:hyperlink r:id="rId4" w:history="1">
        <w:r w:rsidRPr="00DF1597">
          <w:rPr>
            <w:rStyle w:val="Hyperlink"/>
          </w:rPr>
          <w:t>https://www.census.gov/geo/reference/gtc/gtc_cbsa.html</w:t>
        </w:r>
      </w:hyperlink>
    </w:p>
  </w:footnote>
  <w:footnote w:id="5">
    <w:p w14:paraId="07D4CF2F" w14:textId="77777777" w:rsidR="00D517E7" w:rsidRPr="00446187" w:rsidRDefault="00D517E7" w:rsidP="002F042A">
      <w:pPr>
        <w:pStyle w:val="FootnoteText"/>
      </w:pPr>
      <w:r>
        <w:rPr>
          <w:rStyle w:val="FootnoteReference"/>
        </w:rPr>
        <w:footnoteRef/>
      </w:r>
      <w:r>
        <w:t xml:space="preserve"> TIAX, Characterization of Drayage Truck Duty Cycles at the Port of Long Beach and Port of Los Angeles, Final Report, </w:t>
      </w:r>
      <w:r w:rsidRPr="00446187">
        <w:t xml:space="preserve">March 2011. Available at: </w:t>
      </w:r>
      <w:hyperlink r:id="rId5" w:history="1">
        <w:r w:rsidRPr="00446187">
          <w:rPr>
            <w:rStyle w:val="Hyperlink"/>
          </w:rPr>
          <w:t>http://www.cleanairactionplan.org/civica/filebank/blobdload.asp?BlobID=2515</w:t>
        </w:r>
      </w:hyperlink>
    </w:p>
  </w:footnote>
  <w:footnote w:id="6">
    <w:p w14:paraId="6ECE9535" w14:textId="77777777" w:rsidR="00D517E7" w:rsidRDefault="00D517E7" w:rsidP="007B1EA8">
      <w:pPr>
        <w:pStyle w:val="FootnoteText"/>
      </w:pPr>
      <w:r>
        <w:rPr>
          <w:rStyle w:val="FootnoteReference"/>
        </w:rPr>
        <w:footnoteRef/>
      </w:r>
      <w:r>
        <w:t xml:space="preserve"> GREETmodel: </w:t>
      </w:r>
      <w:hyperlink r:id="rId6" w:history="1">
        <w:r w:rsidRPr="00013075">
          <w:rPr>
            <w:rStyle w:val="Hyperlink"/>
          </w:rPr>
          <w:t>https://greet.es.anl.gov/</w:t>
        </w:r>
      </w:hyperlink>
    </w:p>
  </w:footnote>
  <w:footnote w:id="7">
    <w:p w14:paraId="115D7790" w14:textId="77777777" w:rsidR="00D517E7" w:rsidRDefault="00D517E7" w:rsidP="002E4D87">
      <w:pPr>
        <w:pStyle w:val="FootnoteText"/>
      </w:pPr>
      <w:r>
        <w:rPr>
          <w:rStyle w:val="FootnoteReference"/>
        </w:rPr>
        <w:footnoteRef/>
      </w:r>
      <w:r>
        <w:t xml:space="preserve"> </w:t>
      </w:r>
      <w:hyperlink r:id="rId7" w:history="1">
        <w:r w:rsidRPr="005820EC">
          <w:rPr>
            <w:rStyle w:val="Hyperlink"/>
          </w:rPr>
          <w:t>https://www.epa.gov/cleandiesel/diesel-emissions-quantifier-deq</w:t>
        </w:r>
      </w:hyperlink>
    </w:p>
  </w:footnote>
  <w:footnote w:id="8">
    <w:p w14:paraId="49C09B97" w14:textId="77777777" w:rsidR="00D517E7" w:rsidRDefault="00D517E7">
      <w:pPr>
        <w:pStyle w:val="FootnoteText"/>
      </w:pPr>
      <w:r>
        <w:rPr>
          <w:rStyle w:val="FootnoteReference"/>
        </w:rPr>
        <w:footnoteRef/>
      </w:r>
      <w:r>
        <w:t xml:space="preserve"> Truck-sales website: </w:t>
      </w:r>
      <w:hyperlink r:id="rId8" w:history="1">
        <w:r>
          <w:rPr>
            <w:rStyle w:val="Hyperlink"/>
          </w:rPr>
          <w:t>http://www.commercialtrucktrader.com/</w:t>
        </w:r>
      </w:hyperlink>
    </w:p>
  </w:footnote>
  <w:footnote w:id="9">
    <w:p w14:paraId="7D1DC63F" w14:textId="77777777" w:rsidR="00D517E7" w:rsidRDefault="00D517E7" w:rsidP="00532E1F">
      <w:pPr>
        <w:pStyle w:val="FootnoteText"/>
      </w:pPr>
      <w:r>
        <w:rPr>
          <w:rStyle w:val="FootnoteReference"/>
        </w:rPr>
        <w:footnoteRef/>
      </w:r>
      <w:r>
        <w:t xml:space="preserve"> Default fuel prices: U.S. Department of Energy, Clean Cities Alternative Fuel Price Report, April 2016. </w:t>
      </w:r>
      <w:hyperlink r:id="rId9" w:history="1">
        <w:r w:rsidRPr="00CC451D">
          <w:rPr>
            <w:rStyle w:val="Hyperlink"/>
          </w:rPr>
          <w:t>http://www.afdc.energy.gov/uploads/publication/alternative_fuel_price_report_april_2016.pdf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C5D97" w14:textId="77777777" w:rsidR="00D517E7" w:rsidRPr="00FD0BF6" w:rsidRDefault="00923641" w:rsidP="00FD0BF6">
    <w:pPr>
      <w:pStyle w:val="Header"/>
    </w:pPr>
    <w:r>
      <w:fldChar w:fldCharType="begin"/>
    </w:r>
    <w:r>
      <w:instrText xml:space="preserve"> STYLEREF  "Document Title"  \* MERGEFORMAT </w:instrText>
    </w:r>
    <w:r>
      <w:fldChar w:fldCharType="separate"/>
    </w:r>
    <w:r w:rsidR="00D517E7">
      <w:rPr>
        <w:noProof/>
      </w:rPr>
      <w:t>User Manual for Clean Truck Strategies Analysis Tool</w:t>
    </w:r>
    <w:r>
      <w:rPr>
        <w:noProof/>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6DEBF1" w14:textId="77777777" w:rsidR="00D517E7" w:rsidRPr="00BF42FD" w:rsidRDefault="00923641" w:rsidP="00246D62">
    <w:pPr>
      <w:pStyle w:val="Header"/>
    </w:pPr>
    <w:r>
      <w:fldChar w:fldCharType="begin"/>
    </w:r>
    <w:r>
      <w:instrText xml:space="preserve"> STYLEREF  "Document Title"  \* MERGEFORMAT </w:instrText>
    </w:r>
    <w:r>
      <w:fldChar w:fldCharType="separate"/>
    </w:r>
    <w:r w:rsidR="00E764A8" w:rsidRPr="00E764A8">
      <w:rPr>
        <w:bCs/>
        <w:i/>
        <w:noProof/>
      </w:rPr>
      <w:t>User Manual</w:t>
    </w:r>
    <w:r w:rsidR="00E764A8">
      <w:rPr>
        <w:noProof/>
      </w:rPr>
      <w:t xml:space="preserve"> for Clean Truck Strategies Analysis Tool</w:t>
    </w:r>
    <w:r>
      <w:rPr>
        <w:noProof/>
      </w:rPr>
      <w:fldChar w:fldCharType="end"/>
    </w:r>
    <w:r w:rsidR="00D517E7">
      <w:br/>
    </w:r>
    <w:r>
      <w:fldChar w:fldCharType="begin"/>
    </w:r>
    <w:r>
      <w:instrText xml:space="preserve"> STYLEREF  "Heading 1"  \* MERGEFORMAT </w:instrText>
    </w:r>
    <w:r>
      <w:fldChar w:fldCharType="separate"/>
    </w:r>
    <w:r w:rsidR="00E764A8">
      <w:rPr>
        <w:noProof/>
      </w:rPr>
      <w:t>Implementation of the Analysis Options</w:t>
    </w:r>
    <w:r>
      <w:rPr>
        <w:noProof/>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CA657" w14:textId="77777777" w:rsidR="00D517E7" w:rsidRPr="005D31DC" w:rsidRDefault="00D517E7" w:rsidP="005D31DC">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F835E" w14:textId="076C7CE6" w:rsidR="00D517E7" w:rsidRDefault="00D517E7" w:rsidP="00E359E6">
    <w:r>
      <w:rPr>
        <w:noProof/>
      </w:rPr>
      <mc:AlternateContent>
        <mc:Choice Requires="wpc">
          <w:drawing>
            <wp:inline distT="0" distB="0" distL="0" distR="0" wp14:anchorId="47C57F27" wp14:editId="2EB240CB">
              <wp:extent cx="5951855" cy="170815"/>
              <wp:effectExtent l="0" t="3810" r="1270" b="0"/>
              <wp:docPr id="6" name="Canvas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Rectangle 3"/>
                      <wps:cNvSpPr>
                        <a:spLocks noChangeArrowheads="1"/>
                      </wps:cNvSpPr>
                      <wps:spPr bwMode="auto">
                        <a:xfrm>
                          <a:off x="600" y="0"/>
                          <a:ext cx="235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BFEE0" w14:textId="77777777" w:rsidR="00D517E7" w:rsidRDefault="00D517E7">
                            <w:r>
                              <w:rPr>
                                <w:rFonts w:cs="Calibri"/>
                                <w:color w:val="000000"/>
                                <w:sz w:val="16"/>
                                <w:szCs w:val="16"/>
                              </w:rPr>
                              <w:t xml:space="preserve"> </w:t>
                            </w:r>
                          </w:p>
                        </w:txbxContent>
                      </wps:txbx>
                      <wps:bodyPr rot="0" vert="horz" wrap="none" lIns="0" tIns="0" rIns="0" bIns="0" anchor="t" anchorCtr="0" upright="1">
                        <a:spAutoFit/>
                      </wps:bodyPr>
                    </wps:wsp>
                    <wps:wsp>
                      <wps:cNvPr id="5" name="Rectangle 4"/>
                      <wps:cNvSpPr>
                        <a:spLocks noChangeArrowheads="1"/>
                      </wps:cNvSpPr>
                      <wps:spPr bwMode="auto">
                        <a:xfrm>
                          <a:off x="0" y="600"/>
                          <a:ext cx="5951855" cy="162614"/>
                        </a:xfrm>
                        <a:prstGeom prst="rect">
                          <a:avLst/>
                        </a:prstGeom>
                        <a:solidFill>
                          <a:srgbClr val="0067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47C57F27" id="Canvas 1" o:spid="_x0000_s1027" editas="canvas" style="width:468.65pt;height:13.45pt;mso-position-horizontal-relative:char;mso-position-vertical-relative:line" coordsize="59518,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518;height:1708;visibility:visible;mso-wrap-style:square">
                <v:fill o:detectmouseclick="t"/>
                <v:path o:connecttype="none"/>
              </v:shape>
              <v:rect id="Rectangle 3" o:spid="_x0000_s1029" style="position:absolute;left:6;width:235;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14:paraId="656BFEE0" w14:textId="77777777" w:rsidR="00D517E7" w:rsidRDefault="00D517E7">
                      <w:r>
                        <w:rPr>
                          <w:rFonts w:cs="Calibri"/>
                          <w:color w:val="000000"/>
                          <w:sz w:val="16"/>
                          <w:szCs w:val="16"/>
                        </w:rPr>
                        <w:t xml:space="preserve"> </w:t>
                      </w:r>
                    </w:p>
                  </w:txbxContent>
                </v:textbox>
              </v:rect>
              <v:rect id="Rectangle 4" o:spid="_x0000_s1030" style="position:absolute;top:6;width:59518;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NsMA&#10;AADaAAAADwAAAGRycy9kb3ducmV2LnhtbESPQWvCQBSE74L/YXlCL6IbW9SSZiNpacGr0YPHR/Y1&#10;Sc2+Ddlt3Pz7bqHQ4zAz3zDZIZhOjDS41rKCzToBQVxZ3XKt4HL+WD2DcB5ZY2eZFEzk4JDPZxmm&#10;2t75RGPpaxEh7FJU0Hjfp1K6qiGDbm174uh92sGgj3KopR7wHuGmk49JspMGW44LDfb01lB1K7+N&#10;gtexmKZlsQ/Hd3u9dPXXU+hLVuphEYoXEJ6C/w//tY9awRZ+r8Qb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rNsMAAADaAAAADwAAAAAAAAAAAAAAAACYAgAAZHJzL2Rv&#10;d25yZXYueG1sUEsFBgAAAAAEAAQA9QAAAIgDAAAAAA==&#10;" fillcolor="#0067ab" stroked="f"/>
              <w10:anchorlock/>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BEF19A" w14:textId="77777777" w:rsidR="00D517E7" w:rsidRPr="005F6257" w:rsidRDefault="00D517E7" w:rsidP="007D2DAE">
    <w:pPr>
      <w:pStyle w:val="Header"/>
      <w:pBdr>
        <w:bottom w:val="none" w:sz="0" w:space="0" w:color="auto"/>
      </w:pBdr>
      <w:spacing w:after="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16DFD2" w14:textId="77777777" w:rsidR="00D517E7" w:rsidRPr="00E805E5" w:rsidRDefault="00923641" w:rsidP="00FD0BF6">
    <w:pPr>
      <w:pStyle w:val="Header"/>
      <w:rPr>
        <w:i/>
      </w:rPr>
    </w:pPr>
    <w:r>
      <w:fldChar w:fldCharType="begin"/>
    </w:r>
    <w:r>
      <w:instrText xml:space="preserve"> STYLEREF  "Document Title"  \* MERGEFORMAT </w:instrText>
    </w:r>
    <w:r>
      <w:fldChar w:fldCharType="separate"/>
    </w:r>
    <w:r w:rsidR="00E764A8">
      <w:rPr>
        <w:noProof/>
      </w:rPr>
      <w:t>User Manual for Clean Truck Strategies Analysis Tool</w:t>
    </w:r>
    <w:r>
      <w:rPr>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ACF59" w14:textId="77777777" w:rsidR="00D517E7" w:rsidRPr="00CC5BEB" w:rsidRDefault="00923641" w:rsidP="00FD0BF6">
    <w:pPr>
      <w:pStyle w:val="Header"/>
    </w:pPr>
    <w:r>
      <w:fldChar w:fldCharType="begin"/>
    </w:r>
    <w:r>
      <w:instrText xml:space="preserve"> STYLEREF  "Document Title"  \* MERGEFORMAT </w:instrText>
    </w:r>
    <w:r>
      <w:fldChar w:fldCharType="separate"/>
    </w:r>
    <w:r w:rsidR="00D517E7" w:rsidRPr="00C42F38">
      <w:rPr>
        <w:noProof/>
        <w:color w:val="auto"/>
        <w:szCs w:val="20"/>
      </w:rPr>
      <w:t>User</w:t>
    </w:r>
    <w:r w:rsidR="00D517E7">
      <w:rPr>
        <w:noProof/>
      </w:rPr>
      <w:t xml:space="preserve"> Manual for Clean Truck Strategies Analysis Tool</w:t>
    </w:r>
    <w:r>
      <w:rPr>
        <w:noProof/>
      </w:rPr>
      <w:fldChar w:fldCharType="end"/>
    </w:r>
    <w:r>
      <w:fldChar w:fldCharType="begin"/>
    </w:r>
    <w:r>
      <w:instrText xml:space="preserve"> STYLEREF  "Heading 1"  \* MERGEFORMAT </w:instrText>
    </w:r>
    <w:r>
      <w:fldChar w:fldCharType="separate"/>
    </w:r>
    <w:r w:rsidR="00D517E7">
      <w:rPr>
        <w:noProof/>
      </w:rPr>
      <w:t>Introduction</w:t>
    </w:r>
    <w:r>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B8D1F" w14:textId="77777777" w:rsidR="00D517E7" w:rsidRDefault="00923641" w:rsidP="00FD0BF6">
    <w:pPr>
      <w:pStyle w:val="Header"/>
    </w:pPr>
    <w:r>
      <w:fldChar w:fldCharType="begin"/>
    </w:r>
    <w:r>
      <w:instrText xml:space="preserve"> STYLEREF  "Document Title"  \* MERGEFORMAT </w:instrText>
    </w:r>
    <w:r>
      <w:fldChar w:fldCharType="separate"/>
    </w:r>
    <w:r w:rsidR="00D517E7" w:rsidRPr="00C42F38">
      <w:rPr>
        <w:bCs/>
        <w:i/>
        <w:noProof/>
      </w:rPr>
      <w:t>User Manual</w:t>
    </w:r>
    <w:r w:rsidR="00D517E7">
      <w:rPr>
        <w:noProof/>
      </w:rPr>
      <w:t xml:space="preserve"> for Clean Truck Strategies Analysis Tool</w:t>
    </w:r>
    <w:r>
      <w:rPr>
        <w:noProof/>
      </w:rPr>
      <w:fldChar w:fldCharType="end"/>
    </w:r>
    <w:r w:rsidR="00D517E7">
      <w:br/>
    </w:r>
    <w:r>
      <w:fldChar w:fldCharType="begin"/>
    </w:r>
    <w:r>
      <w:instrText xml:space="preserve"> STYLEREF  "Heading 1"  \* MERGEFORMAT </w:instrText>
    </w:r>
    <w:r>
      <w:fldChar w:fldCharType="separate"/>
    </w:r>
    <w:r w:rsidR="00D517E7">
      <w:rPr>
        <w:noProof/>
      </w:rPr>
      <w:t>Introduction</w:t>
    </w:r>
    <w:r>
      <w:rPr>
        <w:noProof/>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EC4AAA" w14:textId="77777777" w:rsidR="00D517E7" w:rsidRPr="00BF42FD" w:rsidRDefault="00D517E7" w:rsidP="00BF42FD">
    <w:pPr>
      <w:pStyle w:val="Header"/>
      <w:pBdr>
        <w:bottom w:val="none" w:sz="0" w:space="0"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0CD201" w14:textId="77777777" w:rsidR="00D517E7" w:rsidRPr="00BF42FD" w:rsidRDefault="00923641" w:rsidP="00BF42FD">
    <w:pPr>
      <w:pStyle w:val="Header"/>
    </w:pPr>
    <w:r>
      <w:fldChar w:fldCharType="begin"/>
    </w:r>
    <w:r>
      <w:instrText xml:space="preserve"> STYLEREF  "Document Title"  \* MERGEFORMAT </w:instrText>
    </w:r>
    <w:r>
      <w:fldChar w:fldCharType="separate"/>
    </w:r>
    <w:r w:rsidR="00E764A8" w:rsidRPr="00E764A8">
      <w:rPr>
        <w:bCs/>
        <w:i/>
        <w:noProof/>
      </w:rPr>
      <w:t>User Manual</w:t>
    </w:r>
    <w:r w:rsidR="00E764A8" w:rsidRPr="00E764A8">
      <w:rPr>
        <w:i/>
        <w:noProof/>
      </w:rPr>
      <w:t xml:space="preserve"> for Clean Truck Strategies Analysis Tool</w:t>
    </w:r>
    <w:r>
      <w:rPr>
        <w:i/>
        <w:noProof/>
      </w:rPr>
      <w:fldChar w:fldCharType="end"/>
    </w:r>
    <w:r w:rsidR="00D517E7">
      <w:br/>
    </w:r>
    <w:r>
      <w:fldChar w:fldCharType="begin"/>
    </w:r>
    <w:r>
      <w:instrText xml:space="preserve"> STYLEREF  "Heading 1"  \* MERGEFORMAT </w:instrText>
    </w:r>
    <w:r>
      <w:fldChar w:fldCharType="separate"/>
    </w:r>
    <w:r w:rsidR="00E764A8">
      <w:rPr>
        <w:noProof/>
      </w:rPr>
      <w:t>Overview of Tool Scope and Outputs</w:t>
    </w:r>
    <w:r>
      <w:rPr>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31771" w14:textId="77777777" w:rsidR="00D517E7" w:rsidRPr="00BF42FD" w:rsidRDefault="00923641" w:rsidP="00BB7EB6">
    <w:pPr>
      <w:pStyle w:val="Header"/>
    </w:pPr>
    <w:r>
      <w:fldChar w:fldCharType="begin"/>
    </w:r>
    <w:r>
      <w:instrText xml:space="preserve"> STYLEREF  "Document Title"  \* MERGEFORMAT </w:instrText>
    </w:r>
    <w:r>
      <w:fldChar w:fldCharType="separate"/>
    </w:r>
    <w:r w:rsidR="00E764A8" w:rsidRPr="00E764A8">
      <w:rPr>
        <w:bCs/>
        <w:i/>
        <w:noProof/>
      </w:rPr>
      <w:t>User Manual</w:t>
    </w:r>
    <w:r w:rsidR="00E764A8">
      <w:rPr>
        <w:noProof/>
      </w:rPr>
      <w:t xml:space="preserve"> for Clean Truck Strategies Analysis Tool</w:t>
    </w:r>
    <w:r>
      <w:rPr>
        <w:noProof/>
      </w:rPr>
      <w:fldChar w:fldCharType="end"/>
    </w:r>
    <w:r w:rsidR="00D517E7">
      <w:br/>
    </w:r>
    <w:r>
      <w:fldChar w:fldCharType="begin"/>
    </w:r>
    <w:r>
      <w:instrText xml:space="preserve"> STYLEREF  "Heading 1"  \* MERGEFORMAT </w:instrText>
    </w:r>
    <w:r>
      <w:fldChar w:fldCharType="separate"/>
    </w:r>
    <w:r w:rsidR="00E764A8">
      <w:rPr>
        <w:noProof/>
      </w:rPr>
      <w:t>Implementation of the Analysis Options</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10.55pt;height:251.45pt;visibility:visible;mso-wrap-style:square" o:bullet="t">
        <v:imagedata r:id="rId1" o:title=""/>
      </v:shape>
    </w:pict>
  </w:numPicBullet>
  <w:abstractNum w:abstractNumId="0" w15:restartNumberingAfterBreak="0">
    <w:nsid w:val="FFFFFF83"/>
    <w:multiLevelType w:val="singleLevel"/>
    <w:tmpl w:val="FC76E2DE"/>
    <w:lvl w:ilvl="0">
      <w:start w:val="1"/>
      <w:numFmt w:val="bullet"/>
      <w:pStyle w:val="Bullet1"/>
      <w:lvlText w:val=""/>
      <w:lvlJc w:val="left"/>
      <w:pPr>
        <w:tabs>
          <w:tab w:val="num" w:pos="720"/>
        </w:tabs>
        <w:ind w:left="720" w:hanging="360"/>
      </w:pPr>
      <w:rPr>
        <w:rFonts w:ascii="Symbol" w:hAnsi="Symbol" w:hint="default"/>
      </w:rPr>
    </w:lvl>
  </w:abstractNum>
  <w:abstractNum w:abstractNumId="1" w15:restartNumberingAfterBreak="0">
    <w:nsid w:val="030171D4"/>
    <w:multiLevelType w:val="hybridMultilevel"/>
    <w:tmpl w:val="772A0CA4"/>
    <w:lvl w:ilvl="0" w:tplc="61267728">
      <w:start w:val="1"/>
      <w:numFmt w:val="bullet"/>
      <w:lvlText w:val=""/>
      <w:lvlPicBulletId w:val="0"/>
      <w:lvlJc w:val="left"/>
      <w:pPr>
        <w:tabs>
          <w:tab w:val="num" w:pos="720"/>
        </w:tabs>
        <w:ind w:left="720" w:hanging="360"/>
      </w:pPr>
      <w:rPr>
        <w:rFonts w:ascii="Symbol" w:hAnsi="Symbol" w:hint="default"/>
        <w:sz w:val="28"/>
        <w:szCs w:val="28"/>
      </w:rPr>
    </w:lvl>
    <w:lvl w:ilvl="1" w:tplc="E488E312" w:tentative="1">
      <w:start w:val="1"/>
      <w:numFmt w:val="bullet"/>
      <w:lvlText w:val=""/>
      <w:lvlJc w:val="left"/>
      <w:pPr>
        <w:tabs>
          <w:tab w:val="num" w:pos="1440"/>
        </w:tabs>
        <w:ind w:left="1440" w:hanging="360"/>
      </w:pPr>
      <w:rPr>
        <w:rFonts w:ascii="Symbol" w:hAnsi="Symbol" w:hint="default"/>
      </w:rPr>
    </w:lvl>
    <w:lvl w:ilvl="2" w:tplc="B48AAD92" w:tentative="1">
      <w:start w:val="1"/>
      <w:numFmt w:val="bullet"/>
      <w:lvlText w:val=""/>
      <w:lvlJc w:val="left"/>
      <w:pPr>
        <w:tabs>
          <w:tab w:val="num" w:pos="2160"/>
        </w:tabs>
        <w:ind w:left="2160" w:hanging="360"/>
      </w:pPr>
      <w:rPr>
        <w:rFonts w:ascii="Symbol" w:hAnsi="Symbol" w:hint="default"/>
      </w:rPr>
    </w:lvl>
    <w:lvl w:ilvl="3" w:tplc="2542C71E" w:tentative="1">
      <w:start w:val="1"/>
      <w:numFmt w:val="bullet"/>
      <w:lvlText w:val=""/>
      <w:lvlJc w:val="left"/>
      <w:pPr>
        <w:tabs>
          <w:tab w:val="num" w:pos="2880"/>
        </w:tabs>
        <w:ind w:left="2880" w:hanging="360"/>
      </w:pPr>
      <w:rPr>
        <w:rFonts w:ascii="Symbol" w:hAnsi="Symbol" w:hint="default"/>
      </w:rPr>
    </w:lvl>
    <w:lvl w:ilvl="4" w:tplc="54022946" w:tentative="1">
      <w:start w:val="1"/>
      <w:numFmt w:val="bullet"/>
      <w:lvlText w:val=""/>
      <w:lvlJc w:val="left"/>
      <w:pPr>
        <w:tabs>
          <w:tab w:val="num" w:pos="3600"/>
        </w:tabs>
        <w:ind w:left="3600" w:hanging="360"/>
      </w:pPr>
      <w:rPr>
        <w:rFonts w:ascii="Symbol" w:hAnsi="Symbol" w:hint="default"/>
      </w:rPr>
    </w:lvl>
    <w:lvl w:ilvl="5" w:tplc="D89C5C1A" w:tentative="1">
      <w:start w:val="1"/>
      <w:numFmt w:val="bullet"/>
      <w:lvlText w:val=""/>
      <w:lvlJc w:val="left"/>
      <w:pPr>
        <w:tabs>
          <w:tab w:val="num" w:pos="4320"/>
        </w:tabs>
        <w:ind w:left="4320" w:hanging="360"/>
      </w:pPr>
      <w:rPr>
        <w:rFonts w:ascii="Symbol" w:hAnsi="Symbol" w:hint="default"/>
      </w:rPr>
    </w:lvl>
    <w:lvl w:ilvl="6" w:tplc="B83C6186" w:tentative="1">
      <w:start w:val="1"/>
      <w:numFmt w:val="bullet"/>
      <w:lvlText w:val=""/>
      <w:lvlJc w:val="left"/>
      <w:pPr>
        <w:tabs>
          <w:tab w:val="num" w:pos="5040"/>
        </w:tabs>
        <w:ind w:left="5040" w:hanging="360"/>
      </w:pPr>
      <w:rPr>
        <w:rFonts w:ascii="Symbol" w:hAnsi="Symbol" w:hint="default"/>
      </w:rPr>
    </w:lvl>
    <w:lvl w:ilvl="7" w:tplc="EA44BE3C" w:tentative="1">
      <w:start w:val="1"/>
      <w:numFmt w:val="bullet"/>
      <w:lvlText w:val=""/>
      <w:lvlJc w:val="left"/>
      <w:pPr>
        <w:tabs>
          <w:tab w:val="num" w:pos="5760"/>
        </w:tabs>
        <w:ind w:left="5760" w:hanging="360"/>
      </w:pPr>
      <w:rPr>
        <w:rFonts w:ascii="Symbol" w:hAnsi="Symbol" w:hint="default"/>
      </w:rPr>
    </w:lvl>
    <w:lvl w:ilvl="8" w:tplc="B058CE1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3626764"/>
    <w:multiLevelType w:val="hybridMultilevel"/>
    <w:tmpl w:val="645804E6"/>
    <w:lvl w:ilvl="0" w:tplc="B51C9F62">
      <w:start w:val="1"/>
      <w:numFmt w:val="bullet"/>
      <w:lvlText w:val=""/>
      <w:lvlJc w:val="left"/>
      <w:pPr>
        <w:ind w:left="108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F57F17"/>
    <w:multiLevelType w:val="hybridMultilevel"/>
    <w:tmpl w:val="CAEEA4BC"/>
    <w:lvl w:ilvl="0" w:tplc="31D40E9A">
      <w:start w:val="1"/>
      <w:numFmt w:val="bullet"/>
      <w:lvlText w:val=""/>
      <w:lvlPicBulletId w:val="0"/>
      <w:lvlJc w:val="left"/>
      <w:pPr>
        <w:tabs>
          <w:tab w:val="num" w:pos="720"/>
        </w:tabs>
        <w:ind w:left="720" w:hanging="360"/>
      </w:pPr>
      <w:rPr>
        <w:rFonts w:ascii="Symbol" w:hAnsi="Symbol" w:hint="default"/>
        <w:sz w:val="28"/>
        <w:szCs w:val="28"/>
      </w:rPr>
    </w:lvl>
    <w:lvl w:ilvl="1" w:tplc="7674B7F2" w:tentative="1">
      <w:start w:val="1"/>
      <w:numFmt w:val="bullet"/>
      <w:lvlText w:val=""/>
      <w:lvlJc w:val="left"/>
      <w:pPr>
        <w:tabs>
          <w:tab w:val="num" w:pos="1440"/>
        </w:tabs>
        <w:ind w:left="1440" w:hanging="360"/>
      </w:pPr>
      <w:rPr>
        <w:rFonts w:ascii="Symbol" w:hAnsi="Symbol" w:hint="default"/>
      </w:rPr>
    </w:lvl>
    <w:lvl w:ilvl="2" w:tplc="32381A04" w:tentative="1">
      <w:start w:val="1"/>
      <w:numFmt w:val="bullet"/>
      <w:lvlText w:val=""/>
      <w:lvlJc w:val="left"/>
      <w:pPr>
        <w:tabs>
          <w:tab w:val="num" w:pos="2160"/>
        </w:tabs>
        <w:ind w:left="2160" w:hanging="360"/>
      </w:pPr>
      <w:rPr>
        <w:rFonts w:ascii="Symbol" w:hAnsi="Symbol" w:hint="default"/>
      </w:rPr>
    </w:lvl>
    <w:lvl w:ilvl="3" w:tplc="5D9A3222" w:tentative="1">
      <w:start w:val="1"/>
      <w:numFmt w:val="bullet"/>
      <w:lvlText w:val=""/>
      <w:lvlJc w:val="left"/>
      <w:pPr>
        <w:tabs>
          <w:tab w:val="num" w:pos="2880"/>
        </w:tabs>
        <w:ind w:left="2880" w:hanging="360"/>
      </w:pPr>
      <w:rPr>
        <w:rFonts w:ascii="Symbol" w:hAnsi="Symbol" w:hint="default"/>
      </w:rPr>
    </w:lvl>
    <w:lvl w:ilvl="4" w:tplc="9C26E654" w:tentative="1">
      <w:start w:val="1"/>
      <w:numFmt w:val="bullet"/>
      <w:lvlText w:val=""/>
      <w:lvlJc w:val="left"/>
      <w:pPr>
        <w:tabs>
          <w:tab w:val="num" w:pos="3600"/>
        </w:tabs>
        <w:ind w:left="3600" w:hanging="360"/>
      </w:pPr>
      <w:rPr>
        <w:rFonts w:ascii="Symbol" w:hAnsi="Symbol" w:hint="default"/>
      </w:rPr>
    </w:lvl>
    <w:lvl w:ilvl="5" w:tplc="BF325872" w:tentative="1">
      <w:start w:val="1"/>
      <w:numFmt w:val="bullet"/>
      <w:lvlText w:val=""/>
      <w:lvlJc w:val="left"/>
      <w:pPr>
        <w:tabs>
          <w:tab w:val="num" w:pos="4320"/>
        </w:tabs>
        <w:ind w:left="4320" w:hanging="360"/>
      </w:pPr>
      <w:rPr>
        <w:rFonts w:ascii="Symbol" w:hAnsi="Symbol" w:hint="default"/>
      </w:rPr>
    </w:lvl>
    <w:lvl w:ilvl="6" w:tplc="94AAD83A" w:tentative="1">
      <w:start w:val="1"/>
      <w:numFmt w:val="bullet"/>
      <w:lvlText w:val=""/>
      <w:lvlJc w:val="left"/>
      <w:pPr>
        <w:tabs>
          <w:tab w:val="num" w:pos="5040"/>
        </w:tabs>
        <w:ind w:left="5040" w:hanging="360"/>
      </w:pPr>
      <w:rPr>
        <w:rFonts w:ascii="Symbol" w:hAnsi="Symbol" w:hint="default"/>
      </w:rPr>
    </w:lvl>
    <w:lvl w:ilvl="7" w:tplc="D75A3156" w:tentative="1">
      <w:start w:val="1"/>
      <w:numFmt w:val="bullet"/>
      <w:lvlText w:val=""/>
      <w:lvlJc w:val="left"/>
      <w:pPr>
        <w:tabs>
          <w:tab w:val="num" w:pos="5760"/>
        </w:tabs>
        <w:ind w:left="5760" w:hanging="360"/>
      </w:pPr>
      <w:rPr>
        <w:rFonts w:ascii="Symbol" w:hAnsi="Symbol" w:hint="default"/>
      </w:rPr>
    </w:lvl>
    <w:lvl w:ilvl="8" w:tplc="FA7E4A0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9C90369"/>
    <w:multiLevelType w:val="hybridMultilevel"/>
    <w:tmpl w:val="EDC0A5F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B0F6C8A"/>
    <w:multiLevelType w:val="hybridMultilevel"/>
    <w:tmpl w:val="C52A7A5E"/>
    <w:lvl w:ilvl="0" w:tplc="0E38F6E4">
      <w:start w:val="1"/>
      <w:numFmt w:val="bullet"/>
      <w:lvlText w:val=""/>
      <w:lvlPicBulletId w:val="0"/>
      <w:lvlJc w:val="left"/>
      <w:pPr>
        <w:tabs>
          <w:tab w:val="num" w:pos="720"/>
        </w:tabs>
        <w:ind w:left="720" w:hanging="360"/>
      </w:pPr>
      <w:rPr>
        <w:rFonts w:ascii="Symbol" w:hAnsi="Symbol" w:hint="default"/>
        <w:sz w:val="28"/>
        <w:szCs w:val="28"/>
      </w:rPr>
    </w:lvl>
    <w:lvl w:ilvl="1" w:tplc="4EA233BE" w:tentative="1">
      <w:start w:val="1"/>
      <w:numFmt w:val="bullet"/>
      <w:lvlText w:val=""/>
      <w:lvlJc w:val="left"/>
      <w:pPr>
        <w:tabs>
          <w:tab w:val="num" w:pos="1440"/>
        </w:tabs>
        <w:ind w:left="1440" w:hanging="360"/>
      </w:pPr>
      <w:rPr>
        <w:rFonts w:ascii="Symbol" w:hAnsi="Symbol" w:hint="default"/>
      </w:rPr>
    </w:lvl>
    <w:lvl w:ilvl="2" w:tplc="53BEF040" w:tentative="1">
      <w:start w:val="1"/>
      <w:numFmt w:val="bullet"/>
      <w:lvlText w:val=""/>
      <w:lvlJc w:val="left"/>
      <w:pPr>
        <w:tabs>
          <w:tab w:val="num" w:pos="2160"/>
        </w:tabs>
        <w:ind w:left="2160" w:hanging="360"/>
      </w:pPr>
      <w:rPr>
        <w:rFonts w:ascii="Symbol" w:hAnsi="Symbol" w:hint="default"/>
      </w:rPr>
    </w:lvl>
    <w:lvl w:ilvl="3" w:tplc="55B8C85E" w:tentative="1">
      <w:start w:val="1"/>
      <w:numFmt w:val="bullet"/>
      <w:lvlText w:val=""/>
      <w:lvlJc w:val="left"/>
      <w:pPr>
        <w:tabs>
          <w:tab w:val="num" w:pos="2880"/>
        </w:tabs>
        <w:ind w:left="2880" w:hanging="360"/>
      </w:pPr>
      <w:rPr>
        <w:rFonts w:ascii="Symbol" w:hAnsi="Symbol" w:hint="default"/>
      </w:rPr>
    </w:lvl>
    <w:lvl w:ilvl="4" w:tplc="599669E4" w:tentative="1">
      <w:start w:val="1"/>
      <w:numFmt w:val="bullet"/>
      <w:lvlText w:val=""/>
      <w:lvlJc w:val="left"/>
      <w:pPr>
        <w:tabs>
          <w:tab w:val="num" w:pos="3600"/>
        </w:tabs>
        <w:ind w:left="3600" w:hanging="360"/>
      </w:pPr>
      <w:rPr>
        <w:rFonts w:ascii="Symbol" w:hAnsi="Symbol" w:hint="default"/>
      </w:rPr>
    </w:lvl>
    <w:lvl w:ilvl="5" w:tplc="DA08F2B0" w:tentative="1">
      <w:start w:val="1"/>
      <w:numFmt w:val="bullet"/>
      <w:lvlText w:val=""/>
      <w:lvlJc w:val="left"/>
      <w:pPr>
        <w:tabs>
          <w:tab w:val="num" w:pos="4320"/>
        </w:tabs>
        <w:ind w:left="4320" w:hanging="360"/>
      </w:pPr>
      <w:rPr>
        <w:rFonts w:ascii="Symbol" w:hAnsi="Symbol" w:hint="default"/>
      </w:rPr>
    </w:lvl>
    <w:lvl w:ilvl="6" w:tplc="009A66DC" w:tentative="1">
      <w:start w:val="1"/>
      <w:numFmt w:val="bullet"/>
      <w:lvlText w:val=""/>
      <w:lvlJc w:val="left"/>
      <w:pPr>
        <w:tabs>
          <w:tab w:val="num" w:pos="5040"/>
        </w:tabs>
        <w:ind w:left="5040" w:hanging="360"/>
      </w:pPr>
      <w:rPr>
        <w:rFonts w:ascii="Symbol" w:hAnsi="Symbol" w:hint="default"/>
      </w:rPr>
    </w:lvl>
    <w:lvl w:ilvl="7" w:tplc="87AA0304" w:tentative="1">
      <w:start w:val="1"/>
      <w:numFmt w:val="bullet"/>
      <w:lvlText w:val=""/>
      <w:lvlJc w:val="left"/>
      <w:pPr>
        <w:tabs>
          <w:tab w:val="num" w:pos="5760"/>
        </w:tabs>
        <w:ind w:left="5760" w:hanging="360"/>
      </w:pPr>
      <w:rPr>
        <w:rFonts w:ascii="Symbol" w:hAnsi="Symbol" w:hint="default"/>
      </w:rPr>
    </w:lvl>
    <w:lvl w:ilvl="8" w:tplc="ED02092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B7836A5"/>
    <w:multiLevelType w:val="hybridMultilevel"/>
    <w:tmpl w:val="0F487E16"/>
    <w:lvl w:ilvl="0" w:tplc="BA7E0E5C">
      <w:start w:val="1"/>
      <w:numFmt w:val="bullet"/>
      <w:lvlText w:val=""/>
      <w:lvlPicBulletId w:val="0"/>
      <w:lvlJc w:val="left"/>
      <w:pPr>
        <w:tabs>
          <w:tab w:val="num" w:pos="720"/>
        </w:tabs>
        <w:ind w:left="720" w:hanging="360"/>
      </w:pPr>
      <w:rPr>
        <w:rFonts w:ascii="Symbol" w:hAnsi="Symbol" w:hint="default"/>
        <w:sz w:val="28"/>
        <w:szCs w:val="28"/>
      </w:rPr>
    </w:lvl>
    <w:lvl w:ilvl="1" w:tplc="AEF479BA" w:tentative="1">
      <w:start w:val="1"/>
      <w:numFmt w:val="bullet"/>
      <w:lvlText w:val=""/>
      <w:lvlJc w:val="left"/>
      <w:pPr>
        <w:tabs>
          <w:tab w:val="num" w:pos="1440"/>
        </w:tabs>
        <w:ind w:left="1440" w:hanging="360"/>
      </w:pPr>
      <w:rPr>
        <w:rFonts w:ascii="Symbol" w:hAnsi="Symbol" w:hint="default"/>
      </w:rPr>
    </w:lvl>
    <w:lvl w:ilvl="2" w:tplc="6394A8B6" w:tentative="1">
      <w:start w:val="1"/>
      <w:numFmt w:val="bullet"/>
      <w:lvlText w:val=""/>
      <w:lvlJc w:val="left"/>
      <w:pPr>
        <w:tabs>
          <w:tab w:val="num" w:pos="2160"/>
        </w:tabs>
        <w:ind w:left="2160" w:hanging="360"/>
      </w:pPr>
      <w:rPr>
        <w:rFonts w:ascii="Symbol" w:hAnsi="Symbol" w:hint="default"/>
      </w:rPr>
    </w:lvl>
    <w:lvl w:ilvl="3" w:tplc="D39CBB2A" w:tentative="1">
      <w:start w:val="1"/>
      <w:numFmt w:val="bullet"/>
      <w:lvlText w:val=""/>
      <w:lvlJc w:val="left"/>
      <w:pPr>
        <w:tabs>
          <w:tab w:val="num" w:pos="2880"/>
        </w:tabs>
        <w:ind w:left="2880" w:hanging="360"/>
      </w:pPr>
      <w:rPr>
        <w:rFonts w:ascii="Symbol" w:hAnsi="Symbol" w:hint="default"/>
      </w:rPr>
    </w:lvl>
    <w:lvl w:ilvl="4" w:tplc="BB5C410E" w:tentative="1">
      <w:start w:val="1"/>
      <w:numFmt w:val="bullet"/>
      <w:lvlText w:val=""/>
      <w:lvlJc w:val="left"/>
      <w:pPr>
        <w:tabs>
          <w:tab w:val="num" w:pos="3600"/>
        </w:tabs>
        <w:ind w:left="3600" w:hanging="360"/>
      </w:pPr>
      <w:rPr>
        <w:rFonts w:ascii="Symbol" w:hAnsi="Symbol" w:hint="default"/>
      </w:rPr>
    </w:lvl>
    <w:lvl w:ilvl="5" w:tplc="21FAFF52" w:tentative="1">
      <w:start w:val="1"/>
      <w:numFmt w:val="bullet"/>
      <w:lvlText w:val=""/>
      <w:lvlJc w:val="left"/>
      <w:pPr>
        <w:tabs>
          <w:tab w:val="num" w:pos="4320"/>
        </w:tabs>
        <w:ind w:left="4320" w:hanging="360"/>
      </w:pPr>
      <w:rPr>
        <w:rFonts w:ascii="Symbol" w:hAnsi="Symbol" w:hint="default"/>
      </w:rPr>
    </w:lvl>
    <w:lvl w:ilvl="6" w:tplc="9332702A" w:tentative="1">
      <w:start w:val="1"/>
      <w:numFmt w:val="bullet"/>
      <w:lvlText w:val=""/>
      <w:lvlJc w:val="left"/>
      <w:pPr>
        <w:tabs>
          <w:tab w:val="num" w:pos="5040"/>
        </w:tabs>
        <w:ind w:left="5040" w:hanging="360"/>
      </w:pPr>
      <w:rPr>
        <w:rFonts w:ascii="Symbol" w:hAnsi="Symbol" w:hint="default"/>
      </w:rPr>
    </w:lvl>
    <w:lvl w:ilvl="7" w:tplc="594C2DDE" w:tentative="1">
      <w:start w:val="1"/>
      <w:numFmt w:val="bullet"/>
      <w:lvlText w:val=""/>
      <w:lvlJc w:val="left"/>
      <w:pPr>
        <w:tabs>
          <w:tab w:val="num" w:pos="5760"/>
        </w:tabs>
        <w:ind w:left="5760" w:hanging="360"/>
      </w:pPr>
      <w:rPr>
        <w:rFonts w:ascii="Symbol" w:hAnsi="Symbol" w:hint="default"/>
      </w:rPr>
    </w:lvl>
    <w:lvl w:ilvl="8" w:tplc="22B2479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1DF5C2E"/>
    <w:multiLevelType w:val="hybridMultilevel"/>
    <w:tmpl w:val="346C777C"/>
    <w:lvl w:ilvl="0" w:tplc="5276E408">
      <w:start w:val="1"/>
      <w:numFmt w:val="bullet"/>
      <w:lvlText w:val=""/>
      <w:lvlPicBulletId w:val="0"/>
      <w:lvlJc w:val="left"/>
      <w:pPr>
        <w:tabs>
          <w:tab w:val="num" w:pos="720"/>
        </w:tabs>
        <w:ind w:left="720" w:hanging="360"/>
      </w:pPr>
      <w:rPr>
        <w:rFonts w:ascii="Symbol" w:hAnsi="Symbol" w:hint="default"/>
        <w:sz w:val="28"/>
        <w:szCs w:val="28"/>
      </w:rPr>
    </w:lvl>
    <w:lvl w:ilvl="1" w:tplc="B9A46434" w:tentative="1">
      <w:start w:val="1"/>
      <w:numFmt w:val="bullet"/>
      <w:lvlText w:val=""/>
      <w:lvlJc w:val="left"/>
      <w:pPr>
        <w:tabs>
          <w:tab w:val="num" w:pos="1440"/>
        </w:tabs>
        <w:ind w:left="1440" w:hanging="360"/>
      </w:pPr>
      <w:rPr>
        <w:rFonts w:ascii="Symbol" w:hAnsi="Symbol" w:hint="default"/>
      </w:rPr>
    </w:lvl>
    <w:lvl w:ilvl="2" w:tplc="7C50727E" w:tentative="1">
      <w:start w:val="1"/>
      <w:numFmt w:val="bullet"/>
      <w:lvlText w:val=""/>
      <w:lvlJc w:val="left"/>
      <w:pPr>
        <w:tabs>
          <w:tab w:val="num" w:pos="2160"/>
        </w:tabs>
        <w:ind w:left="2160" w:hanging="360"/>
      </w:pPr>
      <w:rPr>
        <w:rFonts w:ascii="Symbol" w:hAnsi="Symbol" w:hint="default"/>
      </w:rPr>
    </w:lvl>
    <w:lvl w:ilvl="3" w:tplc="ED2C533E" w:tentative="1">
      <w:start w:val="1"/>
      <w:numFmt w:val="bullet"/>
      <w:lvlText w:val=""/>
      <w:lvlJc w:val="left"/>
      <w:pPr>
        <w:tabs>
          <w:tab w:val="num" w:pos="2880"/>
        </w:tabs>
        <w:ind w:left="2880" w:hanging="360"/>
      </w:pPr>
      <w:rPr>
        <w:rFonts w:ascii="Symbol" w:hAnsi="Symbol" w:hint="default"/>
      </w:rPr>
    </w:lvl>
    <w:lvl w:ilvl="4" w:tplc="F33246C0" w:tentative="1">
      <w:start w:val="1"/>
      <w:numFmt w:val="bullet"/>
      <w:lvlText w:val=""/>
      <w:lvlJc w:val="left"/>
      <w:pPr>
        <w:tabs>
          <w:tab w:val="num" w:pos="3600"/>
        </w:tabs>
        <w:ind w:left="3600" w:hanging="360"/>
      </w:pPr>
      <w:rPr>
        <w:rFonts w:ascii="Symbol" w:hAnsi="Symbol" w:hint="default"/>
      </w:rPr>
    </w:lvl>
    <w:lvl w:ilvl="5" w:tplc="98CE8F48" w:tentative="1">
      <w:start w:val="1"/>
      <w:numFmt w:val="bullet"/>
      <w:lvlText w:val=""/>
      <w:lvlJc w:val="left"/>
      <w:pPr>
        <w:tabs>
          <w:tab w:val="num" w:pos="4320"/>
        </w:tabs>
        <w:ind w:left="4320" w:hanging="360"/>
      </w:pPr>
      <w:rPr>
        <w:rFonts w:ascii="Symbol" w:hAnsi="Symbol" w:hint="default"/>
      </w:rPr>
    </w:lvl>
    <w:lvl w:ilvl="6" w:tplc="376C8AB2" w:tentative="1">
      <w:start w:val="1"/>
      <w:numFmt w:val="bullet"/>
      <w:lvlText w:val=""/>
      <w:lvlJc w:val="left"/>
      <w:pPr>
        <w:tabs>
          <w:tab w:val="num" w:pos="5040"/>
        </w:tabs>
        <w:ind w:left="5040" w:hanging="360"/>
      </w:pPr>
      <w:rPr>
        <w:rFonts w:ascii="Symbol" w:hAnsi="Symbol" w:hint="default"/>
      </w:rPr>
    </w:lvl>
    <w:lvl w:ilvl="7" w:tplc="5936DB9A" w:tentative="1">
      <w:start w:val="1"/>
      <w:numFmt w:val="bullet"/>
      <w:lvlText w:val=""/>
      <w:lvlJc w:val="left"/>
      <w:pPr>
        <w:tabs>
          <w:tab w:val="num" w:pos="5760"/>
        </w:tabs>
        <w:ind w:left="5760" w:hanging="360"/>
      </w:pPr>
      <w:rPr>
        <w:rFonts w:ascii="Symbol" w:hAnsi="Symbol" w:hint="default"/>
      </w:rPr>
    </w:lvl>
    <w:lvl w:ilvl="8" w:tplc="4FF0340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2812512"/>
    <w:multiLevelType w:val="multilevel"/>
    <w:tmpl w:val="B77EE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A748C6"/>
    <w:multiLevelType w:val="hybridMultilevel"/>
    <w:tmpl w:val="538A4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105F4A"/>
    <w:multiLevelType w:val="hybridMultilevel"/>
    <w:tmpl w:val="AF3AE8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4C58D1"/>
    <w:multiLevelType w:val="hybridMultilevel"/>
    <w:tmpl w:val="4394DC2C"/>
    <w:lvl w:ilvl="0" w:tplc="15A6D4F0">
      <w:start w:val="1"/>
      <w:numFmt w:val="bullet"/>
      <w:lvlText w:val=""/>
      <w:lvlPicBulletId w:val="0"/>
      <w:lvlJc w:val="left"/>
      <w:pPr>
        <w:tabs>
          <w:tab w:val="num" w:pos="720"/>
        </w:tabs>
        <w:ind w:left="720" w:hanging="360"/>
      </w:pPr>
      <w:rPr>
        <w:rFonts w:ascii="Symbol" w:hAnsi="Symbol" w:hint="default"/>
      </w:rPr>
    </w:lvl>
    <w:lvl w:ilvl="1" w:tplc="B082ED2A" w:tentative="1">
      <w:start w:val="1"/>
      <w:numFmt w:val="bullet"/>
      <w:lvlText w:val=""/>
      <w:lvlJc w:val="left"/>
      <w:pPr>
        <w:tabs>
          <w:tab w:val="num" w:pos="1440"/>
        </w:tabs>
        <w:ind w:left="1440" w:hanging="360"/>
      </w:pPr>
      <w:rPr>
        <w:rFonts w:ascii="Symbol" w:hAnsi="Symbol" w:hint="default"/>
      </w:rPr>
    </w:lvl>
    <w:lvl w:ilvl="2" w:tplc="2DF8D0A6" w:tentative="1">
      <w:start w:val="1"/>
      <w:numFmt w:val="bullet"/>
      <w:lvlText w:val=""/>
      <w:lvlJc w:val="left"/>
      <w:pPr>
        <w:tabs>
          <w:tab w:val="num" w:pos="2160"/>
        </w:tabs>
        <w:ind w:left="2160" w:hanging="360"/>
      </w:pPr>
      <w:rPr>
        <w:rFonts w:ascii="Symbol" w:hAnsi="Symbol" w:hint="default"/>
      </w:rPr>
    </w:lvl>
    <w:lvl w:ilvl="3" w:tplc="F37A33FA" w:tentative="1">
      <w:start w:val="1"/>
      <w:numFmt w:val="bullet"/>
      <w:lvlText w:val=""/>
      <w:lvlJc w:val="left"/>
      <w:pPr>
        <w:tabs>
          <w:tab w:val="num" w:pos="2880"/>
        </w:tabs>
        <w:ind w:left="2880" w:hanging="360"/>
      </w:pPr>
      <w:rPr>
        <w:rFonts w:ascii="Symbol" w:hAnsi="Symbol" w:hint="default"/>
      </w:rPr>
    </w:lvl>
    <w:lvl w:ilvl="4" w:tplc="71D47458" w:tentative="1">
      <w:start w:val="1"/>
      <w:numFmt w:val="bullet"/>
      <w:lvlText w:val=""/>
      <w:lvlJc w:val="left"/>
      <w:pPr>
        <w:tabs>
          <w:tab w:val="num" w:pos="3600"/>
        </w:tabs>
        <w:ind w:left="3600" w:hanging="360"/>
      </w:pPr>
      <w:rPr>
        <w:rFonts w:ascii="Symbol" w:hAnsi="Symbol" w:hint="default"/>
      </w:rPr>
    </w:lvl>
    <w:lvl w:ilvl="5" w:tplc="BB44AF68" w:tentative="1">
      <w:start w:val="1"/>
      <w:numFmt w:val="bullet"/>
      <w:lvlText w:val=""/>
      <w:lvlJc w:val="left"/>
      <w:pPr>
        <w:tabs>
          <w:tab w:val="num" w:pos="4320"/>
        </w:tabs>
        <w:ind w:left="4320" w:hanging="360"/>
      </w:pPr>
      <w:rPr>
        <w:rFonts w:ascii="Symbol" w:hAnsi="Symbol" w:hint="default"/>
      </w:rPr>
    </w:lvl>
    <w:lvl w:ilvl="6" w:tplc="ABF4375A" w:tentative="1">
      <w:start w:val="1"/>
      <w:numFmt w:val="bullet"/>
      <w:lvlText w:val=""/>
      <w:lvlJc w:val="left"/>
      <w:pPr>
        <w:tabs>
          <w:tab w:val="num" w:pos="5040"/>
        </w:tabs>
        <w:ind w:left="5040" w:hanging="360"/>
      </w:pPr>
      <w:rPr>
        <w:rFonts w:ascii="Symbol" w:hAnsi="Symbol" w:hint="default"/>
      </w:rPr>
    </w:lvl>
    <w:lvl w:ilvl="7" w:tplc="DA882834" w:tentative="1">
      <w:start w:val="1"/>
      <w:numFmt w:val="bullet"/>
      <w:lvlText w:val=""/>
      <w:lvlJc w:val="left"/>
      <w:pPr>
        <w:tabs>
          <w:tab w:val="num" w:pos="5760"/>
        </w:tabs>
        <w:ind w:left="5760" w:hanging="360"/>
      </w:pPr>
      <w:rPr>
        <w:rFonts w:ascii="Symbol" w:hAnsi="Symbol" w:hint="default"/>
      </w:rPr>
    </w:lvl>
    <w:lvl w:ilvl="8" w:tplc="D098F3FE"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9EB550F"/>
    <w:multiLevelType w:val="hybridMultilevel"/>
    <w:tmpl w:val="CAB4E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736EA1"/>
    <w:multiLevelType w:val="hybridMultilevel"/>
    <w:tmpl w:val="BF581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565F48"/>
    <w:multiLevelType w:val="multilevel"/>
    <w:tmpl w:val="47A4EDAE"/>
    <w:lvl w:ilvl="0">
      <w:start w:val="1"/>
      <w:numFmt w:val="decimal"/>
      <w:pStyle w:val="Heading1"/>
      <w:lvlText w:val="%1."/>
      <w:lvlJc w:val="left"/>
      <w:pPr>
        <w:ind w:left="0" w:firstLine="0"/>
      </w:pPr>
      <w:rPr>
        <w:rFonts w:hint="default"/>
        <w:b/>
        <w:color w:val="0067AB"/>
        <w:sz w:val="36"/>
      </w:rPr>
    </w:lvl>
    <w:lvl w:ilvl="1">
      <w:start w:val="1"/>
      <w:numFmt w:val="decimal"/>
      <w:pStyle w:val="Heading2"/>
      <w:lvlText w:val="%1.%2."/>
      <w:lvlJc w:val="left"/>
      <w:pPr>
        <w:tabs>
          <w:tab w:val="num" w:pos="0"/>
        </w:tabs>
        <w:ind w:left="0" w:firstLine="0"/>
      </w:pPr>
      <w:rPr>
        <w:rFonts w:hint="default"/>
        <w:b/>
        <w:i w:val="0"/>
        <w:color w:val="0067AB"/>
        <w:sz w:val="32"/>
      </w:rPr>
    </w:lvl>
    <w:lvl w:ilvl="2">
      <w:start w:val="1"/>
      <w:numFmt w:val="decimal"/>
      <w:pStyle w:val="Heading3"/>
      <w:lvlText w:val="%1.%2.%3."/>
      <w:lvlJc w:val="left"/>
      <w:pPr>
        <w:tabs>
          <w:tab w:val="num" w:pos="1440"/>
        </w:tabs>
        <w:ind w:left="1440" w:firstLine="0"/>
      </w:pPr>
      <w:rPr>
        <w:rFonts w:hint="default"/>
        <w:b/>
        <w:i w:val="0"/>
        <w:color w:val="0067AB"/>
        <w:sz w:val="28"/>
      </w:rPr>
    </w:lvl>
    <w:lvl w:ilvl="3">
      <w:start w:val="1"/>
      <w:numFmt w:val="decimal"/>
      <w:pStyle w:val="Heading4"/>
      <w:lvlText w:val="%1.%2.%3.%4."/>
      <w:lvlJc w:val="left"/>
      <w:pPr>
        <w:ind w:left="0" w:firstLine="0"/>
      </w:pPr>
      <w:rPr>
        <w:rFonts w:asciiTheme="minorHAnsi" w:hAnsiTheme="minorHAnsi" w:cstheme="minorHAnsi" w:hint="default"/>
        <w:b/>
        <w:i w:val="0"/>
        <w:caps w:val="0"/>
        <w:strike w:val="0"/>
        <w:dstrike w:val="0"/>
        <w:vanish w:val="0"/>
        <w:color w:val="0067AB"/>
        <w:sz w:val="24"/>
        <w:vertAlign w:val="baseline"/>
      </w:rPr>
    </w:lvl>
    <w:lvl w:ilvl="4">
      <w:start w:val="1"/>
      <w:numFmt w:val="none"/>
      <w:pStyle w:val="Heading5"/>
      <w:lvlText w:val=""/>
      <w:lvlJc w:val="left"/>
      <w:pPr>
        <w:ind w:left="-32767" w:firstLine="0"/>
      </w:pPr>
      <w:rPr>
        <w:rFonts w:hint="default"/>
      </w:rPr>
    </w:lvl>
    <w:lvl w:ilvl="5">
      <w:start w:val="1"/>
      <w:numFmt w:val="upperLetter"/>
      <w:pStyle w:val="Heading6"/>
      <w:suff w:val="space"/>
      <w:lvlText w:val="Appendix %6."/>
      <w:lvlJc w:val="left"/>
      <w:pPr>
        <w:ind w:left="0" w:firstLine="0"/>
      </w:pPr>
      <w:rPr>
        <w:rFonts w:ascii="Calibri" w:hAnsi="Calibri" w:cs="Calibri" w:hint="default"/>
        <w:b/>
        <w:bCs w:val="0"/>
        <w:i w:val="0"/>
        <w:iCs w:val="0"/>
        <w:caps w:val="0"/>
        <w:strike w:val="0"/>
        <w:dstrike w:val="0"/>
        <w:vanish w:val="0"/>
        <w:color w:val="0067AB"/>
        <w:spacing w:val="0"/>
        <w:kern w:val="0"/>
        <w:position w:val="0"/>
        <w:sz w:val="36"/>
        <w:u w:val="none"/>
        <w:vertAlign w:val="baseline"/>
        <w:em w:val="none"/>
      </w:rPr>
    </w:lvl>
    <w:lvl w:ilvl="6">
      <w:start w:val="1"/>
      <w:numFmt w:val="decimal"/>
      <w:pStyle w:val="Heading7"/>
      <w:lvlText w:val="%6.%7."/>
      <w:lvlJc w:val="left"/>
      <w:pPr>
        <w:ind w:left="0" w:firstLine="0"/>
      </w:pPr>
      <w:rPr>
        <w:rFonts w:ascii="Calibri" w:hAnsi="Calibri" w:cs="Calibri" w:hint="default"/>
        <w:b/>
        <w:i w:val="0"/>
        <w:color w:val="0067AB"/>
        <w:sz w:val="32"/>
        <w:szCs w:val="32"/>
      </w:rPr>
    </w:lvl>
    <w:lvl w:ilvl="7">
      <w:start w:val="1"/>
      <w:numFmt w:val="decimal"/>
      <w:pStyle w:val="Heading8"/>
      <w:lvlText w:val="%6.%7.%8."/>
      <w:lvlJc w:val="left"/>
      <w:pPr>
        <w:ind w:left="0" w:firstLine="0"/>
      </w:pPr>
      <w:rPr>
        <w:rFonts w:ascii="Calibri" w:hAnsi="Calibri" w:cs="Calibri" w:hint="default"/>
        <w:b/>
        <w:i w:val="0"/>
        <w:color w:val="0067AB"/>
        <w:sz w:val="28"/>
      </w:rPr>
    </w:lvl>
    <w:lvl w:ilvl="8">
      <w:start w:val="1"/>
      <w:numFmt w:val="decimal"/>
      <w:pStyle w:val="Heading9"/>
      <w:lvlText w:val="%6.%7.%8.%9."/>
      <w:lvlJc w:val="left"/>
      <w:pPr>
        <w:ind w:left="0" w:firstLine="0"/>
      </w:pPr>
      <w:rPr>
        <w:rFonts w:ascii="Calibri" w:hAnsi="Calibri" w:cs="Calibri" w:hint="default"/>
        <w:b/>
        <w:i w:val="0"/>
        <w:color w:val="0067AB"/>
        <w:sz w:val="24"/>
      </w:rPr>
    </w:lvl>
  </w:abstractNum>
  <w:abstractNum w:abstractNumId="15" w15:restartNumberingAfterBreak="0">
    <w:nsid w:val="32D13B36"/>
    <w:multiLevelType w:val="hybridMultilevel"/>
    <w:tmpl w:val="1B54C4F8"/>
    <w:lvl w:ilvl="0" w:tplc="EE327884">
      <w:start w:val="1"/>
      <w:numFmt w:val="bullet"/>
      <w:lvlText w:val=""/>
      <w:lvlPicBulletId w:val="0"/>
      <w:lvlJc w:val="left"/>
      <w:pPr>
        <w:tabs>
          <w:tab w:val="num" w:pos="720"/>
        </w:tabs>
        <w:ind w:left="720" w:hanging="360"/>
      </w:pPr>
      <w:rPr>
        <w:rFonts w:ascii="Symbol" w:hAnsi="Symbol" w:hint="default"/>
        <w:sz w:val="28"/>
        <w:szCs w:val="28"/>
      </w:rPr>
    </w:lvl>
    <w:lvl w:ilvl="1" w:tplc="146CCBCC" w:tentative="1">
      <w:start w:val="1"/>
      <w:numFmt w:val="bullet"/>
      <w:lvlText w:val=""/>
      <w:lvlJc w:val="left"/>
      <w:pPr>
        <w:tabs>
          <w:tab w:val="num" w:pos="1440"/>
        </w:tabs>
        <w:ind w:left="1440" w:hanging="360"/>
      </w:pPr>
      <w:rPr>
        <w:rFonts w:ascii="Symbol" w:hAnsi="Symbol" w:hint="default"/>
      </w:rPr>
    </w:lvl>
    <w:lvl w:ilvl="2" w:tplc="CBF4EB78" w:tentative="1">
      <w:start w:val="1"/>
      <w:numFmt w:val="bullet"/>
      <w:lvlText w:val=""/>
      <w:lvlJc w:val="left"/>
      <w:pPr>
        <w:tabs>
          <w:tab w:val="num" w:pos="2160"/>
        </w:tabs>
        <w:ind w:left="2160" w:hanging="360"/>
      </w:pPr>
      <w:rPr>
        <w:rFonts w:ascii="Symbol" w:hAnsi="Symbol" w:hint="default"/>
      </w:rPr>
    </w:lvl>
    <w:lvl w:ilvl="3" w:tplc="E09AF728" w:tentative="1">
      <w:start w:val="1"/>
      <w:numFmt w:val="bullet"/>
      <w:lvlText w:val=""/>
      <w:lvlJc w:val="left"/>
      <w:pPr>
        <w:tabs>
          <w:tab w:val="num" w:pos="2880"/>
        </w:tabs>
        <w:ind w:left="2880" w:hanging="360"/>
      </w:pPr>
      <w:rPr>
        <w:rFonts w:ascii="Symbol" w:hAnsi="Symbol" w:hint="default"/>
      </w:rPr>
    </w:lvl>
    <w:lvl w:ilvl="4" w:tplc="81447E5C" w:tentative="1">
      <w:start w:val="1"/>
      <w:numFmt w:val="bullet"/>
      <w:lvlText w:val=""/>
      <w:lvlJc w:val="left"/>
      <w:pPr>
        <w:tabs>
          <w:tab w:val="num" w:pos="3600"/>
        </w:tabs>
        <w:ind w:left="3600" w:hanging="360"/>
      </w:pPr>
      <w:rPr>
        <w:rFonts w:ascii="Symbol" w:hAnsi="Symbol" w:hint="default"/>
      </w:rPr>
    </w:lvl>
    <w:lvl w:ilvl="5" w:tplc="ED32378E" w:tentative="1">
      <w:start w:val="1"/>
      <w:numFmt w:val="bullet"/>
      <w:lvlText w:val=""/>
      <w:lvlJc w:val="left"/>
      <w:pPr>
        <w:tabs>
          <w:tab w:val="num" w:pos="4320"/>
        </w:tabs>
        <w:ind w:left="4320" w:hanging="360"/>
      </w:pPr>
      <w:rPr>
        <w:rFonts w:ascii="Symbol" w:hAnsi="Symbol" w:hint="default"/>
      </w:rPr>
    </w:lvl>
    <w:lvl w:ilvl="6" w:tplc="8B4C5468" w:tentative="1">
      <w:start w:val="1"/>
      <w:numFmt w:val="bullet"/>
      <w:lvlText w:val=""/>
      <w:lvlJc w:val="left"/>
      <w:pPr>
        <w:tabs>
          <w:tab w:val="num" w:pos="5040"/>
        </w:tabs>
        <w:ind w:left="5040" w:hanging="360"/>
      </w:pPr>
      <w:rPr>
        <w:rFonts w:ascii="Symbol" w:hAnsi="Symbol" w:hint="default"/>
      </w:rPr>
    </w:lvl>
    <w:lvl w:ilvl="7" w:tplc="ABDEED3C" w:tentative="1">
      <w:start w:val="1"/>
      <w:numFmt w:val="bullet"/>
      <w:lvlText w:val=""/>
      <w:lvlJc w:val="left"/>
      <w:pPr>
        <w:tabs>
          <w:tab w:val="num" w:pos="5760"/>
        </w:tabs>
        <w:ind w:left="5760" w:hanging="360"/>
      </w:pPr>
      <w:rPr>
        <w:rFonts w:ascii="Symbol" w:hAnsi="Symbol" w:hint="default"/>
      </w:rPr>
    </w:lvl>
    <w:lvl w:ilvl="8" w:tplc="DC0AF0E2"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3963DDE"/>
    <w:multiLevelType w:val="hybridMultilevel"/>
    <w:tmpl w:val="4CC0C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BF6A32"/>
    <w:multiLevelType w:val="hybridMultilevel"/>
    <w:tmpl w:val="AF0E1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642548"/>
    <w:multiLevelType w:val="hybridMultilevel"/>
    <w:tmpl w:val="EBF019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375F43"/>
    <w:multiLevelType w:val="hybridMultilevel"/>
    <w:tmpl w:val="2D0A5134"/>
    <w:lvl w:ilvl="0" w:tplc="A65E1330">
      <w:start w:val="1"/>
      <w:numFmt w:val="bullet"/>
      <w:lvlText w:val=""/>
      <w:lvlPicBulletId w:val="0"/>
      <w:lvlJc w:val="left"/>
      <w:pPr>
        <w:tabs>
          <w:tab w:val="num" w:pos="720"/>
        </w:tabs>
        <w:ind w:left="720" w:hanging="360"/>
      </w:pPr>
      <w:rPr>
        <w:rFonts w:ascii="Symbol" w:hAnsi="Symbol" w:hint="default"/>
        <w:sz w:val="28"/>
        <w:szCs w:val="28"/>
      </w:rPr>
    </w:lvl>
    <w:lvl w:ilvl="1" w:tplc="97ECBC86" w:tentative="1">
      <w:start w:val="1"/>
      <w:numFmt w:val="bullet"/>
      <w:lvlText w:val=""/>
      <w:lvlJc w:val="left"/>
      <w:pPr>
        <w:tabs>
          <w:tab w:val="num" w:pos="1440"/>
        </w:tabs>
        <w:ind w:left="1440" w:hanging="360"/>
      </w:pPr>
      <w:rPr>
        <w:rFonts w:ascii="Symbol" w:hAnsi="Symbol" w:hint="default"/>
      </w:rPr>
    </w:lvl>
    <w:lvl w:ilvl="2" w:tplc="DA7423DA" w:tentative="1">
      <w:start w:val="1"/>
      <w:numFmt w:val="bullet"/>
      <w:lvlText w:val=""/>
      <w:lvlJc w:val="left"/>
      <w:pPr>
        <w:tabs>
          <w:tab w:val="num" w:pos="2160"/>
        </w:tabs>
        <w:ind w:left="2160" w:hanging="360"/>
      </w:pPr>
      <w:rPr>
        <w:rFonts w:ascii="Symbol" w:hAnsi="Symbol" w:hint="default"/>
      </w:rPr>
    </w:lvl>
    <w:lvl w:ilvl="3" w:tplc="C09CD684" w:tentative="1">
      <w:start w:val="1"/>
      <w:numFmt w:val="bullet"/>
      <w:lvlText w:val=""/>
      <w:lvlJc w:val="left"/>
      <w:pPr>
        <w:tabs>
          <w:tab w:val="num" w:pos="2880"/>
        </w:tabs>
        <w:ind w:left="2880" w:hanging="360"/>
      </w:pPr>
      <w:rPr>
        <w:rFonts w:ascii="Symbol" w:hAnsi="Symbol" w:hint="default"/>
      </w:rPr>
    </w:lvl>
    <w:lvl w:ilvl="4" w:tplc="370E8188" w:tentative="1">
      <w:start w:val="1"/>
      <w:numFmt w:val="bullet"/>
      <w:lvlText w:val=""/>
      <w:lvlJc w:val="left"/>
      <w:pPr>
        <w:tabs>
          <w:tab w:val="num" w:pos="3600"/>
        </w:tabs>
        <w:ind w:left="3600" w:hanging="360"/>
      </w:pPr>
      <w:rPr>
        <w:rFonts w:ascii="Symbol" w:hAnsi="Symbol" w:hint="default"/>
      </w:rPr>
    </w:lvl>
    <w:lvl w:ilvl="5" w:tplc="C4E4E998" w:tentative="1">
      <w:start w:val="1"/>
      <w:numFmt w:val="bullet"/>
      <w:lvlText w:val=""/>
      <w:lvlJc w:val="left"/>
      <w:pPr>
        <w:tabs>
          <w:tab w:val="num" w:pos="4320"/>
        </w:tabs>
        <w:ind w:left="4320" w:hanging="360"/>
      </w:pPr>
      <w:rPr>
        <w:rFonts w:ascii="Symbol" w:hAnsi="Symbol" w:hint="default"/>
      </w:rPr>
    </w:lvl>
    <w:lvl w:ilvl="6" w:tplc="2DBE4A80" w:tentative="1">
      <w:start w:val="1"/>
      <w:numFmt w:val="bullet"/>
      <w:lvlText w:val=""/>
      <w:lvlJc w:val="left"/>
      <w:pPr>
        <w:tabs>
          <w:tab w:val="num" w:pos="5040"/>
        </w:tabs>
        <w:ind w:left="5040" w:hanging="360"/>
      </w:pPr>
      <w:rPr>
        <w:rFonts w:ascii="Symbol" w:hAnsi="Symbol" w:hint="default"/>
      </w:rPr>
    </w:lvl>
    <w:lvl w:ilvl="7" w:tplc="77266CE6" w:tentative="1">
      <w:start w:val="1"/>
      <w:numFmt w:val="bullet"/>
      <w:lvlText w:val=""/>
      <w:lvlJc w:val="left"/>
      <w:pPr>
        <w:tabs>
          <w:tab w:val="num" w:pos="5760"/>
        </w:tabs>
        <w:ind w:left="5760" w:hanging="360"/>
      </w:pPr>
      <w:rPr>
        <w:rFonts w:ascii="Symbol" w:hAnsi="Symbol" w:hint="default"/>
      </w:rPr>
    </w:lvl>
    <w:lvl w:ilvl="8" w:tplc="224E7520"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EBC3855"/>
    <w:multiLevelType w:val="hybridMultilevel"/>
    <w:tmpl w:val="B92C5D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4D5D78"/>
    <w:multiLevelType w:val="hybridMultilevel"/>
    <w:tmpl w:val="DD92CA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A36E11"/>
    <w:multiLevelType w:val="hybridMultilevel"/>
    <w:tmpl w:val="1728B2C2"/>
    <w:lvl w:ilvl="0" w:tplc="5D2A850E">
      <w:start w:val="1"/>
      <w:numFmt w:val="bullet"/>
      <w:lvlText w:val=""/>
      <w:lvlPicBulletId w:val="0"/>
      <w:lvlJc w:val="left"/>
      <w:pPr>
        <w:tabs>
          <w:tab w:val="num" w:pos="1080"/>
        </w:tabs>
        <w:ind w:left="1080" w:hanging="360"/>
      </w:pPr>
      <w:rPr>
        <w:rFonts w:ascii="Symbol" w:hAnsi="Symbol" w:hint="default"/>
        <w:sz w:val="28"/>
        <w:szCs w:val="28"/>
      </w:rPr>
    </w:lvl>
    <w:lvl w:ilvl="1" w:tplc="C27E0C00" w:tentative="1">
      <w:start w:val="1"/>
      <w:numFmt w:val="bullet"/>
      <w:lvlText w:val=""/>
      <w:lvlJc w:val="left"/>
      <w:pPr>
        <w:tabs>
          <w:tab w:val="num" w:pos="1800"/>
        </w:tabs>
        <w:ind w:left="1800" w:hanging="360"/>
      </w:pPr>
      <w:rPr>
        <w:rFonts w:ascii="Symbol" w:hAnsi="Symbol" w:hint="default"/>
      </w:rPr>
    </w:lvl>
    <w:lvl w:ilvl="2" w:tplc="CCCC3382" w:tentative="1">
      <w:start w:val="1"/>
      <w:numFmt w:val="bullet"/>
      <w:lvlText w:val=""/>
      <w:lvlJc w:val="left"/>
      <w:pPr>
        <w:tabs>
          <w:tab w:val="num" w:pos="2520"/>
        </w:tabs>
        <w:ind w:left="2520" w:hanging="360"/>
      </w:pPr>
      <w:rPr>
        <w:rFonts w:ascii="Symbol" w:hAnsi="Symbol" w:hint="default"/>
      </w:rPr>
    </w:lvl>
    <w:lvl w:ilvl="3" w:tplc="629C8208" w:tentative="1">
      <w:start w:val="1"/>
      <w:numFmt w:val="bullet"/>
      <w:lvlText w:val=""/>
      <w:lvlJc w:val="left"/>
      <w:pPr>
        <w:tabs>
          <w:tab w:val="num" w:pos="3240"/>
        </w:tabs>
        <w:ind w:left="3240" w:hanging="360"/>
      </w:pPr>
      <w:rPr>
        <w:rFonts w:ascii="Symbol" w:hAnsi="Symbol" w:hint="default"/>
      </w:rPr>
    </w:lvl>
    <w:lvl w:ilvl="4" w:tplc="CEFAF98C" w:tentative="1">
      <w:start w:val="1"/>
      <w:numFmt w:val="bullet"/>
      <w:lvlText w:val=""/>
      <w:lvlJc w:val="left"/>
      <w:pPr>
        <w:tabs>
          <w:tab w:val="num" w:pos="3960"/>
        </w:tabs>
        <w:ind w:left="3960" w:hanging="360"/>
      </w:pPr>
      <w:rPr>
        <w:rFonts w:ascii="Symbol" w:hAnsi="Symbol" w:hint="default"/>
      </w:rPr>
    </w:lvl>
    <w:lvl w:ilvl="5" w:tplc="25E41C82" w:tentative="1">
      <w:start w:val="1"/>
      <w:numFmt w:val="bullet"/>
      <w:lvlText w:val=""/>
      <w:lvlJc w:val="left"/>
      <w:pPr>
        <w:tabs>
          <w:tab w:val="num" w:pos="4680"/>
        </w:tabs>
        <w:ind w:left="4680" w:hanging="360"/>
      </w:pPr>
      <w:rPr>
        <w:rFonts w:ascii="Symbol" w:hAnsi="Symbol" w:hint="default"/>
      </w:rPr>
    </w:lvl>
    <w:lvl w:ilvl="6" w:tplc="E7D20E6C" w:tentative="1">
      <w:start w:val="1"/>
      <w:numFmt w:val="bullet"/>
      <w:lvlText w:val=""/>
      <w:lvlJc w:val="left"/>
      <w:pPr>
        <w:tabs>
          <w:tab w:val="num" w:pos="5400"/>
        </w:tabs>
        <w:ind w:left="5400" w:hanging="360"/>
      </w:pPr>
      <w:rPr>
        <w:rFonts w:ascii="Symbol" w:hAnsi="Symbol" w:hint="default"/>
      </w:rPr>
    </w:lvl>
    <w:lvl w:ilvl="7" w:tplc="828001BA" w:tentative="1">
      <w:start w:val="1"/>
      <w:numFmt w:val="bullet"/>
      <w:lvlText w:val=""/>
      <w:lvlJc w:val="left"/>
      <w:pPr>
        <w:tabs>
          <w:tab w:val="num" w:pos="6120"/>
        </w:tabs>
        <w:ind w:left="6120" w:hanging="360"/>
      </w:pPr>
      <w:rPr>
        <w:rFonts w:ascii="Symbol" w:hAnsi="Symbol" w:hint="default"/>
      </w:rPr>
    </w:lvl>
    <w:lvl w:ilvl="8" w:tplc="90FED9AA" w:tentative="1">
      <w:start w:val="1"/>
      <w:numFmt w:val="bullet"/>
      <w:lvlText w:val=""/>
      <w:lvlJc w:val="left"/>
      <w:pPr>
        <w:tabs>
          <w:tab w:val="num" w:pos="6840"/>
        </w:tabs>
        <w:ind w:left="6840" w:hanging="360"/>
      </w:pPr>
      <w:rPr>
        <w:rFonts w:ascii="Symbol" w:hAnsi="Symbol" w:hint="default"/>
      </w:rPr>
    </w:lvl>
  </w:abstractNum>
  <w:abstractNum w:abstractNumId="23" w15:restartNumberingAfterBreak="0">
    <w:nsid w:val="56B47A63"/>
    <w:multiLevelType w:val="hybridMultilevel"/>
    <w:tmpl w:val="EA02E0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5F1761"/>
    <w:multiLevelType w:val="multilevel"/>
    <w:tmpl w:val="524CC19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B7972B7"/>
    <w:multiLevelType w:val="multilevel"/>
    <w:tmpl w:val="0D3CF508"/>
    <w:lvl w:ilvl="0">
      <w:start w:val="1"/>
      <w:numFmt w:val="decimal"/>
      <w:pStyle w:val="NumberedListFirstLevel"/>
      <w:lvlText w:val="%1."/>
      <w:lvlJc w:val="left"/>
      <w:pPr>
        <w:ind w:left="360" w:hanging="360"/>
      </w:pPr>
      <w:rPr>
        <w:rFonts w:hint="default"/>
      </w:rPr>
    </w:lvl>
    <w:lvl w:ilvl="1">
      <w:start w:val="1"/>
      <w:numFmt w:val="lowerLetter"/>
      <w:pStyle w:val="NumberedListSecondLevel"/>
      <w:lvlText w:val="%2."/>
      <w:lvlJc w:val="left"/>
      <w:pPr>
        <w:ind w:left="72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15:restartNumberingAfterBreak="0">
    <w:nsid w:val="5DB408C7"/>
    <w:multiLevelType w:val="hybridMultilevel"/>
    <w:tmpl w:val="C130F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1C7B01"/>
    <w:multiLevelType w:val="multilevel"/>
    <w:tmpl w:val="548854AC"/>
    <w:styleLink w:val="ERTHeadingStyles"/>
    <w:lvl w:ilvl="0">
      <w:start w:val="1"/>
      <w:numFmt w:val="decimal"/>
      <w:lvlText w:val="%1."/>
      <w:lvlJc w:val="left"/>
      <w:pPr>
        <w:ind w:left="0" w:firstLine="0"/>
      </w:pPr>
      <w:rPr>
        <w:rFonts w:hint="default"/>
        <w:b/>
        <w:color w:val="8A2003"/>
        <w:sz w:val="36"/>
      </w:rPr>
    </w:lvl>
    <w:lvl w:ilvl="1">
      <w:start w:val="1"/>
      <w:numFmt w:val="decimal"/>
      <w:lvlText w:val="%1.%2."/>
      <w:lvlJc w:val="left"/>
      <w:pPr>
        <w:tabs>
          <w:tab w:val="num" w:pos="0"/>
        </w:tabs>
        <w:ind w:left="0" w:firstLine="0"/>
      </w:pPr>
      <w:rPr>
        <w:rFonts w:hint="default"/>
        <w:b/>
        <w:i w:val="0"/>
        <w:color w:val="677719"/>
        <w:sz w:val="32"/>
      </w:rPr>
    </w:lvl>
    <w:lvl w:ilvl="2">
      <w:start w:val="1"/>
      <w:numFmt w:val="decimal"/>
      <w:lvlText w:val="%1,%2,%3,"/>
      <w:lvlJc w:val="left"/>
      <w:pPr>
        <w:tabs>
          <w:tab w:val="num" w:pos="0"/>
        </w:tabs>
        <w:ind w:left="0" w:firstLine="0"/>
      </w:pPr>
      <w:rPr>
        <w:rFonts w:hint="default"/>
        <w:b/>
        <w:i w:val="0"/>
        <w:color w:val="C27B13"/>
        <w:sz w:val="28"/>
      </w:rPr>
    </w:lvl>
    <w:lvl w:ilvl="3">
      <w:start w:val="1"/>
      <w:numFmt w:val="decimal"/>
      <w:lvlText w:val="%1.%2.%3.%4."/>
      <w:lvlJc w:val="left"/>
      <w:pPr>
        <w:ind w:left="0" w:firstLine="0"/>
      </w:pPr>
      <w:rPr>
        <w:rFonts w:ascii="Arial Bold" w:hAnsi="Arial Bold" w:hint="default"/>
        <w:b/>
        <w:i w:val="0"/>
        <w:caps w:val="0"/>
        <w:strike w:val="0"/>
        <w:dstrike w:val="0"/>
        <w:vanish w:val="0"/>
        <w:sz w:val="24"/>
        <w:vertAlign w:val="baseline"/>
      </w:rPr>
    </w:lvl>
    <w:lvl w:ilvl="4">
      <w:start w:val="1"/>
      <w:numFmt w:val="none"/>
      <w:lvlText w:val=""/>
      <w:lvlJc w:val="left"/>
      <w:pPr>
        <w:ind w:left="-32767" w:firstLine="0"/>
      </w:pPr>
      <w:rPr>
        <w:rFonts w:hint="default"/>
      </w:rPr>
    </w:lvl>
    <w:lvl w:ilvl="5">
      <w:start w:val="1"/>
      <w:numFmt w:val="upperLetter"/>
      <w:suff w:val="space"/>
      <w:lvlText w:val="Appendix %6."/>
      <w:lvlJc w:val="left"/>
      <w:pPr>
        <w:ind w:left="0" w:firstLine="0"/>
      </w:pPr>
      <w:rPr>
        <w:rFonts w:ascii="Arial Bold" w:hAnsi="Arial Bold" w:cs="Times New Roman" w:hint="default"/>
        <w:b/>
        <w:bCs w:val="0"/>
        <w:i w:val="0"/>
        <w:iCs w:val="0"/>
        <w:caps w:val="0"/>
        <w:smallCaps w:val="0"/>
        <w:strike w:val="0"/>
        <w:dstrike w:val="0"/>
        <w:noProof w:val="0"/>
        <w:snapToGrid w:val="0"/>
        <w:vanish w:val="0"/>
        <w:color w:val="8A2003"/>
        <w:spacing w:val="0"/>
        <w:w w:val="0"/>
        <w:kern w:val="0"/>
        <w:position w:val="0"/>
        <w:sz w:val="28"/>
        <w:szCs w:val="0"/>
        <w:u w:val="none"/>
        <w:vertAlign w:val="baseline"/>
        <w:em w:val="none"/>
      </w:rPr>
    </w:lvl>
    <w:lvl w:ilvl="6">
      <w:start w:val="1"/>
      <w:numFmt w:val="decimal"/>
      <w:lvlText w:val="%6.%7."/>
      <w:lvlJc w:val="left"/>
      <w:pPr>
        <w:ind w:left="0" w:firstLine="0"/>
      </w:pPr>
      <w:rPr>
        <w:rFonts w:ascii="Arial Bold" w:hAnsi="Arial Bold" w:cs="Arial" w:hint="default"/>
        <w:b/>
        <w:i w:val="0"/>
        <w:color w:val="677719"/>
        <w:sz w:val="32"/>
        <w:szCs w:val="32"/>
      </w:rPr>
    </w:lvl>
    <w:lvl w:ilvl="7">
      <w:start w:val="1"/>
      <w:numFmt w:val="decimal"/>
      <w:lvlText w:val="%6.%7.%8."/>
      <w:lvlJc w:val="left"/>
      <w:pPr>
        <w:ind w:left="0" w:firstLine="0"/>
      </w:pPr>
      <w:rPr>
        <w:rFonts w:ascii="Arial Bold" w:hAnsi="Arial Bold" w:cs="Arial" w:hint="default"/>
        <w:b/>
        <w:i w:val="0"/>
        <w:color w:val="C27B13"/>
        <w:sz w:val="28"/>
      </w:rPr>
    </w:lvl>
    <w:lvl w:ilvl="8">
      <w:start w:val="1"/>
      <w:numFmt w:val="decimal"/>
      <w:suff w:val="space"/>
      <w:lvlText w:val="%6.%7.%8.%9."/>
      <w:lvlJc w:val="left"/>
      <w:pPr>
        <w:ind w:left="0" w:firstLine="0"/>
      </w:pPr>
      <w:rPr>
        <w:rFonts w:ascii="Arial Bold" w:hAnsi="Arial Bold" w:cs="Arial" w:hint="default"/>
        <w:b/>
        <w:i w:val="0"/>
        <w:sz w:val="24"/>
      </w:rPr>
    </w:lvl>
  </w:abstractNum>
  <w:abstractNum w:abstractNumId="28" w15:restartNumberingAfterBreak="0">
    <w:nsid w:val="69BF0226"/>
    <w:multiLevelType w:val="multilevel"/>
    <w:tmpl w:val="6280263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BE45149"/>
    <w:multiLevelType w:val="hybridMultilevel"/>
    <w:tmpl w:val="63369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856C65"/>
    <w:multiLevelType w:val="multilevel"/>
    <w:tmpl w:val="26BEC04E"/>
    <w:lvl w:ilvl="0">
      <w:start w:val="1"/>
      <w:numFmt w:val="bullet"/>
      <w:lvlText w:val=""/>
      <w:lvlJc w:val="left"/>
      <w:pPr>
        <w:ind w:left="360" w:hanging="360"/>
      </w:pPr>
      <w:rPr>
        <w:rFonts w:ascii="Wingdings" w:hAnsi="Wingdings" w:hint="default"/>
        <w:color w:val="0067AB"/>
        <w:sz w:val="16"/>
        <w:szCs w:val="16"/>
      </w:rPr>
    </w:lvl>
    <w:lvl w:ilvl="1">
      <w:start w:val="1"/>
      <w:numFmt w:val="bullet"/>
      <w:lvlText w:val=""/>
      <w:lvlJc w:val="left"/>
      <w:pPr>
        <w:ind w:left="720" w:hanging="360"/>
      </w:pPr>
      <w:rPr>
        <w:rFonts w:ascii="Wingdings" w:hAnsi="Wingdings" w:hint="default"/>
        <w:b/>
        <w:i w:val="0"/>
        <w:color w:val="677719"/>
        <w:sz w:val="24"/>
        <w:szCs w:val="24"/>
      </w:rPr>
    </w:lvl>
    <w:lvl w:ilvl="2">
      <w:start w:val="1"/>
      <w:numFmt w:val="bullet"/>
      <w:lvlText w:val="–"/>
      <w:lvlJc w:val="left"/>
      <w:pPr>
        <w:ind w:left="1080" w:hanging="360"/>
      </w:pPr>
      <w:rPr>
        <w:rFonts w:ascii="Arial Bold" w:hAnsi="Arial Bold" w:hint="default"/>
        <w:b/>
        <w:i w:val="0"/>
        <w:color w:val="8A2003" w:themeColor="accent2"/>
        <w:sz w:val="24"/>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31" w15:restartNumberingAfterBreak="0">
    <w:nsid w:val="77C16ECA"/>
    <w:multiLevelType w:val="hybridMultilevel"/>
    <w:tmpl w:val="32160268"/>
    <w:lvl w:ilvl="0" w:tplc="B4A6F82E">
      <w:start w:val="1"/>
      <w:numFmt w:val="bullet"/>
      <w:lvlText w:val=""/>
      <w:lvlPicBulletId w:val="0"/>
      <w:lvlJc w:val="left"/>
      <w:pPr>
        <w:tabs>
          <w:tab w:val="num" w:pos="720"/>
        </w:tabs>
        <w:ind w:left="720" w:hanging="360"/>
      </w:pPr>
      <w:rPr>
        <w:rFonts w:ascii="Symbol" w:hAnsi="Symbol" w:hint="default"/>
        <w:sz w:val="28"/>
        <w:szCs w:val="28"/>
      </w:rPr>
    </w:lvl>
    <w:lvl w:ilvl="1" w:tplc="153E5BA2" w:tentative="1">
      <w:start w:val="1"/>
      <w:numFmt w:val="bullet"/>
      <w:lvlText w:val=""/>
      <w:lvlJc w:val="left"/>
      <w:pPr>
        <w:tabs>
          <w:tab w:val="num" w:pos="1440"/>
        </w:tabs>
        <w:ind w:left="1440" w:hanging="360"/>
      </w:pPr>
      <w:rPr>
        <w:rFonts w:ascii="Symbol" w:hAnsi="Symbol" w:hint="default"/>
      </w:rPr>
    </w:lvl>
    <w:lvl w:ilvl="2" w:tplc="BBA05AB2" w:tentative="1">
      <w:start w:val="1"/>
      <w:numFmt w:val="bullet"/>
      <w:lvlText w:val=""/>
      <w:lvlJc w:val="left"/>
      <w:pPr>
        <w:tabs>
          <w:tab w:val="num" w:pos="2160"/>
        </w:tabs>
        <w:ind w:left="2160" w:hanging="360"/>
      </w:pPr>
      <w:rPr>
        <w:rFonts w:ascii="Symbol" w:hAnsi="Symbol" w:hint="default"/>
      </w:rPr>
    </w:lvl>
    <w:lvl w:ilvl="3" w:tplc="C4D4B5C4" w:tentative="1">
      <w:start w:val="1"/>
      <w:numFmt w:val="bullet"/>
      <w:lvlText w:val=""/>
      <w:lvlJc w:val="left"/>
      <w:pPr>
        <w:tabs>
          <w:tab w:val="num" w:pos="2880"/>
        </w:tabs>
        <w:ind w:left="2880" w:hanging="360"/>
      </w:pPr>
      <w:rPr>
        <w:rFonts w:ascii="Symbol" w:hAnsi="Symbol" w:hint="default"/>
      </w:rPr>
    </w:lvl>
    <w:lvl w:ilvl="4" w:tplc="C09A5256" w:tentative="1">
      <w:start w:val="1"/>
      <w:numFmt w:val="bullet"/>
      <w:lvlText w:val=""/>
      <w:lvlJc w:val="left"/>
      <w:pPr>
        <w:tabs>
          <w:tab w:val="num" w:pos="3600"/>
        </w:tabs>
        <w:ind w:left="3600" w:hanging="360"/>
      </w:pPr>
      <w:rPr>
        <w:rFonts w:ascii="Symbol" w:hAnsi="Symbol" w:hint="default"/>
      </w:rPr>
    </w:lvl>
    <w:lvl w:ilvl="5" w:tplc="2DB6ECA2" w:tentative="1">
      <w:start w:val="1"/>
      <w:numFmt w:val="bullet"/>
      <w:lvlText w:val=""/>
      <w:lvlJc w:val="left"/>
      <w:pPr>
        <w:tabs>
          <w:tab w:val="num" w:pos="4320"/>
        </w:tabs>
        <w:ind w:left="4320" w:hanging="360"/>
      </w:pPr>
      <w:rPr>
        <w:rFonts w:ascii="Symbol" w:hAnsi="Symbol" w:hint="default"/>
      </w:rPr>
    </w:lvl>
    <w:lvl w:ilvl="6" w:tplc="82BA945A" w:tentative="1">
      <w:start w:val="1"/>
      <w:numFmt w:val="bullet"/>
      <w:lvlText w:val=""/>
      <w:lvlJc w:val="left"/>
      <w:pPr>
        <w:tabs>
          <w:tab w:val="num" w:pos="5040"/>
        </w:tabs>
        <w:ind w:left="5040" w:hanging="360"/>
      </w:pPr>
      <w:rPr>
        <w:rFonts w:ascii="Symbol" w:hAnsi="Symbol" w:hint="default"/>
      </w:rPr>
    </w:lvl>
    <w:lvl w:ilvl="7" w:tplc="B9768478" w:tentative="1">
      <w:start w:val="1"/>
      <w:numFmt w:val="bullet"/>
      <w:lvlText w:val=""/>
      <w:lvlJc w:val="left"/>
      <w:pPr>
        <w:tabs>
          <w:tab w:val="num" w:pos="5760"/>
        </w:tabs>
        <w:ind w:left="5760" w:hanging="360"/>
      </w:pPr>
      <w:rPr>
        <w:rFonts w:ascii="Symbol" w:hAnsi="Symbol" w:hint="default"/>
      </w:rPr>
    </w:lvl>
    <w:lvl w:ilvl="8" w:tplc="92F0682C"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79405B2D"/>
    <w:multiLevelType w:val="multilevel"/>
    <w:tmpl w:val="26BEC04E"/>
    <w:lvl w:ilvl="0">
      <w:start w:val="1"/>
      <w:numFmt w:val="bullet"/>
      <w:pStyle w:val="Bullet10"/>
      <w:lvlText w:val=""/>
      <w:lvlJc w:val="left"/>
      <w:pPr>
        <w:ind w:left="360" w:hanging="360"/>
      </w:pPr>
      <w:rPr>
        <w:rFonts w:ascii="Wingdings" w:hAnsi="Wingdings" w:hint="default"/>
        <w:color w:val="0067AB"/>
        <w:sz w:val="16"/>
        <w:szCs w:val="16"/>
      </w:rPr>
    </w:lvl>
    <w:lvl w:ilvl="1">
      <w:start w:val="1"/>
      <w:numFmt w:val="bullet"/>
      <w:pStyle w:val="Bullet2"/>
      <w:lvlText w:val=""/>
      <w:lvlJc w:val="left"/>
      <w:pPr>
        <w:ind w:left="720" w:hanging="360"/>
      </w:pPr>
      <w:rPr>
        <w:rFonts w:ascii="Wingdings" w:hAnsi="Wingdings" w:hint="default"/>
        <w:b/>
        <w:i w:val="0"/>
        <w:color w:val="677719"/>
        <w:sz w:val="24"/>
        <w:szCs w:val="24"/>
      </w:rPr>
    </w:lvl>
    <w:lvl w:ilvl="2">
      <w:start w:val="1"/>
      <w:numFmt w:val="bullet"/>
      <w:pStyle w:val="Bullet3"/>
      <w:lvlText w:val="–"/>
      <w:lvlJc w:val="left"/>
      <w:pPr>
        <w:ind w:left="1080" w:hanging="360"/>
      </w:pPr>
      <w:rPr>
        <w:rFonts w:ascii="Arial Bold" w:hAnsi="Arial Bold" w:hint="default"/>
        <w:b/>
        <w:i w:val="0"/>
        <w:color w:val="8A2003" w:themeColor="accent2"/>
        <w:sz w:val="24"/>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33" w15:restartNumberingAfterBreak="0">
    <w:nsid w:val="7D0C0AFF"/>
    <w:multiLevelType w:val="hybridMultilevel"/>
    <w:tmpl w:val="340E52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7"/>
  </w:num>
  <w:num w:numId="3">
    <w:abstractNumId w:val="14"/>
  </w:num>
  <w:num w:numId="4">
    <w:abstractNumId w:val="25"/>
  </w:num>
  <w:num w:numId="5">
    <w:abstractNumId w:val="0"/>
  </w:num>
  <w:num w:numId="6">
    <w:abstractNumId w:val="30"/>
  </w:num>
  <w:num w:numId="7">
    <w:abstractNumId w:val="2"/>
  </w:num>
  <w:num w:numId="8">
    <w:abstractNumId w:val="8"/>
  </w:num>
  <w:num w:numId="9">
    <w:abstractNumId w:val="12"/>
  </w:num>
  <w:num w:numId="10">
    <w:abstractNumId w:val="26"/>
  </w:num>
  <w:num w:numId="11">
    <w:abstractNumId w:val="21"/>
  </w:num>
  <w:num w:numId="12">
    <w:abstractNumId w:val="28"/>
  </w:num>
  <w:num w:numId="13">
    <w:abstractNumId w:val="24"/>
  </w:num>
  <w:num w:numId="14">
    <w:abstractNumId w:val="18"/>
  </w:num>
  <w:num w:numId="15">
    <w:abstractNumId w:val="0"/>
  </w:num>
  <w:num w:numId="16">
    <w:abstractNumId w:val="10"/>
  </w:num>
  <w:num w:numId="17">
    <w:abstractNumId w:val="14"/>
  </w:num>
  <w:num w:numId="18">
    <w:abstractNumId w:val="23"/>
  </w:num>
  <w:num w:numId="19">
    <w:abstractNumId w:val="16"/>
  </w:num>
  <w:num w:numId="20">
    <w:abstractNumId w:val="29"/>
  </w:num>
  <w:num w:numId="21">
    <w:abstractNumId w:val="9"/>
  </w:num>
  <w:num w:numId="22">
    <w:abstractNumId w:val="13"/>
  </w:num>
  <w:num w:numId="23">
    <w:abstractNumId w:val="17"/>
  </w:num>
  <w:num w:numId="24">
    <w:abstractNumId w:val="20"/>
  </w:num>
  <w:num w:numId="25">
    <w:abstractNumId w:val="33"/>
  </w:num>
  <w:num w:numId="26">
    <w:abstractNumId w:val="22"/>
  </w:num>
  <w:num w:numId="27">
    <w:abstractNumId w:val="15"/>
  </w:num>
  <w:num w:numId="28">
    <w:abstractNumId w:val="7"/>
  </w:num>
  <w:num w:numId="29">
    <w:abstractNumId w:val="5"/>
  </w:num>
  <w:num w:numId="30">
    <w:abstractNumId w:val="3"/>
  </w:num>
  <w:num w:numId="31">
    <w:abstractNumId w:val="1"/>
  </w:num>
  <w:num w:numId="32">
    <w:abstractNumId w:val="31"/>
  </w:num>
  <w:num w:numId="33">
    <w:abstractNumId w:val="19"/>
  </w:num>
  <w:num w:numId="34">
    <w:abstractNumId w:val="6"/>
  </w:num>
  <w:num w:numId="35">
    <w:abstractNumId w:val="11"/>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en-US" w:vendorID="64" w:dllVersion="131078" w:nlCheck="1" w:checkStyle="1"/>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2049" style="mso-position-vertical-relative:line" fillcolor="#0091ff" stroke="f">
      <v:fill color="#0091ff"/>
      <v:stroke on="f"/>
      <o:colormru v:ext="edit" colors="#f3e5d0,#e1e4d1,#c27b13,#677719,#e87b13,#e8d2cd,#cce1ee,#333b0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CD1"/>
    <w:rsid w:val="000000CA"/>
    <w:rsid w:val="00000107"/>
    <w:rsid w:val="0000045B"/>
    <w:rsid w:val="0000055C"/>
    <w:rsid w:val="0000062B"/>
    <w:rsid w:val="00001626"/>
    <w:rsid w:val="00001BDF"/>
    <w:rsid w:val="00007312"/>
    <w:rsid w:val="00010C55"/>
    <w:rsid w:val="00011C66"/>
    <w:rsid w:val="00011CE7"/>
    <w:rsid w:val="000126A5"/>
    <w:rsid w:val="0001530A"/>
    <w:rsid w:val="00016B69"/>
    <w:rsid w:val="0002017A"/>
    <w:rsid w:val="00022164"/>
    <w:rsid w:val="00022CBF"/>
    <w:rsid w:val="00024B14"/>
    <w:rsid w:val="00025431"/>
    <w:rsid w:val="000259C9"/>
    <w:rsid w:val="00026177"/>
    <w:rsid w:val="00026784"/>
    <w:rsid w:val="000277B6"/>
    <w:rsid w:val="00027825"/>
    <w:rsid w:val="000279EB"/>
    <w:rsid w:val="00030C5E"/>
    <w:rsid w:val="00031A87"/>
    <w:rsid w:val="00032A94"/>
    <w:rsid w:val="00032B35"/>
    <w:rsid w:val="00036D70"/>
    <w:rsid w:val="00040EFD"/>
    <w:rsid w:val="000421AB"/>
    <w:rsid w:val="00042FD1"/>
    <w:rsid w:val="000445D4"/>
    <w:rsid w:val="000448CA"/>
    <w:rsid w:val="00045955"/>
    <w:rsid w:val="00046FC3"/>
    <w:rsid w:val="00047136"/>
    <w:rsid w:val="00050BF0"/>
    <w:rsid w:val="00051CAF"/>
    <w:rsid w:val="000526E6"/>
    <w:rsid w:val="0005467C"/>
    <w:rsid w:val="0005468C"/>
    <w:rsid w:val="00060105"/>
    <w:rsid w:val="0006030F"/>
    <w:rsid w:val="00060D59"/>
    <w:rsid w:val="00060FC8"/>
    <w:rsid w:val="00062C35"/>
    <w:rsid w:val="0006536A"/>
    <w:rsid w:val="0006702C"/>
    <w:rsid w:val="00067291"/>
    <w:rsid w:val="0006767F"/>
    <w:rsid w:val="00072541"/>
    <w:rsid w:val="00074A02"/>
    <w:rsid w:val="0007602E"/>
    <w:rsid w:val="00076859"/>
    <w:rsid w:val="000768CD"/>
    <w:rsid w:val="00076ED4"/>
    <w:rsid w:val="00080224"/>
    <w:rsid w:val="00080D12"/>
    <w:rsid w:val="000812D4"/>
    <w:rsid w:val="00082AF8"/>
    <w:rsid w:val="00082BE8"/>
    <w:rsid w:val="00082FA1"/>
    <w:rsid w:val="00082FB9"/>
    <w:rsid w:val="00083A79"/>
    <w:rsid w:val="000843AE"/>
    <w:rsid w:val="00084D4E"/>
    <w:rsid w:val="00086110"/>
    <w:rsid w:val="00087D59"/>
    <w:rsid w:val="00090B99"/>
    <w:rsid w:val="000912CA"/>
    <w:rsid w:val="000914F1"/>
    <w:rsid w:val="000918DD"/>
    <w:rsid w:val="000920F8"/>
    <w:rsid w:val="00092894"/>
    <w:rsid w:val="00093ADA"/>
    <w:rsid w:val="0009462F"/>
    <w:rsid w:val="00095A1A"/>
    <w:rsid w:val="00095D9B"/>
    <w:rsid w:val="0009679D"/>
    <w:rsid w:val="00096F58"/>
    <w:rsid w:val="000A14EB"/>
    <w:rsid w:val="000A5C6A"/>
    <w:rsid w:val="000B0057"/>
    <w:rsid w:val="000B09DF"/>
    <w:rsid w:val="000B0D4E"/>
    <w:rsid w:val="000B61E5"/>
    <w:rsid w:val="000B7630"/>
    <w:rsid w:val="000C08E7"/>
    <w:rsid w:val="000C2CF0"/>
    <w:rsid w:val="000C393D"/>
    <w:rsid w:val="000C4291"/>
    <w:rsid w:val="000C53FC"/>
    <w:rsid w:val="000C7601"/>
    <w:rsid w:val="000C7A85"/>
    <w:rsid w:val="000D0ED9"/>
    <w:rsid w:val="000D3104"/>
    <w:rsid w:val="000D3641"/>
    <w:rsid w:val="000D3739"/>
    <w:rsid w:val="000D405E"/>
    <w:rsid w:val="000D549E"/>
    <w:rsid w:val="000D54D1"/>
    <w:rsid w:val="000D556B"/>
    <w:rsid w:val="000D596E"/>
    <w:rsid w:val="000D6BF5"/>
    <w:rsid w:val="000D73C1"/>
    <w:rsid w:val="000D74F8"/>
    <w:rsid w:val="000E10C1"/>
    <w:rsid w:val="000E16C9"/>
    <w:rsid w:val="000E4A53"/>
    <w:rsid w:val="000E78D6"/>
    <w:rsid w:val="000E79F2"/>
    <w:rsid w:val="000F0282"/>
    <w:rsid w:val="000F0A41"/>
    <w:rsid w:val="000F13F7"/>
    <w:rsid w:val="000F2369"/>
    <w:rsid w:val="000F318E"/>
    <w:rsid w:val="000F3A00"/>
    <w:rsid w:val="000F4287"/>
    <w:rsid w:val="000F54FA"/>
    <w:rsid w:val="000F56E7"/>
    <w:rsid w:val="0010295D"/>
    <w:rsid w:val="001051A8"/>
    <w:rsid w:val="00105663"/>
    <w:rsid w:val="00105F29"/>
    <w:rsid w:val="00106B24"/>
    <w:rsid w:val="00106E72"/>
    <w:rsid w:val="00111B0F"/>
    <w:rsid w:val="00112CAD"/>
    <w:rsid w:val="001169A4"/>
    <w:rsid w:val="0011766B"/>
    <w:rsid w:val="0012120D"/>
    <w:rsid w:val="00121E82"/>
    <w:rsid w:val="00123B07"/>
    <w:rsid w:val="00123B4D"/>
    <w:rsid w:val="001240C0"/>
    <w:rsid w:val="00125610"/>
    <w:rsid w:val="0012681D"/>
    <w:rsid w:val="00126DA9"/>
    <w:rsid w:val="00127EA8"/>
    <w:rsid w:val="00130128"/>
    <w:rsid w:val="00130BBD"/>
    <w:rsid w:val="00131495"/>
    <w:rsid w:val="00131571"/>
    <w:rsid w:val="0013266D"/>
    <w:rsid w:val="0013270D"/>
    <w:rsid w:val="00132DC5"/>
    <w:rsid w:val="001336C0"/>
    <w:rsid w:val="00133885"/>
    <w:rsid w:val="00135098"/>
    <w:rsid w:val="001359AB"/>
    <w:rsid w:val="00136562"/>
    <w:rsid w:val="001366D7"/>
    <w:rsid w:val="00137295"/>
    <w:rsid w:val="00137644"/>
    <w:rsid w:val="00140419"/>
    <w:rsid w:val="0014106A"/>
    <w:rsid w:val="001417E7"/>
    <w:rsid w:val="00142161"/>
    <w:rsid w:val="001442F6"/>
    <w:rsid w:val="00147686"/>
    <w:rsid w:val="001510E3"/>
    <w:rsid w:val="001512C6"/>
    <w:rsid w:val="001554EE"/>
    <w:rsid w:val="001638ED"/>
    <w:rsid w:val="00165FDD"/>
    <w:rsid w:val="00166140"/>
    <w:rsid w:val="001716BB"/>
    <w:rsid w:val="00174B3A"/>
    <w:rsid w:val="0017538F"/>
    <w:rsid w:val="001772D3"/>
    <w:rsid w:val="00177DE5"/>
    <w:rsid w:val="00180AC6"/>
    <w:rsid w:val="00180B40"/>
    <w:rsid w:val="00180D88"/>
    <w:rsid w:val="001831C6"/>
    <w:rsid w:val="001838A3"/>
    <w:rsid w:val="00186058"/>
    <w:rsid w:val="00186703"/>
    <w:rsid w:val="00190009"/>
    <w:rsid w:val="0019063B"/>
    <w:rsid w:val="00190677"/>
    <w:rsid w:val="00190923"/>
    <w:rsid w:val="00190C66"/>
    <w:rsid w:val="001912E5"/>
    <w:rsid w:val="00192372"/>
    <w:rsid w:val="001939F0"/>
    <w:rsid w:val="00194A14"/>
    <w:rsid w:val="00194EB3"/>
    <w:rsid w:val="0019576F"/>
    <w:rsid w:val="00195919"/>
    <w:rsid w:val="001960B4"/>
    <w:rsid w:val="00196F60"/>
    <w:rsid w:val="001A0148"/>
    <w:rsid w:val="001A1440"/>
    <w:rsid w:val="001A17A3"/>
    <w:rsid w:val="001A559A"/>
    <w:rsid w:val="001A6AB8"/>
    <w:rsid w:val="001B12B4"/>
    <w:rsid w:val="001B1538"/>
    <w:rsid w:val="001B1DC2"/>
    <w:rsid w:val="001B1F35"/>
    <w:rsid w:val="001B229D"/>
    <w:rsid w:val="001B4985"/>
    <w:rsid w:val="001B4FE8"/>
    <w:rsid w:val="001C0A25"/>
    <w:rsid w:val="001C1FE0"/>
    <w:rsid w:val="001C203F"/>
    <w:rsid w:val="001C3EDE"/>
    <w:rsid w:val="001C48B8"/>
    <w:rsid w:val="001C4D8E"/>
    <w:rsid w:val="001D08A2"/>
    <w:rsid w:val="001D2388"/>
    <w:rsid w:val="001D5865"/>
    <w:rsid w:val="001D6338"/>
    <w:rsid w:val="001D7327"/>
    <w:rsid w:val="001E03B4"/>
    <w:rsid w:val="001E0B21"/>
    <w:rsid w:val="001E2EA8"/>
    <w:rsid w:val="001E2F37"/>
    <w:rsid w:val="001E3F5C"/>
    <w:rsid w:val="001E4EDF"/>
    <w:rsid w:val="001E5FAF"/>
    <w:rsid w:val="001E6EFB"/>
    <w:rsid w:val="001F0EDF"/>
    <w:rsid w:val="001F1917"/>
    <w:rsid w:val="001F3B90"/>
    <w:rsid w:val="001F4305"/>
    <w:rsid w:val="001F5FC1"/>
    <w:rsid w:val="001F6398"/>
    <w:rsid w:val="001F7075"/>
    <w:rsid w:val="00200BFA"/>
    <w:rsid w:val="00200FDC"/>
    <w:rsid w:val="00203588"/>
    <w:rsid w:val="0020452A"/>
    <w:rsid w:val="002049E5"/>
    <w:rsid w:val="00205115"/>
    <w:rsid w:val="002052C3"/>
    <w:rsid w:val="002067D4"/>
    <w:rsid w:val="0020693A"/>
    <w:rsid w:val="00206E01"/>
    <w:rsid w:val="00207457"/>
    <w:rsid w:val="00207AC5"/>
    <w:rsid w:val="00210123"/>
    <w:rsid w:val="0021021D"/>
    <w:rsid w:val="002102E7"/>
    <w:rsid w:val="00210CDC"/>
    <w:rsid w:val="002127FF"/>
    <w:rsid w:val="00215538"/>
    <w:rsid w:val="002159A2"/>
    <w:rsid w:val="00215F1D"/>
    <w:rsid w:val="00216AD3"/>
    <w:rsid w:val="00216F84"/>
    <w:rsid w:val="00217495"/>
    <w:rsid w:val="002202D7"/>
    <w:rsid w:val="00221264"/>
    <w:rsid w:val="0022168C"/>
    <w:rsid w:val="00224A59"/>
    <w:rsid w:val="0022533B"/>
    <w:rsid w:val="00226810"/>
    <w:rsid w:val="0023141B"/>
    <w:rsid w:val="00233307"/>
    <w:rsid w:val="00234762"/>
    <w:rsid w:val="00234A63"/>
    <w:rsid w:val="002354FF"/>
    <w:rsid w:val="00236EED"/>
    <w:rsid w:val="00240447"/>
    <w:rsid w:val="00240D7F"/>
    <w:rsid w:val="0024670D"/>
    <w:rsid w:val="00246D62"/>
    <w:rsid w:val="002502C3"/>
    <w:rsid w:val="00250C8A"/>
    <w:rsid w:val="00251D32"/>
    <w:rsid w:val="00255269"/>
    <w:rsid w:val="00255E2D"/>
    <w:rsid w:val="002566F1"/>
    <w:rsid w:val="00257591"/>
    <w:rsid w:val="00260D68"/>
    <w:rsid w:val="0026104F"/>
    <w:rsid w:val="002621E0"/>
    <w:rsid w:val="00262934"/>
    <w:rsid w:val="00264EA1"/>
    <w:rsid w:val="00265B41"/>
    <w:rsid w:val="00266B0F"/>
    <w:rsid w:val="002679B2"/>
    <w:rsid w:val="00267D28"/>
    <w:rsid w:val="00270673"/>
    <w:rsid w:val="002706BF"/>
    <w:rsid w:val="00270AE8"/>
    <w:rsid w:val="00270DF0"/>
    <w:rsid w:val="0027111E"/>
    <w:rsid w:val="002722C4"/>
    <w:rsid w:val="00275083"/>
    <w:rsid w:val="00275679"/>
    <w:rsid w:val="00277013"/>
    <w:rsid w:val="00280765"/>
    <w:rsid w:val="00280901"/>
    <w:rsid w:val="00280C13"/>
    <w:rsid w:val="0028108E"/>
    <w:rsid w:val="00281EC9"/>
    <w:rsid w:val="002826C4"/>
    <w:rsid w:val="002827C1"/>
    <w:rsid w:val="00284811"/>
    <w:rsid w:val="00284CA5"/>
    <w:rsid w:val="00284EB2"/>
    <w:rsid w:val="00285B44"/>
    <w:rsid w:val="00286243"/>
    <w:rsid w:val="00286577"/>
    <w:rsid w:val="00287582"/>
    <w:rsid w:val="0029251C"/>
    <w:rsid w:val="00292D48"/>
    <w:rsid w:val="00292EEE"/>
    <w:rsid w:val="00295563"/>
    <w:rsid w:val="00295E5F"/>
    <w:rsid w:val="002963EC"/>
    <w:rsid w:val="00296409"/>
    <w:rsid w:val="00296FFB"/>
    <w:rsid w:val="002A193A"/>
    <w:rsid w:val="002A199A"/>
    <w:rsid w:val="002A3919"/>
    <w:rsid w:val="002A3BA7"/>
    <w:rsid w:val="002A3DFA"/>
    <w:rsid w:val="002A3E16"/>
    <w:rsid w:val="002A4A0E"/>
    <w:rsid w:val="002A537A"/>
    <w:rsid w:val="002A69DF"/>
    <w:rsid w:val="002A7807"/>
    <w:rsid w:val="002A78D6"/>
    <w:rsid w:val="002A790C"/>
    <w:rsid w:val="002B06C3"/>
    <w:rsid w:val="002B142D"/>
    <w:rsid w:val="002B14F4"/>
    <w:rsid w:val="002B2C19"/>
    <w:rsid w:val="002B3418"/>
    <w:rsid w:val="002B40B9"/>
    <w:rsid w:val="002B70BF"/>
    <w:rsid w:val="002C0075"/>
    <w:rsid w:val="002C0BC4"/>
    <w:rsid w:val="002C3A50"/>
    <w:rsid w:val="002C4B3D"/>
    <w:rsid w:val="002C4E81"/>
    <w:rsid w:val="002C5B67"/>
    <w:rsid w:val="002C645E"/>
    <w:rsid w:val="002C65CD"/>
    <w:rsid w:val="002C7A8F"/>
    <w:rsid w:val="002C7A99"/>
    <w:rsid w:val="002D072D"/>
    <w:rsid w:val="002D1DE4"/>
    <w:rsid w:val="002D27BB"/>
    <w:rsid w:val="002D30D3"/>
    <w:rsid w:val="002D3BE2"/>
    <w:rsid w:val="002D3DD8"/>
    <w:rsid w:val="002D63A7"/>
    <w:rsid w:val="002D6AB4"/>
    <w:rsid w:val="002D72E3"/>
    <w:rsid w:val="002D7450"/>
    <w:rsid w:val="002D7566"/>
    <w:rsid w:val="002D7ED0"/>
    <w:rsid w:val="002E1CD1"/>
    <w:rsid w:val="002E205A"/>
    <w:rsid w:val="002E4D87"/>
    <w:rsid w:val="002E55EC"/>
    <w:rsid w:val="002E56ED"/>
    <w:rsid w:val="002E571D"/>
    <w:rsid w:val="002E7BDC"/>
    <w:rsid w:val="002F042A"/>
    <w:rsid w:val="002F220E"/>
    <w:rsid w:val="002F250D"/>
    <w:rsid w:val="002F44EF"/>
    <w:rsid w:val="002F530E"/>
    <w:rsid w:val="002F63CD"/>
    <w:rsid w:val="002F6451"/>
    <w:rsid w:val="002F7E3B"/>
    <w:rsid w:val="003008CC"/>
    <w:rsid w:val="00303645"/>
    <w:rsid w:val="003043EF"/>
    <w:rsid w:val="003045E5"/>
    <w:rsid w:val="00305706"/>
    <w:rsid w:val="003111D5"/>
    <w:rsid w:val="003119C3"/>
    <w:rsid w:val="003138B2"/>
    <w:rsid w:val="00313D26"/>
    <w:rsid w:val="00314330"/>
    <w:rsid w:val="00315694"/>
    <w:rsid w:val="003161E1"/>
    <w:rsid w:val="003175CA"/>
    <w:rsid w:val="003207E7"/>
    <w:rsid w:val="0032097F"/>
    <w:rsid w:val="00320E77"/>
    <w:rsid w:val="00321CE8"/>
    <w:rsid w:val="00323DF0"/>
    <w:rsid w:val="003248A5"/>
    <w:rsid w:val="00326139"/>
    <w:rsid w:val="0032767B"/>
    <w:rsid w:val="00330080"/>
    <w:rsid w:val="00333C84"/>
    <w:rsid w:val="003344CC"/>
    <w:rsid w:val="00334AAA"/>
    <w:rsid w:val="00335923"/>
    <w:rsid w:val="003361F4"/>
    <w:rsid w:val="0033649F"/>
    <w:rsid w:val="003367A8"/>
    <w:rsid w:val="00336E12"/>
    <w:rsid w:val="00337D87"/>
    <w:rsid w:val="00340A44"/>
    <w:rsid w:val="00341512"/>
    <w:rsid w:val="00341E2D"/>
    <w:rsid w:val="0034234C"/>
    <w:rsid w:val="00343F16"/>
    <w:rsid w:val="0035031E"/>
    <w:rsid w:val="00350F1D"/>
    <w:rsid w:val="00350F25"/>
    <w:rsid w:val="00353D28"/>
    <w:rsid w:val="00354DC4"/>
    <w:rsid w:val="00355ED9"/>
    <w:rsid w:val="00357B3C"/>
    <w:rsid w:val="00361132"/>
    <w:rsid w:val="00361521"/>
    <w:rsid w:val="00361A0B"/>
    <w:rsid w:val="00362156"/>
    <w:rsid w:val="00365E91"/>
    <w:rsid w:val="003667EC"/>
    <w:rsid w:val="00366FEE"/>
    <w:rsid w:val="003700AF"/>
    <w:rsid w:val="0037166C"/>
    <w:rsid w:val="003719A0"/>
    <w:rsid w:val="00371B2A"/>
    <w:rsid w:val="00373426"/>
    <w:rsid w:val="00373B44"/>
    <w:rsid w:val="00373C56"/>
    <w:rsid w:val="00374E35"/>
    <w:rsid w:val="00375FFA"/>
    <w:rsid w:val="00376C0A"/>
    <w:rsid w:val="00377417"/>
    <w:rsid w:val="0037771F"/>
    <w:rsid w:val="00380A36"/>
    <w:rsid w:val="00381043"/>
    <w:rsid w:val="00382AAA"/>
    <w:rsid w:val="00383B8E"/>
    <w:rsid w:val="00383F70"/>
    <w:rsid w:val="00384141"/>
    <w:rsid w:val="00385DE0"/>
    <w:rsid w:val="0038666D"/>
    <w:rsid w:val="00391140"/>
    <w:rsid w:val="0039277B"/>
    <w:rsid w:val="00392D1B"/>
    <w:rsid w:val="003934B8"/>
    <w:rsid w:val="00393BD4"/>
    <w:rsid w:val="003951E3"/>
    <w:rsid w:val="003A3888"/>
    <w:rsid w:val="003A44D8"/>
    <w:rsid w:val="003A4755"/>
    <w:rsid w:val="003A5076"/>
    <w:rsid w:val="003B0E2A"/>
    <w:rsid w:val="003B3216"/>
    <w:rsid w:val="003B3DD3"/>
    <w:rsid w:val="003B3F1F"/>
    <w:rsid w:val="003B5CD3"/>
    <w:rsid w:val="003B5CF0"/>
    <w:rsid w:val="003B657A"/>
    <w:rsid w:val="003B6842"/>
    <w:rsid w:val="003B7CA3"/>
    <w:rsid w:val="003B7E58"/>
    <w:rsid w:val="003C17E8"/>
    <w:rsid w:val="003C2820"/>
    <w:rsid w:val="003C4DA7"/>
    <w:rsid w:val="003C5262"/>
    <w:rsid w:val="003C5D19"/>
    <w:rsid w:val="003C6459"/>
    <w:rsid w:val="003C6575"/>
    <w:rsid w:val="003D030C"/>
    <w:rsid w:val="003D13F4"/>
    <w:rsid w:val="003D3D3C"/>
    <w:rsid w:val="003D69F4"/>
    <w:rsid w:val="003D6F56"/>
    <w:rsid w:val="003E067F"/>
    <w:rsid w:val="003E0864"/>
    <w:rsid w:val="003E4CE0"/>
    <w:rsid w:val="003E5325"/>
    <w:rsid w:val="003F2370"/>
    <w:rsid w:val="003F2B36"/>
    <w:rsid w:val="003F3512"/>
    <w:rsid w:val="003F3ACA"/>
    <w:rsid w:val="003F5748"/>
    <w:rsid w:val="003F5BA5"/>
    <w:rsid w:val="003F6D45"/>
    <w:rsid w:val="003F7470"/>
    <w:rsid w:val="003F761B"/>
    <w:rsid w:val="0040037C"/>
    <w:rsid w:val="004005C4"/>
    <w:rsid w:val="0040142C"/>
    <w:rsid w:val="00402537"/>
    <w:rsid w:val="00402B7E"/>
    <w:rsid w:val="00404CE3"/>
    <w:rsid w:val="004054EA"/>
    <w:rsid w:val="00406E8D"/>
    <w:rsid w:val="004078E5"/>
    <w:rsid w:val="00407CC5"/>
    <w:rsid w:val="0041009D"/>
    <w:rsid w:val="00410184"/>
    <w:rsid w:val="00423AF2"/>
    <w:rsid w:val="00423F0F"/>
    <w:rsid w:val="00427FB7"/>
    <w:rsid w:val="00430456"/>
    <w:rsid w:val="00430484"/>
    <w:rsid w:val="00430D8E"/>
    <w:rsid w:val="004316ED"/>
    <w:rsid w:val="004333C2"/>
    <w:rsid w:val="00433506"/>
    <w:rsid w:val="004335F8"/>
    <w:rsid w:val="00434911"/>
    <w:rsid w:val="00436219"/>
    <w:rsid w:val="00437E02"/>
    <w:rsid w:val="0044079B"/>
    <w:rsid w:val="0044088D"/>
    <w:rsid w:val="00440E25"/>
    <w:rsid w:val="00441B9F"/>
    <w:rsid w:val="00443693"/>
    <w:rsid w:val="00443929"/>
    <w:rsid w:val="004511FA"/>
    <w:rsid w:val="00453720"/>
    <w:rsid w:val="00454420"/>
    <w:rsid w:val="004553CD"/>
    <w:rsid w:val="004563F7"/>
    <w:rsid w:val="0045656F"/>
    <w:rsid w:val="00456F3B"/>
    <w:rsid w:val="004576CF"/>
    <w:rsid w:val="00460ACC"/>
    <w:rsid w:val="004617F1"/>
    <w:rsid w:val="00461EBB"/>
    <w:rsid w:val="00464CA4"/>
    <w:rsid w:val="00465F13"/>
    <w:rsid w:val="00467CEA"/>
    <w:rsid w:val="00472370"/>
    <w:rsid w:val="004739E4"/>
    <w:rsid w:val="00473C61"/>
    <w:rsid w:val="00473D52"/>
    <w:rsid w:val="00474256"/>
    <w:rsid w:val="00474BC8"/>
    <w:rsid w:val="00476C64"/>
    <w:rsid w:val="0047727E"/>
    <w:rsid w:val="00480239"/>
    <w:rsid w:val="00481348"/>
    <w:rsid w:val="0048274D"/>
    <w:rsid w:val="00482CC1"/>
    <w:rsid w:val="00491201"/>
    <w:rsid w:val="0049172F"/>
    <w:rsid w:val="00492D29"/>
    <w:rsid w:val="004950FA"/>
    <w:rsid w:val="004A22A6"/>
    <w:rsid w:val="004A336F"/>
    <w:rsid w:val="004A6228"/>
    <w:rsid w:val="004A6541"/>
    <w:rsid w:val="004A6C67"/>
    <w:rsid w:val="004A7646"/>
    <w:rsid w:val="004A7D6E"/>
    <w:rsid w:val="004B0069"/>
    <w:rsid w:val="004B3F34"/>
    <w:rsid w:val="004B5B81"/>
    <w:rsid w:val="004B604D"/>
    <w:rsid w:val="004B722D"/>
    <w:rsid w:val="004B724D"/>
    <w:rsid w:val="004C0850"/>
    <w:rsid w:val="004C272B"/>
    <w:rsid w:val="004C42BF"/>
    <w:rsid w:val="004C60FA"/>
    <w:rsid w:val="004D0BE7"/>
    <w:rsid w:val="004D2295"/>
    <w:rsid w:val="004D30E5"/>
    <w:rsid w:val="004D4CE9"/>
    <w:rsid w:val="004D5C37"/>
    <w:rsid w:val="004D649E"/>
    <w:rsid w:val="004E1497"/>
    <w:rsid w:val="004E19ED"/>
    <w:rsid w:val="004E654C"/>
    <w:rsid w:val="004E6BEC"/>
    <w:rsid w:val="004E6C58"/>
    <w:rsid w:val="004E7371"/>
    <w:rsid w:val="004E7E84"/>
    <w:rsid w:val="004F20F9"/>
    <w:rsid w:val="004F2E92"/>
    <w:rsid w:val="004F43AA"/>
    <w:rsid w:val="004F49D5"/>
    <w:rsid w:val="004F6D98"/>
    <w:rsid w:val="004F7BD7"/>
    <w:rsid w:val="00500822"/>
    <w:rsid w:val="00500A5C"/>
    <w:rsid w:val="0050261C"/>
    <w:rsid w:val="00502EAD"/>
    <w:rsid w:val="00505F91"/>
    <w:rsid w:val="00510E35"/>
    <w:rsid w:val="00511281"/>
    <w:rsid w:val="005114C6"/>
    <w:rsid w:val="00512027"/>
    <w:rsid w:val="005146D4"/>
    <w:rsid w:val="00514A76"/>
    <w:rsid w:val="005154FD"/>
    <w:rsid w:val="005200D9"/>
    <w:rsid w:val="0052133F"/>
    <w:rsid w:val="00524885"/>
    <w:rsid w:val="005248F5"/>
    <w:rsid w:val="00525590"/>
    <w:rsid w:val="00525E0A"/>
    <w:rsid w:val="00526593"/>
    <w:rsid w:val="00527809"/>
    <w:rsid w:val="00532E1F"/>
    <w:rsid w:val="00532FA0"/>
    <w:rsid w:val="005350F4"/>
    <w:rsid w:val="00540DB9"/>
    <w:rsid w:val="005415A7"/>
    <w:rsid w:val="00542304"/>
    <w:rsid w:val="00543ED8"/>
    <w:rsid w:val="0054476B"/>
    <w:rsid w:val="00545FAA"/>
    <w:rsid w:val="00547CDE"/>
    <w:rsid w:val="00547D3D"/>
    <w:rsid w:val="0055029C"/>
    <w:rsid w:val="00550BB1"/>
    <w:rsid w:val="00552185"/>
    <w:rsid w:val="0055495B"/>
    <w:rsid w:val="00557213"/>
    <w:rsid w:val="00561891"/>
    <w:rsid w:val="005646CC"/>
    <w:rsid w:val="00565621"/>
    <w:rsid w:val="00566906"/>
    <w:rsid w:val="00566A55"/>
    <w:rsid w:val="0057002F"/>
    <w:rsid w:val="00570BC3"/>
    <w:rsid w:val="00571490"/>
    <w:rsid w:val="00573798"/>
    <w:rsid w:val="00573F62"/>
    <w:rsid w:val="0057503F"/>
    <w:rsid w:val="00575937"/>
    <w:rsid w:val="00575B41"/>
    <w:rsid w:val="00576873"/>
    <w:rsid w:val="0057688C"/>
    <w:rsid w:val="005772CC"/>
    <w:rsid w:val="005817F0"/>
    <w:rsid w:val="00582BBC"/>
    <w:rsid w:val="00584459"/>
    <w:rsid w:val="00587F50"/>
    <w:rsid w:val="0059023E"/>
    <w:rsid w:val="00590273"/>
    <w:rsid w:val="00590822"/>
    <w:rsid w:val="00590E9D"/>
    <w:rsid w:val="00593014"/>
    <w:rsid w:val="005932E1"/>
    <w:rsid w:val="00593432"/>
    <w:rsid w:val="005940D4"/>
    <w:rsid w:val="0059428E"/>
    <w:rsid w:val="005969E9"/>
    <w:rsid w:val="00597935"/>
    <w:rsid w:val="0059793E"/>
    <w:rsid w:val="005A02C9"/>
    <w:rsid w:val="005A1D4D"/>
    <w:rsid w:val="005A5140"/>
    <w:rsid w:val="005A6888"/>
    <w:rsid w:val="005A7E54"/>
    <w:rsid w:val="005B005B"/>
    <w:rsid w:val="005B053A"/>
    <w:rsid w:val="005B0911"/>
    <w:rsid w:val="005B0CF1"/>
    <w:rsid w:val="005B17C6"/>
    <w:rsid w:val="005B1B21"/>
    <w:rsid w:val="005B1EA0"/>
    <w:rsid w:val="005B31D4"/>
    <w:rsid w:val="005B7132"/>
    <w:rsid w:val="005B74A8"/>
    <w:rsid w:val="005C1952"/>
    <w:rsid w:val="005C25D1"/>
    <w:rsid w:val="005C328B"/>
    <w:rsid w:val="005C33F7"/>
    <w:rsid w:val="005C3441"/>
    <w:rsid w:val="005C3DED"/>
    <w:rsid w:val="005C44B8"/>
    <w:rsid w:val="005D0929"/>
    <w:rsid w:val="005D0C07"/>
    <w:rsid w:val="005D0D53"/>
    <w:rsid w:val="005D13E3"/>
    <w:rsid w:val="005D20FE"/>
    <w:rsid w:val="005D31DC"/>
    <w:rsid w:val="005D3356"/>
    <w:rsid w:val="005D35B9"/>
    <w:rsid w:val="005D4C24"/>
    <w:rsid w:val="005D659B"/>
    <w:rsid w:val="005D726A"/>
    <w:rsid w:val="005E0B13"/>
    <w:rsid w:val="005E3D82"/>
    <w:rsid w:val="005E44AA"/>
    <w:rsid w:val="005E4C99"/>
    <w:rsid w:val="005E4F70"/>
    <w:rsid w:val="005E5FF7"/>
    <w:rsid w:val="005E79FD"/>
    <w:rsid w:val="005F0221"/>
    <w:rsid w:val="005F0310"/>
    <w:rsid w:val="005F08E5"/>
    <w:rsid w:val="005F17F9"/>
    <w:rsid w:val="005F2038"/>
    <w:rsid w:val="005F2729"/>
    <w:rsid w:val="005F2856"/>
    <w:rsid w:val="005F392A"/>
    <w:rsid w:val="005F3A9D"/>
    <w:rsid w:val="005F416E"/>
    <w:rsid w:val="005F41C1"/>
    <w:rsid w:val="005F4BAC"/>
    <w:rsid w:val="005F5E53"/>
    <w:rsid w:val="005F6257"/>
    <w:rsid w:val="005F6B57"/>
    <w:rsid w:val="005F7248"/>
    <w:rsid w:val="005F77B2"/>
    <w:rsid w:val="005F7EA3"/>
    <w:rsid w:val="00600E54"/>
    <w:rsid w:val="0060220A"/>
    <w:rsid w:val="0060518E"/>
    <w:rsid w:val="00605F5F"/>
    <w:rsid w:val="00607034"/>
    <w:rsid w:val="00610512"/>
    <w:rsid w:val="00610BA2"/>
    <w:rsid w:val="00611681"/>
    <w:rsid w:val="00613C1C"/>
    <w:rsid w:val="006140B0"/>
    <w:rsid w:val="00614183"/>
    <w:rsid w:val="00614621"/>
    <w:rsid w:val="006151C5"/>
    <w:rsid w:val="006158DD"/>
    <w:rsid w:val="0061766F"/>
    <w:rsid w:val="00620590"/>
    <w:rsid w:val="00620A16"/>
    <w:rsid w:val="00622670"/>
    <w:rsid w:val="00625A19"/>
    <w:rsid w:val="00627041"/>
    <w:rsid w:val="0062719B"/>
    <w:rsid w:val="006278B6"/>
    <w:rsid w:val="00627BA0"/>
    <w:rsid w:val="00630D6B"/>
    <w:rsid w:val="006329C8"/>
    <w:rsid w:val="006330F8"/>
    <w:rsid w:val="006332C7"/>
    <w:rsid w:val="006341A7"/>
    <w:rsid w:val="00634956"/>
    <w:rsid w:val="0063500E"/>
    <w:rsid w:val="0063513F"/>
    <w:rsid w:val="00635343"/>
    <w:rsid w:val="00635401"/>
    <w:rsid w:val="006356AA"/>
    <w:rsid w:val="006375EE"/>
    <w:rsid w:val="00640597"/>
    <w:rsid w:val="00642A87"/>
    <w:rsid w:val="00642DDE"/>
    <w:rsid w:val="00643DC1"/>
    <w:rsid w:val="00644913"/>
    <w:rsid w:val="00644FB3"/>
    <w:rsid w:val="00645AB6"/>
    <w:rsid w:val="00645CBC"/>
    <w:rsid w:val="006465CB"/>
    <w:rsid w:val="00646FF6"/>
    <w:rsid w:val="0064719A"/>
    <w:rsid w:val="00652358"/>
    <w:rsid w:val="006533D7"/>
    <w:rsid w:val="006550E6"/>
    <w:rsid w:val="00655A0D"/>
    <w:rsid w:val="00656C2E"/>
    <w:rsid w:val="00656C32"/>
    <w:rsid w:val="00656F55"/>
    <w:rsid w:val="006578C8"/>
    <w:rsid w:val="006619C7"/>
    <w:rsid w:val="006625F3"/>
    <w:rsid w:val="0066374B"/>
    <w:rsid w:val="00664E41"/>
    <w:rsid w:val="00667098"/>
    <w:rsid w:val="00667653"/>
    <w:rsid w:val="0066767F"/>
    <w:rsid w:val="00670E32"/>
    <w:rsid w:val="00672EBE"/>
    <w:rsid w:val="006746B4"/>
    <w:rsid w:val="00674A5D"/>
    <w:rsid w:val="0067512C"/>
    <w:rsid w:val="00675246"/>
    <w:rsid w:val="006771E4"/>
    <w:rsid w:val="00677588"/>
    <w:rsid w:val="00677A26"/>
    <w:rsid w:val="00677E43"/>
    <w:rsid w:val="00680D89"/>
    <w:rsid w:val="00680EC8"/>
    <w:rsid w:val="00683329"/>
    <w:rsid w:val="00684024"/>
    <w:rsid w:val="006855A3"/>
    <w:rsid w:val="00686227"/>
    <w:rsid w:val="00691747"/>
    <w:rsid w:val="00693175"/>
    <w:rsid w:val="00693A56"/>
    <w:rsid w:val="006A0264"/>
    <w:rsid w:val="006A19E9"/>
    <w:rsid w:val="006A2F5E"/>
    <w:rsid w:val="006A394F"/>
    <w:rsid w:val="006A554A"/>
    <w:rsid w:val="006A6F23"/>
    <w:rsid w:val="006A760E"/>
    <w:rsid w:val="006A76FD"/>
    <w:rsid w:val="006A79ED"/>
    <w:rsid w:val="006B086F"/>
    <w:rsid w:val="006B28D5"/>
    <w:rsid w:val="006B343F"/>
    <w:rsid w:val="006B3570"/>
    <w:rsid w:val="006B448E"/>
    <w:rsid w:val="006B4D12"/>
    <w:rsid w:val="006B7922"/>
    <w:rsid w:val="006B79EC"/>
    <w:rsid w:val="006C3225"/>
    <w:rsid w:val="006C3B94"/>
    <w:rsid w:val="006C5203"/>
    <w:rsid w:val="006C5EC1"/>
    <w:rsid w:val="006C68BE"/>
    <w:rsid w:val="006C7A72"/>
    <w:rsid w:val="006D1461"/>
    <w:rsid w:val="006D28B7"/>
    <w:rsid w:val="006D3AA8"/>
    <w:rsid w:val="006D441F"/>
    <w:rsid w:val="006D539A"/>
    <w:rsid w:val="006D5FEA"/>
    <w:rsid w:val="006D7078"/>
    <w:rsid w:val="006D7692"/>
    <w:rsid w:val="006E1EDB"/>
    <w:rsid w:val="006E245C"/>
    <w:rsid w:val="006E529F"/>
    <w:rsid w:val="006E6051"/>
    <w:rsid w:val="006E6485"/>
    <w:rsid w:val="006E6C0D"/>
    <w:rsid w:val="006F01F7"/>
    <w:rsid w:val="006F05A5"/>
    <w:rsid w:val="006F1083"/>
    <w:rsid w:val="006F3215"/>
    <w:rsid w:val="006F3E6F"/>
    <w:rsid w:val="006F52E7"/>
    <w:rsid w:val="006F5BAA"/>
    <w:rsid w:val="006F6D8D"/>
    <w:rsid w:val="006F6FB2"/>
    <w:rsid w:val="006F7E45"/>
    <w:rsid w:val="006F7E57"/>
    <w:rsid w:val="00702777"/>
    <w:rsid w:val="00703F70"/>
    <w:rsid w:val="0070469C"/>
    <w:rsid w:val="007064CD"/>
    <w:rsid w:val="00707CC0"/>
    <w:rsid w:val="007103FB"/>
    <w:rsid w:val="007119BB"/>
    <w:rsid w:val="00711A7C"/>
    <w:rsid w:val="00711B96"/>
    <w:rsid w:val="00712AB4"/>
    <w:rsid w:val="0071393E"/>
    <w:rsid w:val="007156D7"/>
    <w:rsid w:val="00720369"/>
    <w:rsid w:val="00721924"/>
    <w:rsid w:val="00721FBD"/>
    <w:rsid w:val="00723427"/>
    <w:rsid w:val="00725B29"/>
    <w:rsid w:val="00725FA9"/>
    <w:rsid w:val="007275E3"/>
    <w:rsid w:val="00727A31"/>
    <w:rsid w:val="007314E6"/>
    <w:rsid w:val="007333AA"/>
    <w:rsid w:val="007335CB"/>
    <w:rsid w:val="007335FD"/>
    <w:rsid w:val="007339DF"/>
    <w:rsid w:val="00733A34"/>
    <w:rsid w:val="00734D1E"/>
    <w:rsid w:val="007358C4"/>
    <w:rsid w:val="00735DD9"/>
    <w:rsid w:val="007361E0"/>
    <w:rsid w:val="007370DA"/>
    <w:rsid w:val="007406B1"/>
    <w:rsid w:val="00740F15"/>
    <w:rsid w:val="0074118C"/>
    <w:rsid w:val="007424AD"/>
    <w:rsid w:val="00742571"/>
    <w:rsid w:val="00742B67"/>
    <w:rsid w:val="00743792"/>
    <w:rsid w:val="00743B64"/>
    <w:rsid w:val="00743FB7"/>
    <w:rsid w:val="00750A55"/>
    <w:rsid w:val="007532B6"/>
    <w:rsid w:val="00757F8C"/>
    <w:rsid w:val="0076438E"/>
    <w:rsid w:val="00764920"/>
    <w:rsid w:val="007659C4"/>
    <w:rsid w:val="007662CB"/>
    <w:rsid w:val="00770A77"/>
    <w:rsid w:val="007726BD"/>
    <w:rsid w:val="007727DF"/>
    <w:rsid w:val="00772F66"/>
    <w:rsid w:val="00774885"/>
    <w:rsid w:val="007757EA"/>
    <w:rsid w:val="0078086D"/>
    <w:rsid w:val="0078485C"/>
    <w:rsid w:val="00784E2D"/>
    <w:rsid w:val="007851F5"/>
    <w:rsid w:val="0078539B"/>
    <w:rsid w:val="00785EAC"/>
    <w:rsid w:val="0078611C"/>
    <w:rsid w:val="00790A97"/>
    <w:rsid w:val="00793066"/>
    <w:rsid w:val="0079377E"/>
    <w:rsid w:val="007965B2"/>
    <w:rsid w:val="00797D6A"/>
    <w:rsid w:val="007A11C2"/>
    <w:rsid w:val="007A1876"/>
    <w:rsid w:val="007A1A18"/>
    <w:rsid w:val="007A2666"/>
    <w:rsid w:val="007A2C62"/>
    <w:rsid w:val="007A5DDB"/>
    <w:rsid w:val="007A71F5"/>
    <w:rsid w:val="007B0D7D"/>
    <w:rsid w:val="007B0F54"/>
    <w:rsid w:val="007B1EA8"/>
    <w:rsid w:val="007B39E0"/>
    <w:rsid w:val="007B426D"/>
    <w:rsid w:val="007B45C1"/>
    <w:rsid w:val="007B5095"/>
    <w:rsid w:val="007B50C6"/>
    <w:rsid w:val="007B69D6"/>
    <w:rsid w:val="007B772A"/>
    <w:rsid w:val="007C0EE8"/>
    <w:rsid w:val="007C19BC"/>
    <w:rsid w:val="007C33E6"/>
    <w:rsid w:val="007C3F58"/>
    <w:rsid w:val="007D12A8"/>
    <w:rsid w:val="007D1BAA"/>
    <w:rsid w:val="007D2DAE"/>
    <w:rsid w:val="007D3F70"/>
    <w:rsid w:val="007D47E4"/>
    <w:rsid w:val="007D5539"/>
    <w:rsid w:val="007D5E3C"/>
    <w:rsid w:val="007D6132"/>
    <w:rsid w:val="007D6693"/>
    <w:rsid w:val="007D685F"/>
    <w:rsid w:val="007D725F"/>
    <w:rsid w:val="007D742A"/>
    <w:rsid w:val="007E0147"/>
    <w:rsid w:val="007E261E"/>
    <w:rsid w:val="007E3A7E"/>
    <w:rsid w:val="007E3AEA"/>
    <w:rsid w:val="007E5CAE"/>
    <w:rsid w:val="007E665B"/>
    <w:rsid w:val="007F1179"/>
    <w:rsid w:val="007F251C"/>
    <w:rsid w:val="007F2957"/>
    <w:rsid w:val="007F31A1"/>
    <w:rsid w:val="007F38EE"/>
    <w:rsid w:val="007F5423"/>
    <w:rsid w:val="007F5A07"/>
    <w:rsid w:val="007F63B7"/>
    <w:rsid w:val="007F7258"/>
    <w:rsid w:val="007F72D9"/>
    <w:rsid w:val="008008AA"/>
    <w:rsid w:val="00803A01"/>
    <w:rsid w:val="00803E71"/>
    <w:rsid w:val="0080459B"/>
    <w:rsid w:val="00805B05"/>
    <w:rsid w:val="00811420"/>
    <w:rsid w:val="00811630"/>
    <w:rsid w:val="00811961"/>
    <w:rsid w:val="00811C5F"/>
    <w:rsid w:val="00813753"/>
    <w:rsid w:val="00813E08"/>
    <w:rsid w:val="00813F7C"/>
    <w:rsid w:val="00814B90"/>
    <w:rsid w:val="00816031"/>
    <w:rsid w:val="008164FA"/>
    <w:rsid w:val="00820FD5"/>
    <w:rsid w:val="008244D6"/>
    <w:rsid w:val="00825B66"/>
    <w:rsid w:val="008306A8"/>
    <w:rsid w:val="00831568"/>
    <w:rsid w:val="0083230F"/>
    <w:rsid w:val="008330FD"/>
    <w:rsid w:val="008331A4"/>
    <w:rsid w:val="00833B69"/>
    <w:rsid w:val="00836209"/>
    <w:rsid w:val="008369D5"/>
    <w:rsid w:val="00837E00"/>
    <w:rsid w:val="008417E5"/>
    <w:rsid w:val="008440F4"/>
    <w:rsid w:val="0084477D"/>
    <w:rsid w:val="008450B7"/>
    <w:rsid w:val="008511AA"/>
    <w:rsid w:val="00852846"/>
    <w:rsid w:val="008528B1"/>
    <w:rsid w:val="008535B0"/>
    <w:rsid w:val="00855533"/>
    <w:rsid w:val="00855679"/>
    <w:rsid w:val="008566C8"/>
    <w:rsid w:val="00857D06"/>
    <w:rsid w:val="00857EF7"/>
    <w:rsid w:val="0086130E"/>
    <w:rsid w:val="00863E16"/>
    <w:rsid w:val="00864260"/>
    <w:rsid w:val="00867F51"/>
    <w:rsid w:val="008729F8"/>
    <w:rsid w:val="008743DD"/>
    <w:rsid w:val="00876493"/>
    <w:rsid w:val="00876967"/>
    <w:rsid w:val="008772F5"/>
    <w:rsid w:val="00877D9E"/>
    <w:rsid w:val="008807E5"/>
    <w:rsid w:val="00881A43"/>
    <w:rsid w:val="00881BE2"/>
    <w:rsid w:val="0088594F"/>
    <w:rsid w:val="008914EB"/>
    <w:rsid w:val="00892F05"/>
    <w:rsid w:val="008937E5"/>
    <w:rsid w:val="00893B8E"/>
    <w:rsid w:val="0089539F"/>
    <w:rsid w:val="008953B8"/>
    <w:rsid w:val="00897802"/>
    <w:rsid w:val="00897E1C"/>
    <w:rsid w:val="008A1D73"/>
    <w:rsid w:val="008A36AC"/>
    <w:rsid w:val="008A6FD8"/>
    <w:rsid w:val="008A743F"/>
    <w:rsid w:val="008B08C6"/>
    <w:rsid w:val="008B2088"/>
    <w:rsid w:val="008B361F"/>
    <w:rsid w:val="008B52D0"/>
    <w:rsid w:val="008B55EB"/>
    <w:rsid w:val="008B7827"/>
    <w:rsid w:val="008B7DCE"/>
    <w:rsid w:val="008C0846"/>
    <w:rsid w:val="008C2E61"/>
    <w:rsid w:val="008C4255"/>
    <w:rsid w:val="008C6540"/>
    <w:rsid w:val="008C670E"/>
    <w:rsid w:val="008C7148"/>
    <w:rsid w:val="008C7B0D"/>
    <w:rsid w:val="008D2E90"/>
    <w:rsid w:val="008D49FF"/>
    <w:rsid w:val="008D612A"/>
    <w:rsid w:val="008D7625"/>
    <w:rsid w:val="008E01D5"/>
    <w:rsid w:val="008E092E"/>
    <w:rsid w:val="008E0ABD"/>
    <w:rsid w:val="008E1F89"/>
    <w:rsid w:val="008E210A"/>
    <w:rsid w:val="008E212C"/>
    <w:rsid w:val="008E2225"/>
    <w:rsid w:val="008E225F"/>
    <w:rsid w:val="008E536A"/>
    <w:rsid w:val="008E684F"/>
    <w:rsid w:val="008E6C12"/>
    <w:rsid w:val="008E762A"/>
    <w:rsid w:val="008F0203"/>
    <w:rsid w:val="008F0A5C"/>
    <w:rsid w:val="008F1713"/>
    <w:rsid w:val="008F217A"/>
    <w:rsid w:val="008F25D4"/>
    <w:rsid w:val="008F4998"/>
    <w:rsid w:val="008F5209"/>
    <w:rsid w:val="008F5AB9"/>
    <w:rsid w:val="008F6786"/>
    <w:rsid w:val="008F7BF8"/>
    <w:rsid w:val="0090004A"/>
    <w:rsid w:val="00901BB8"/>
    <w:rsid w:val="00901C9F"/>
    <w:rsid w:val="00905F7F"/>
    <w:rsid w:val="009065D1"/>
    <w:rsid w:val="00906804"/>
    <w:rsid w:val="009076AC"/>
    <w:rsid w:val="009105DD"/>
    <w:rsid w:val="009107C6"/>
    <w:rsid w:val="00910A44"/>
    <w:rsid w:val="009123E1"/>
    <w:rsid w:val="00913C25"/>
    <w:rsid w:val="00914D8F"/>
    <w:rsid w:val="009203FA"/>
    <w:rsid w:val="00923641"/>
    <w:rsid w:val="00924279"/>
    <w:rsid w:val="00924339"/>
    <w:rsid w:val="00924767"/>
    <w:rsid w:val="00926E4B"/>
    <w:rsid w:val="009270D0"/>
    <w:rsid w:val="00927763"/>
    <w:rsid w:val="00927DD9"/>
    <w:rsid w:val="00930745"/>
    <w:rsid w:val="00930C16"/>
    <w:rsid w:val="00930DC8"/>
    <w:rsid w:val="0093199E"/>
    <w:rsid w:val="00931DC0"/>
    <w:rsid w:val="00932E18"/>
    <w:rsid w:val="00933056"/>
    <w:rsid w:val="00933188"/>
    <w:rsid w:val="009332DF"/>
    <w:rsid w:val="00934753"/>
    <w:rsid w:val="009349EF"/>
    <w:rsid w:val="009350AC"/>
    <w:rsid w:val="009369C9"/>
    <w:rsid w:val="00936F44"/>
    <w:rsid w:val="00940995"/>
    <w:rsid w:val="00942097"/>
    <w:rsid w:val="0094238C"/>
    <w:rsid w:val="00942C99"/>
    <w:rsid w:val="00943E17"/>
    <w:rsid w:val="00945CC5"/>
    <w:rsid w:val="009468BA"/>
    <w:rsid w:val="00947A7A"/>
    <w:rsid w:val="009524DB"/>
    <w:rsid w:val="00952C79"/>
    <w:rsid w:val="00953DE2"/>
    <w:rsid w:val="009549AE"/>
    <w:rsid w:val="00955210"/>
    <w:rsid w:val="00955E7E"/>
    <w:rsid w:val="00956E31"/>
    <w:rsid w:val="0096087B"/>
    <w:rsid w:val="009630FD"/>
    <w:rsid w:val="00964D41"/>
    <w:rsid w:val="0097046F"/>
    <w:rsid w:val="00976946"/>
    <w:rsid w:val="0097722C"/>
    <w:rsid w:val="0097744F"/>
    <w:rsid w:val="0097795A"/>
    <w:rsid w:val="00980852"/>
    <w:rsid w:val="00980A3C"/>
    <w:rsid w:val="00981AF4"/>
    <w:rsid w:val="009821CF"/>
    <w:rsid w:val="0098325A"/>
    <w:rsid w:val="00987C9F"/>
    <w:rsid w:val="00990E66"/>
    <w:rsid w:val="00991713"/>
    <w:rsid w:val="00991AAB"/>
    <w:rsid w:val="00991D93"/>
    <w:rsid w:val="00993161"/>
    <w:rsid w:val="00993779"/>
    <w:rsid w:val="00993ED6"/>
    <w:rsid w:val="00995087"/>
    <w:rsid w:val="00995A2E"/>
    <w:rsid w:val="009A33B3"/>
    <w:rsid w:val="009A43E8"/>
    <w:rsid w:val="009A5A5C"/>
    <w:rsid w:val="009B1064"/>
    <w:rsid w:val="009B1A28"/>
    <w:rsid w:val="009B2DBD"/>
    <w:rsid w:val="009B30C8"/>
    <w:rsid w:val="009B3DF6"/>
    <w:rsid w:val="009B4FAA"/>
    <w:rsid w:val="009B6C93"/>
    <w:rsid w:val="009B7144"/>
    <w:rsid w:val="009B7937"/>
    <w:rsid w:val="009B7E83"/>
    <w:rsid w:val="009C1DE2"/>
    <w:rsid w:val="009C229E"/>
    <w:rsid w:val="009C2927"/>
    <w:rsid w:val="009C29A8"/>
    <w:rsid w:val="009C2ADF"/>
    <w:rsid w:val="009C3A65"/>
    <w:rsid w:val="009C3CED"/>
    <w:rsid w:val="009C3F07"/>
    <w:rsid w:val="009C487F"/>
    <w:rsid w:val="009C6E84"/>
    <w:rsid w:val="009D10F8"/>
    <w:rsid w:val="009D5101"/>
    <w:rsid w:val="009D5459"/>
    <w:rsid w:val="009D5BFF"/>
    <w:rsid w:val="009D7079"/>
    <w:rsid w:val="009D7542"/>
    <w:rsid w:val="009D7F15"/>
    <w:rsid w:val="009E06E0"/>
    <w:rsid w:val="009E156B"/>
    <w:rsid w:val="009E4D27"/>
    <w:rsid w:val="009E57BA"/>
    <w:rsid w:val="009E5A8A"/>
    <w:rsid w:val="009F1521"/>
    <w:rsid w:val="009F38C8"/>
    <w:rsid w:val="009F4C3D"/>
    <w:rsid w:val="009F4F1F"/>
    <w:rsid w:val="009F547C"/>
    <w:rsid w:val="009F76A6"/>
    <w:rsid w:val="009F7C2C"/>
    <w:rsid w:val="00A01A69"/>
    <w:rsid w:val="00A0578A"/>
    <w:rsid w:val="00A059D8"/>
    <w:rsid w:val="00A05A7F"/>
    <w:rsid w:val="00A06930"/>
    <w:rsid w:val="00A072CC"/>
    <w:rsid w:val="00A07D3D"/>
    <w:rsid w:val="00A10CE3"/>
    <w:rsid w:val="00A11D3F"/>
    <w:rsid w:val="00A12A15"/>
    <w:rsid w:val="00A13383"/>
    <w:rsid w:val="00A13471"/>
    <w:rsid w:val="00A15092"/>
    <w:rsid w:val="00A155E7"/>
    <w:rsid w:val="00A15868"/>
    <w:rsid w:val="00A16BD9"/>
    <w:rsid w:val="00A17296"/>
    <w:rsid w:val="00A20AC5"/>
    <w:rsid w:val="00A253E0"/>
    <w:rsid w:val="00A25784"/>
    <w:rsid w:val="00A25B8D"/>
    <w:rsid w:val="00A26271"/>
    <w:rsid w:val="00A26788"/>
    <w:rsid w:val="00A30391"/>
    <w:rsid w:val="00A31689"/>
    <w:rsid w:val="00A324F6"/>
    <w:rsid w:val="00A355C8"/>
    <w:rsid w:val="00A3563A"/>
    <w:rsid w:val="00A36463"/>
    <w:rsid w:val="00A36755"/>
    <w:rsid w:val="00A37C41"/>
    <w:rsid w:val="00A405B1"/>
    <w:rsid w:val="00A41BAD"/>
    <w:rsid w:val="00A471F4"/>
    <w:rsid w:val="00A478A5"/>
    <w:rsid w:val="00A51E29"/>
    <w:rsid w:val="00A54F65"/>
    <w:rsid w:val="00A55030"/>
    <w:rsid w:val="00A5590C"/>
    <w:rsid w:val="00A55DA3"/>
    <w:rsid w:val="00A56DBD"/>
    <w:rsid w:val="00A57CB6"/>
    <w:rsid w:val="00A609BA"/>
    <w:rsid w:val="00A61B06"/>
    <w:rsid w:val="00A62053"/>
    <w:rsid w:val="00A62E10"/>
    <w:rsid w:val="00A6357E"/>
    <w:rsid w:val="00A640BF"/>
    <w:rsid w:val="00A648EB"/>
    <w:rsid w:val="00A650B6"/>
    <w:rsid w:val="00A66139"/>
    <w:rsid w:val="00A67200"/>
    <w:rsid w:val="00A70D43"/>
    <w:rsid w:val="00A70EFB"/>
    <w:rsid w:val="00A71723"/>
    <w:rsid w:val="00A71917"/>
    <w:rsid w:val="00A71B63"/>
    <w:rsid w:val="00A722A6"/>
    <w:rsid w:val="00A72D4D"/>
    <w:rsid w:val="00A734DB"/>
    <w:rsid w:val="00A761E8"/>
    <w:rsid w:val="00A7659F"/>
    <w:rsid w:val="00A77A9F"/>
    <w:rsid w:val="00A807C1"/>
    <w:rsid w:val="00A81BEE"/>
    <w:rsid w:val="00A83538"/>
    <w:rsid w:val="00A84366"/>
    <w:rsid w:val="00A87CD8"/>
    <w:rsid w:val="00A90E5F"/>
    <w:rsid w:val="00A94646"/>
    <w:rsid w:val="00A95564"/>
    <w:rsid w:val="00A97393"/>
    <w:rsid w:val="00AA166B"/>
    <w:rsid w:val="00AA29D6"/>
    <w:rsid w:val="00AA2FE9"/>
    <w:rsid w:val="00AA7427"/>
    <w:rsid w:val="00AA78A1"/>
    <w:rsid w:val="00AA7D6A"/>
    <w:rsid w:val="00AB2332"/>
    <w:rsid w:val="00AB3BC9"/>
    <w:rsid w:val="00AB4627"/>
    <w:rsid w:val="00AB534E"/>
    <w:rsid w:val="00AB551B"/>
    <w:rsid w:val="00AB5F0E"/>
    <w:rsid w:val="00AB6B2D"/>
    <w:rsid w:val="00AB759F"/>
    <w:rsid w:val="00AB7E56"/>
    <w:rsid w:val="00AC0B13"/>
    <w:rsid w:val="00AC0B5A"/>
    <w:rsid w:val="00AC3B2D"/>
    <w:rsid w:val="00AC4AE0"/>
    <w:rsid w:val="00AC5048"/>
    <w:rsid w:val="00AD0860"/>
    <w:rsid w:val="00AD1471"/>
    <w:rsid w:val="00AD2669"/>
    <w:rsid w:val="00AD5282"/>
    <w:rsid w:val="00AD5FBB"/>
    <w:rsid w:val="00AD60D1"/>
    <w:rsid w:val="00AD6863"/>
    <w:rsid w:val="00AD6870"/>
    <w:rsid w:val="00AD6BBC"/>
    <w:rsid w:val="00AD7331"/>
    <w:rsid w:val="00AD7C2F"/>
    <w:rsid w:val="00AE11A2"/>
    <w:rsid w:val="00AE12C1"/>
    <w:rsid w:val="00AE1839"/>
    <w:rsid w:val="00AE204D"/>
    <w:rsid w:val="00AE215D"/>
    <w:rsid w:val="00AE4322"/>
    <w:rsid w:val="00AE5C4D"/>
    <w:rsid w:val="00AE69C6"/>
    <w:rsid w:val="00AE6B6E"/>
    <w:rsid w:val="00AE78FC"/>
    <w:rsid w:val="00AF0256"/>
    <w:rsid w:val="00AF22DD"/>
    <w:rsid w:val="00AF26B0"/>
    <w:rsid w:val="00B0079D"/>
    <w:rsid w:val="00B01753"/>
    <w:rsid w:val="00B05DC9"/>
    <w:rsid w:val="00B0625F"/>
    <w:rsid w:val="00B0776A"/>
    <w:rsid w:val="00B113F6"/>
    <w:rsid w:val="00B12243"/>
    <w:rsid w:val="00B163AF"/>
    <w:rsid w:val="00B16450"/>
    <w:rsid w:val="00B171A3"/>
    <w:rsid w:val="00B2010E"/>
    <w:rsid w:val="00B20E47"/>
    <w:rsid w:val="00B20F08"/>
    <w:rsid w:val="00B21B3A"/>
    <w:rsid w:val="00B21E8E"/>
    <w:rsid w:val="00B23A76"/>
    <w:rsid w:val="00B24E85"/>
    <w:rsid w:val="00B25237"/>
    <w:rsid w:val="00B26688"/>
    <w:rsid w:val="00B30802"/>
    <w:rsid w:val="00B3184B"/>
    <w:rsid w:val="00B33578"/>
    <w:rsid w:val="00B365FD"/>
    <w:rsid w:val="00B4016A"/>
    <w:rsid w:val="00B4019D"/>
    <w:rsid w:val="00B4039A"/>
    <w:rsid w:val="00B409CA"/>
    <w:rsid w:val="00B4204A"/>
    <w:rsid w:val="00B44548"/>
    <w:rsid w:val="00B447A3"/>
    <w:rsid w:val="00B44EF4"/>
    <w:rsid w:val="00B4591B"/>
    <w:rsid w:val="00B47458"/>
    <w:rsid w:val="00B47575"/>
    <w:rsid w:val="00B5004D"/>
    <w:rsid w:val="00B56D80"/>
    <w:rsid w:val="00B603EC"/>
    <w:rsid w:val="00B629D0"/>
    <w:rsid w:val="00B641AB"/>
    <w:rsid w:val="00B66B2A"/>
    <w:rsid w:val="00B72BB9"/>
    <w:rsid w:val="00B733E5"/>
    <w:rsid w:val="00B7344C"/>
    <w:rsid w:val="00B744B1"/>
    <w:rsid w:val="00B7458A"/>
    <w:rsid w:val="00B74F2D"/>
    <w:rsid w:val="00B76FC5"/>
    <w:rsid w:val="00B771BD"/>
    <w:rsid w:val="00B77F60"/>
    <w:rsid w:val="00B811DC"/>
    <w:rsid w:val="00B81425"/>
    <w:rsid w:val="00B84396"/>
    <w:rsid w:val="00B84C0E"/>
    <w:rsid w:val="00B855F0"/>
    <w:rsid w:val="00B859CF"/>
    <w:rsid w:val="00B8671C"/>
    <w:rsid w:val="00B8795C"/>
    <w:rsid w:val="00B93189"/>
    <w:rsid w:val="00B93A71"/>
    <w:rsid w:val="00B95667"/>
    <w:rsid w:val="00B9620A"/>
    <w:rsid w:val="00B96514"/>
    <w:rsid w:val="00B96B13"/>
    <w:rsid w:val="00B97EC2"/>
    <w:rsid w:val="00B97FF9"/>
    <w:rsid w:val="00BA1B7F"/>
    <w:rsid w:val="00BA222D"/>
    <w:rsid w:val="00BA2948"/>
    <w:rsid w:val="00BA3028"/>
    <w:rsid w:val="00BA3C16"/>
    <w:rsid w:val="00BA3C6D"/>
    <w:rsid w:val="00BA4138"/>
    <w:rsid w:val="00BA52B4"/>
    <w:rsid w:val="00BA5B09"/>
    <w:rsid w:val="00BA66B5"/>
    <w:rsid w:val="00BA6732"/>
    <w:rsid w:val="00BA6A93"/>
    <w:rsid w:val="00BA7D3B"/>
    <w:rsid w:val="00BB1130"/>
    <w:rsid w:val="00BB17BF"/>
    <w:rsid w:val="00BB2F21"/>
    <w:rsid w:val="00BB4FFB"/>
    <w:rsid w:val="00BB5343"/>
    <w:rsid w:val="00BB666B"/>
    <w:rsid w:val="00BB7DA5"/>
    <w:rsid w:val="00BB7EB6"/>
    <w:rsid w:val="00BC1A57"/>
    <w:rsid w:val="00BC2452"/>
    <w:rsid w:val="00BC266D"/>
    <w:rsid w:val="00BC4BB3"/>
    <w:rsid w:val="00BC5871"/>
    <w:rsid w:val="00BC6FEF"/>
    <w:rsid w:val="00BC7385"/>
    <w:rsid w:val="00BC7857"/>
    <w:rsid w:val="00BD037F"/>
    <w:rsid w:val="00BD1869"/>
    <w:rsid w:val="00BD20DE"/>
    <w:rsid w:val="00BD2E58"/>
    <w:rsid w:val="00BD48A2"/>
    <w:rsid w:val="00BD56F6"/>
    <w:rsid w:val="00BD5E5C"/>
    <w:rsid w:val="00BD67F2"/>
    <w:rsid w:val="00BE0ACC"/>
    <w:rsid w:val="00BE2533"/>
    <w:rsid w:val="00BE3CCE"/>
    <w:rsid w:val="00BE4FE2"/>
    <w:rsid w:val="00BE5D24"/>
    <w:rsid w:val="00BE6CF3"/>
    <w:rsid w:val="00BF031F"/>
    <w:rsid w:val="00BF11D2"/>
    <w:rsid w:val="00BF3D79"/>
    <w:rsid w:val="00BF42FD"/>
    <w:rsid w:val="00BF4694"/>
    <w:rsid w:val="00BF491E"/>
    <w:rsid w:val="00BF571D"/>
    <w:rsid w:val="00BF5948"/>
    <w:rsid w:val="00C019D3"/>
    <w:rsid w:val="00C02431"/>
    <w:rsid w:val="00C02DF3"/>
    <w:rsid w:val="00C057F7"/>
    <w:rsid w:val="00C06719"/>
    <w:rsid w:val="00C0728E"/>
    <w:rsid w:val="00C116BD"/>
    <w:rsid w:val="00C122E1"/>
    <w:rsid w:val="00C126C5"/>
    <w:rsid w:val="00C127DA"/>
    <w:rsid w:val="00C128F2"/>
    <w:rsid w:val="00C12A44"/>
    <w:rsid w:val="00C12E67"/>
    <w:rsid w:val="00C13B6C"/>
    <w:rsid w:val="00C14480"/>
    <w:rsid w:val="00C15A49"/>
    <w:rsid w:val="00C16601"/>
    <w:rsid w:val="00C1764B"/>
    <w:rsid w:val="00C21056"/>
    <w:rsid w:val="00C217E5"/>
    <w:rsid w:val="00C2305C"/>
    <w:rsid w:val="00C23559"/>
    <w:rsid w:val="00C24177"/>
    <w:rsid w:val="00C275CD"/>
    <w:rsid w:val="00C2790E"/>
    <w:rsid w:val="00C309C0"/>
    <w:rsid w:val="00C314D9"/>
    <w:rsid w:val="00C31D7F"/>
    <w:rsid w:val="00C3212E"/>
    <w:rsid w:val="00C35E78"/>
    <w:rsid w:val="00C37C55"/>
    <w:rsid w:val="00C42F38"/>
    <w:rsid w:val="00C434AD"/>
    <w:rsid w:val="00C43D0C"/>
    <w:rsid w:val="00C43EED"/>
    <w:rsid w:val="00C43F06"/>
    <w:rsid w:val="00C44177"/>
    <w:rsid w:val="00C44408"/>
    <w:rsid w:val="00C44C9F"/>
    <w:rsid w:val="00C44D61"/>
    <w:rsid w:val="00C45A28"/>
    <w:rsid w:val="00C470EA"/>
    <w:rsid w:val="00C47913"/>
    <w:rsid w:val="00C50588"/>
    <w:rsid w:val="00C50952"/>
    <w:rsid w:val="00C511E9"/>
    <w:rsid w:val="00C54EFF"/>
    <w:rsid w:val="00C55C1B"/>
    <w:rsid w:val="00C55F9C"/>
    <w:rsid w:val="00C569F3"/>
    <w:rsid w:val="00C608B8"/>
    <w:rsid w:val="00C60920"/>
    <w:rsid w:val="00C6325B"/>
    <w:rsid w:val="00C64069"/>
    <w:rsid w:val="00C64073"/>
    <w:rsid w:val="00C64984"/>
    <w:rsid w:val="00C732AD"/>
    <w:rsid w:val="00C737CA"/>
    <w:rsid w:val="00C73D06"/>
    <w:rsid w:val="00C756A9"/>
    <w:rsid w:val="00C757C7"/>
    <w:rsid w:val="00C758E1"/>
    <w:rsid w:val="00C75AB3"/>
    <w:rsid w:val="00C76CB4"/>
    <w:rsid w:val="00C77F49"/>
    <w:rsid w:val="00C81961"/>
    <w:rsid w:val="00C81AD4"/>
    <w:rsid w:val="00C81E1D"/>
    <w:rsid w:val="00C8201F"/>
    <w:rsid w:val="00C82778"/>
    <w:rsid w:val="00C86FBF"/>
    <w:rsid w:val="00C877C0"/>
    <w:rsid w:val="00C913A7"/>
    <w:rsid w:val="00C95C0C"/>
    <w:rsid w:val="00C95E75"/>
    <w:rsid w:val="00C977BC"/>
    <w:rsid w:val="00C97A36"/>
    <w:rsid w:val="00CA0418"/>
    <w:rsid w:val="00CA3588"/>
    <w:rsid w:val="00CA3E2C"/>
    <w:rsid w:val="00CA477D"/>
    <w:rsid w:val="00CA6AAF"/>
    <w:rsid w:val="00CA75DB"/>
    <w:rsid w:val="00CA7943"/>
    <w:rsid w:val="00CB14BE"/>
    <w:rsid w:val="00CB31F6"/>
    <w:rsid w:val="00CB3431"/>
    <w:rsid w:val="00CB7C48"/>
    <w:rsid w:val="00CB7E29"/>
    <w:rsid w:val="00CC451D"/>
    <w:rsid w:val="00CC5BEB"/>
    <w:rsid w:val="00CC5F78"/>
    <w:rsid w:val="00CC63EA"/>
    <w:rsid w:val="00CC7957"/>
    <w:rsid w:val="00CD0EDE"/>
    <w:rsid w:val="00CD1332"/>
    <w:rsid w:val="00CD1B23"/>
    <w:rsid w:val="00CD2B76"/>
    <w:rsid w:val="00CD2EB0"/>
    <w:rsid w:val="00CD4608"/>
    <w:rsid w:val="00CD4787"/>
    <w:rsid w:val="00CD4CF3"/>
    <w:rsid w:val="00CD5EA4"/>
    <w:rsid w:val="00CD73EC"/>
    <w:rsid w:val="00CE2F1F"/>
    <w:rsid w:val="00CE405B"/>
    <w:rsid w:val="00CE4A3C"/>
    <w:rsid w:val="00CE5214"/>
    <w:rsid w:val="00CE7DE4"/>
    <w:rsid w:val="00CF0AB4"/>
    <w:rsid w:val="00CF1E1F"/>
    <w:rsid w:val="00CF27C1"/>
    <w:rsid w:val="00CF2DAD"/>
    <w:rsid w:val="00CF7416"/>
    <w:rsid w:val="00CF74AB"/>
    <w:rsid w:val="00D00390"/>
    <w:rsid w:val="00D02930"/>
    <w:rsid w:val="00D0325C"/>
    <w:rsid w:val="00D04F32"/>
    <w:rsid w:val="00D050B6"/>
    <w:rsid w:val="00D05F6D"/>
    <w:rsid w:val="00D06113"/>
    <w:rsid w:val="00D0674A"/>
    <w:rsid w:val="00D07879"/>
    <w:rsid w:val="00D10395"/>
    <w:rsid w:val="00D105F9"/>
    <w:rsid w:val="00D1155A"/>
    <w:rsid w:val="00D11E9C"/>
    <w:rsid w:val="00D127D5"/>
    <w:rsid w:val="00D13952"/>
    <w:rsid w:val="00D13D96"/>
    <w:rsid w:val="00D13EE2"/>
    <w:rsid w:val="00D13FEC"/>
    <w:rsid w:val="00D14D23"/>
    <w:rsid w:val="00D15578"/>
    <w:rsid w:val="00D155E1"/>
    <w:rsid w:val="00D1580A"/>
    <w:rsid w:val="00D20D08"/>
    <w:rsid w:val="00D2164E"/>
    <w:rsid w:val="00D2191B"/>
    <w:rsid w:val="00D21CE4"/>
    <w:rsid w:val="00D2249E"/>
    <w:rsid w:val="00D23D1E"/>
    <w:rsid w:val="00D24A20"/>
    <w:rsid w:val="00D25418"/>
    <w:rsid w:val="00D254BA"/>
    <w:rsid w:val="00D26453"/>
    <w:rsid w:val="00D264AB"/>
    <w:rsid w:val="00D26ED2"/>
    <w:rsid w:val="00D26EEB"/>
    <w:rsid w:val="00D30651"/>
    <w:rsid w:val="00D31822"/>
    <w:rsid w:val="00D334DA"/>
    <w:rsid w:val="00D3373E"/>
    <w:rsid w:val="00D35296"/>
    <w:rsid w:val="00D36265"/>
    <w:rsid w:val="00D37085"/>
    <w:rsid w:val="00D42489"/>
    <w:rsid w:val="00D45025"/>
    <w:rsid w:val="00D4554F"/>
    <w:rsid w:val="00D45769"/>
    <w:rsid w:val="00D46486"/>
    <w:rsid w:val="00D468B2"/>
    <w:rsid w:val="00D47653"/>
    <w:rsid w:val="00D50C9E"/>
    <w:rsid w:val="00D517E7"/>
    <w:rsid w:val="00D52A9F"/>
    <w:rsid w:val="00D52B46"/>
    <w:rsid w:val="00D54C9A"/>
    <w:rsid w:val="00D557BF"/>
    <w:rsid w:val="00D565F4"/>
    <w:rsid w:val="00D56696"/>
    <w:rsid w:val="00D627BB"/>
    <w:rsid w:val="00D63C35"/>
    <w:rsid w:val="00D64D3C"/>
    <w:rsid w:val="00D6516B"/>
    <w:rsid w:val="00D6535E"/>
    <w:rsid w:val="00D65CDF"/>
    <w:rsid w:val="00D65D15"/>
    <w:rsid w:val="00D7066F"/>
    <w:rsid w:val="00D70B30"/>
    <w:rsid w:val="00D71C49"/>
    <w:rsid w:val="00D721A9"/>
    <w:rsid w:val="00D75482"/>
    <w:rsid w:val="00D83183"/>
    <w:rsid w:val="00D83635"/>
    <w:rsid w:val="00D8386E"/>
    <w:rsid w:val="00D84031"/>
    <w:rsid w:val="00D8642B"/>
    <w:rsid w:val="00D869D4"/>
    <w:rsid w:val="00D902AF"/>
    <w:rsid w:val="00D9240D"/>
    <w:rsid w:val="00D931DD"/>
    <w:rsid w:val="00D95E8D"/>
    <w:rsid w:val="00D9674B"/>
    <w:rsid w:val="00DA73A3"/>
    <w:rsid w:val="00DB022D"/>
    <w:rsid w:val="00DB0B3D"/>
    <w:rsid w:val="00DB248B"/>
    <w:rsid w:val="00DB2712"/>
    <w:rsid w:val="00DB3B3E"/>
    <w:rsid w:val="00DB6B22"/>
    <w:rsid w:val="00DB6B54"/>
    <w:rsid w:val="00DB7020"/>
    <w:rsid w:val="00DC1117"/>
    <w:rsid w:val="00DC1B16"/>
    <w:rsid w:val="00DC1C6C"/>
    <w:rsid w:val="00DC2A71"/>
    <w:rsid w:val="00DC4D0E"/>
    <w:rsid w:val="00DC5516"/>
    <w:rsid w:val="00DC5FDF"/>
    <w:rsid w:val="00DC63E9"/>
    <w:rsid w:val="00DC6DEF"/>
    <w:rsid w:val="00DC7622"/>
    <w:rsid w:val="00DD0D2F"/>
    <w:rsid w:val="00DD100F"/>
    <w:rsid w:val="00DD1610"/>
    <w:rsid w:val="00DD1B12"/>
    <w:rsid w:val="00DD3C99"/>
    <w:rsid w:val="00DD5317"/>
    <w:rsid w:val="00DD6769"/>
    <w:rsid w:val="00DE4BAB"/>
    <w:rsid w:val="00DE512F"/>
    <w:rsid w:val="00DE550A"/>
    <w:rsid w:val="00DE6750"/>
    <w:rsid w:val="00DE70A4"/>
    <w:rsid w:val="00DF14A2"/>
    <w:rsid w:val="00DF1597"/>
    <w:rsid w:val="00DF1D25"/>
    <w:rsid w:val="00DF2DEA"/>
    <w:rsid w:val="00DF41CD"/>
    <w:rsid w:val="00DF58B9"/>
    <w:rsid w:val="00DF678C"/>
    <w:rsid w:val="00DF7084"/>
    <w:rsid w:val="00E00892"/>
    <w:rsid w:val="00E00D74"/>
    <w:rsid w:val="00E045C6"/>
    <w:rsid w:val="00E04748"/>
    <w:rsid w:val="00E0620F"/>
    <w:rsid w:val="00E12B6B"/>
    <w:rsid w:val="00E13BEE"/>
    <w:rsid w:val="00E153D4"/>
    <w:rsid w:val="00E16E1B"/>
    <w:rsid w:val="00E17C08"/>
    <w:rsid w:val="00E20937"/>
    <w:rsid w:val="00E21A0B"/>
    <w:rsid w:val="00E22A81"/>
    <w:rsid w:val="00E234E4"/>
    <w:rsid w:val="00E2355E"/>
    <w:rsid w:val="00E24F02"/>
    <w:rsid w:val="00E30648"/>
    <w:rsid w:val="00E3412C"/>
    <w:rsid w:val="00E3567D"/>
    <w:rsid w:val="00E359E6"/>
    <w:rsid w:val="00E37A64"/>
    <w:rsid w:val="00E42799"/>
    <w:rsid w:val="00E462EA"/>
    <w:rsid w:val="00E477EB"/>
    <w:rsid w:val="00E47A01"/>
    <w:rsid w:val="00E47A74"/>
    <w:rsid w:val="00E5200B"/>
    <w:rsid w:val="00E5249D"/>
    <w:rsid w:val="00E5283F"/>
    <w:rsid w:val="00E53E47"/>
    <w:rsid w:val="00E5759F"/>
    <w:rsid w:val="00E57B9F"/>
    <w:rsid w:val="00E60A23"/>
    <w:rsid w:val="00E64BB0"/>
    <w:rsid w:val="00E7004B"/>
    <w:rsid w:val="00E707D7"/>
    <w:rsid w:val="00E72099"/>
    <w:rsid w:val="00E72699"/>
    <w:rsid w:val="00E74C2E"/>
    <w:rsid w:val="00E75232"/>
    <w:rsid w:val="00E764A8"/>
    <w:rsid w:val="00E76A23"/>
    <w:rsid w:val="00E76FF7"/>
    <w:rsid w:val="00E800E6"/>
    <w:rsid w:val="00E8011F"/>
    <w:rsid w:val="00E805E5"/>
    <w:rsid w:val="00E828C8"/>
    <w:rsid w:val="00E83DC8"/>
    <w:rsid w:val="00E84A0D"/>
    <w:rsid w:val="00E85B32"/>
    <w:rsid w:val="00E87592"/>
    <w:rsid w:val="00E8794D"/>
    <w:rsid w:val="00E87A3B"/>
    <w:rsid w:val="00E9147C"/>
    <w:rsid w:val="00E95C66"/>
    <w:rsid w:val="00E9603E"/>
    <w:rsid w:val="00E960DE"/>
    <w:rsid w:val="00E96496"/>
    <w:rsid w:val="00E97CCC"/>
    <w:rsid w:val="00EA0517"/>
    <w:rsid w:val="00EA0BF7"/>
    <w:rsid w:val="00EA4A51"/>
    <w:rsid w:val="00EA4F50"/>
    <w:rsid w:val="00EA5BF9"/>
    <w:rsid w:val="00EA6BAD"/>
    <w:rsid w:val="00EA6C9E"/>
    <w:rsid w:val="00EA70BD"/>
    <w:rsid w:val="00EA7158"/>
    <w:rsid w:val="00EA7790"/>
    <w:rsid w:val="00EA7FC9"/>
    <w:rsid w:val="00EB1213"/>
    <w:rsid w:val="00EB3555"/>
    <w:rsid w:val="00EB3C45"/>
    <w:rsid w:val="00EB3F9D"/>
    <w:rsid w:val="00EC02F8"/>
    <w:rsid w:val="00EC0568"/>
    <w:rsid w:val="00EC2508"/>
    <w:rsid w:val="00EC31FB"/>
    <w:rsid w:val="00EC3C25"/>
    <w:rsid w:val="00EC3C84"/>
    <w:rsid w:val="00EC3F22"/>
    <w:rsid w:val="00EC4BA6"/>
    <w:rsid w:val="00ED00E0"/>
    <w:rsid w:val="00ED1802"/>
    <w:rsid w:val="00ED2112"/>
    <w:rsid w:val="00ED2AFB"/>
    <w:rsid w:val="00ED3286"/>
    <w:rsid w:val="00ED3B49"/>
    <w:rsid w:val="00EE0F86"/>
    <w:rsid w:val="00EE14FA"/>
    <w:rsid w:val="00EE25A3"/>
    <w:rsid w:val="00EE3324"/>
    <w:rsid w:val="00EE3B5D"/>
    <w:rsid w:val="00EE3BE0"/>
    <w:rsid w:val="00EE3F06"/>
    <w:rsid w:val="00EE4852"/>
    <w:rsid w:val="00EE5498"/>
    <w:rsid w:val="00EE63B8"/>
    <w:rsid w:val="00EE749A"/>
    <w:rsid w:val="00EF0BA8"/>
    <w:rsid w:val="00EF0C42"/>
    <w:rsid w:val="00EF126A"/>
    <w:rsid w:val="00EF41AD"/>
    <w:rsid w:val="00EF7805"/>
    <w:rsid w:val="00EF7DBF"/>
    <w:rsid w:val="00F0347B"/>
    <w:rsid w:val="00F04266"/>
    <w:rsid w:val="00F05765"/>
    <w:rsid w:val="00F0581D"/>
    <w:rsid w:val="00F1054C"/>
    <w:rsid w:val="00F10871"/>
    <w:rsid w:val="00F13E07"/>
    <w:rsid w:val="00F15A2A"/>
    <w:rsid w:val="00F1686E"/>
    <w:rsid w:val="00F17073"/>
    <w:rsid w:val="00F170C3"/>
    <w:rsid w:val="00F21918"/>
    <w:rsid w:val="00F2280B"/>
    <w:rsid w:val="00F24959"/>
    <w:rsid w:val="00F24F50"/>
    <w:rsid w:val="00F25D37"/>
    <w:rsid w:val="00F26303"/>
    <w:rsid w:val="00F2662C"/>
    <w:rsid w:val="00F2694A"/>
    <w:rsid w:val="00F26CA3"/>
    <w:rsid w:val="00F3242F"/>
    <w:rsid w:val="00F3361D"/>
    <w:rsid w:val="00F34BA4"/>
    <w:rsid w:val="00F35006"/>
    <w:rsid w:val="00F35D01"/>
    <w:rsid w:val="00F35D45"/>
    <w:rsid w:val="00F37AA4"/>
    <w:rsid w:val="00F402BA"/>
    <w:rsid w:val="00F40565"/>
    <w:rsid w:val="00F42666"/>
    <w:rsid w:val="00F4406D"/>
    <w:rsid w:val="00F44B91"/>
    <w:rsid w:val="00F47C94"/>
    <w:rsid w:val="00F47D60"/>
    <w:rsid w:val="00F50EB8"/>
    <w:rsid w:val="00F51D11"/>
    <w:rsid w:val="00F52316"/>
    <w:rsid w:val="00F527EC"/>
    <w:rsid w:val="00F53815"/>
    <w:rsid w:val="00F540E0"/>
    <w:rsid w:val="00F5470F"/>
    <w:rsid w:val="00F55D93"/>
    <w:rsid w:val="00F55DFB"/>
    <w:rsid w:val="00F55EF6"/>
    <w:rsid w:val="00F57609"/>
    <w:rsid w:val="00F57DDC"/>
    <w:rsid w:val="00F608DA"/>
    <w:rsid w:val="00F6148B"/>
    <w:rsid w:val="00F620BF"/>
    <w:rsid w:val="00F624EA"/>
    <w:rsid w:val="00F62A01"/>
    <w:rsid w:val="00F62EA1"/>
    <w:rsid w:val="00F63167"/>
    <w:rsid w:val="00F63844"/>
    <w:rsid w:val="00F64295"/>
    <w:rsid w:val="00F642D0"/>
    <w:rsid w:val="00F65F58"/>
    <w:rsid w:val="00F667C5"/>
    <w:rsid w:val="00F669BF"/>
    <w:rsid w:val="00F66B7C"/>
    <w:rsid w:val="00F673E3"/>
    <w:rsid w:val="00F67CCA"/>
    <w:rsid w:val="00F712BE"/>
    <w:rsid w:val="00F720FC"/>
    <w:rsid w:val="00F72CEF"/>
    <w:rsid w:val="00F74FE2"/>
    <w:rsid w:val="00F75CD8"/>
    <w:rsid w:val="00F763F5"/>
    <w:rsid w:val="00F77544"/>
    <w:rsid w:val="00F80B60"/>
    <w:rsid w:val="00F82396"/>
    <w:rsid w:val="00F86E41"/>
    <w:rsid w:val="00F9006B"/>
    <w:rsid w:val="00F900C7"/>
    <w:rsid w:val="00F901A2"/>
    <w:rsid w:val="00F90D0B"/>
    <w:rsid w:val="00F919E1"/>
    <w:rsid w:val="00F91A92"/>
    <w:rsid w:val="00F9328D"/>
    <w:rsid w:val="00F954E4"/>
    <w:rsid w:val="00F95DC2"/>
    <w:rsid w:val="00FA000C"/>
    <w:rsid w:val="00FA10B7"/>
    <w:rsid w:val="00FA1234"/>
    <w:rsid w:val="00FA1D4B"/>
    <w:rsid w:val="00FA252E"/>
    <w:rsid w:val="00FA274F"/>
    <w:rsid w:val="00FA2C71"/>
    <w:rsid w:val="00FA3254"/>
    <w:rsid w:val="00FA3E6B"/>
    <w:rsid w:val="00FA53E6"/>
    <w:rsid w:val="00FA6893"/>
    <w:rsid w:val="00FA7A78"/>
    <w:rsid w:val="00FB0227"/>
    <w:rsid w:val="00FB1775"/>
    <w:rsid w:val="00FB32DC"/>
    <w:rsid w:val="00FB6D13"/>
    <w:rsid w:val="00FB703F"/>
    <w:rsid w:val="00FC0308"/>
    <w:rsid w:val="00FC0554"/>
    <w:rsid w:val="00FC11EF"/>
    <w:rsid w:val="00FC1394"/>
    <w:rsid w:val="00FC220A"/>
    <w:rsid w:val="00FC254A"/>
    <w:rsid w:val="00FC2698"/>
    <w:rsid w:val="00FC26F7"/>
    <w:rsid w:val="00FC2C3D"/>
    <w:rsid w:val="00FC2CFA"/>
    <w:rsid w:val="00FC31F3"/>
    <w:rsid w:val="00FC4A97"/>
    <w:rsid w:val="00FC5195"/>
    <w:rsid w:val="00FC59EE"/>
    <w:rsid w:val="00FC6F84"/>
    <w:rsid w:val="00FC782B"/>
    <w:rsid w:val="00FD0038"/>
    <w:rsid w:val="00FD063C"/>
    <w:rsid w:val="00FD0BF6"/>
    <w:rsid w:val="00FD20B8"/>
    <w:rsid w:val="00FD6014"/>
    <w:rsid w:val="00FD66A4"/>
    <w:rsid w:val="00FE0D66"/>
    <w:rsid w:val="00FE180D"/>
    <w:rsid w:val="00FE18E3"/>
    <w:rsid w:val="00FE29FD"/>
    <w:rsid w:val="00FE3402"/>
    <w:rsid w:val="00FE38D6"/>
    <w:rsid w:val="00FE42FF"/>
    <w:rsid w:val="00FE49BF"/>
    <w:rsid w:val="00FE5000"/>
    <w:rsid w:val="00FE60C2"/>
    <w:rsid w:val="00FE68A1"/>
    <w:rsid w:val="00FE7186"/>
    <w:rsid w:val="00FE7283"/>
    <w:rsid w:val="00FE7AED"/>
    <w:rsid w:val="00FE7B16"/>
    <w:rsid w:val="00FE7EDA"/>
    <w:rsid w:val="00FF10DF"/>
    <w:rsid w:val="00FF196E"/>
    <w:rsid w:val="00FF1CDF"/>
    <w:rsid w:val="00FF3F21"/>
    <w:rsid w:val="00FF665C"/>
    <w:rsid w:val="00FF7A77"/>
    <w:rsid w:val="00FF7E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 fillcolor="#0091ff" stroke="f">
      <v:fill color="#0091ff"/>
      <v:stroke on="f"/>
      <o:colormru v:ext="edit" colors="#f3e5d0,#e1e4d1,#c27b13,#677719,#e87b13,#e8d2cd,#cce1ee,#333b0c"/>
    </o:shapedefaults>
    <o:shapelayout v:ext="edit">
      <o:idmap v:ext="edit" data="1"/>
    </o:shapelayout>
  </w:shapeDefaults>
  <w:decimalSymbol w:val="."/>
  <w:listSeparator w:val=","/>
  <w14:docId w14:val="485AE38E"/>
  <w15:docId w15:val="{B674BF4F-FF9B-4994-8CF2-1470DEE96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66A4"/>
    <w:pPr>
      <w:spacing w:after="0" w:line="240" w:lineRule="auto"/>
    </w:pPr>
    <w:rPr>
      <w:rFonts w:ascii="Calibri" w:hAnsi="Calibri" w:cs="Times New Roman"/>
    </w:rPr>
  </w:style>
  <w:style w:type="paragraph" w:styleId="Heading1">
    <w:name w:val="heading 1"/>
    <w:basedOn w:val="Normal"/>
    <w:next w:val="BodyText"/>
    <w:link w:val="Heading1Char"/>
    <w:uiPriority w:val="9"/>
    <w:qFormat/>
    <w:rsid w:val="0070469C"/>
    <w:pPr>
      <w:keepNext/>
      <w:numPr>
        <w:numId w:val="3"/>
      </w:numPr>
      <w:tabs>
        <w:tab w:val="left" w:pos="360"/>
      </w:tabs>
      <w:spacing w:before="120" w:after="120"/>
      <w:ind w:left="360" w:hanging="360"/>
      <w:outlineLvl w:val="0"/>
    </w:pPr>
    <w:rPr>
      <w:rFonts w:eastAsia="Times New Roman" w:cs="Arial"/>
      <w:b/>
      <w:color w:val="0067AB" w:themeColor="accent1"/>
      <w:sz w:val="36"/>
      <w:szCs w:val="36"/>
    </w:rPr>
  </w:style>
  <w:style w:type="paragraph" w:styleId="Heading2">
    <w:name w:val="heading 2"/>
    <w:basedOn w:val="Heading1"/>
    <w:next w:val="BodyText"/>
    <w:link w:val="Heading2Char"/>
    <w:qFormat/>
    <w:rsid w:val="0070469C"/>
    <w:pPr>
      <w:numPr>
        <w:ilvl w:val="1"/>
      </w:numPr>
      <w:tabs>
        <w:tab w:val="clear" w:pos="360"/>
        <w:tab w:val="left" w:pos="630"/>
      </w:tabs>
      <w:spacing w:before="240" w:after="240"/>
      <w:outlineLvl w:val="1"/>
    </w:pPr>
    <w:rPr>
      <w:sz w:val="32"/>
      <w:szCs w:val="32"/>
    </w:rPr>
  </w:style>
  <w:style w:type="paragraph" w:styleId="Heading3">
    <w:name w:val="heading 3"/>
    <w:basedOn w:val="Heading2"/>
    <w:next w:val="BodyText"/>
    <w:link w:val="Heading3Char"/>
    <w:qFormat/>
    <w:rsid w:val="0070469C"/>
    <w:pPr>
      <w:numPr>
        <w:ilvl w:val="2"/>
      </w:numPr>
      <w:tabs>
        <w:tab w:val="clear" w:pos="630"/>
        <w:tab w:val="left" w:pos="810"/>
      </w:tabs>
      <w:ind w:left="810" w:hanging="810"/>
      <w:outlineLvl w:val="2"/>
    </w:pPr>
    <w:rPr>
      <w:bCs/>
      <w:sz w:val="28"/>
      <w:szCs w:val="28"/>
    </w:rPr>
  </w:style>
  <w:style w:type="paragraph" w:styleId="Heading4">
    <w:name w:val="heading 4"/>
    <w:basedOn w:val="Heading3"/>
    <w:next w:val="BodyText"/>
    <w:link w:val="Heading4Char"/>
    <w:qFormat/>
    <w:rsid w:val="00F3242F"/>
    <w:pPr>
      <w:numPr>
        <w:ilvl w:val="3"/>
      </w:numPr>
      <w:tabs>
        <w:tab w:val="clear" w:pos="810"/>
        <w:tab w:val="left" w:pos="900"/>
      </w:tabs>
      <w:ind w:left="900" w:hanging="900"/>
      <w:outlineLvl w:val="3"/>
    </w:pPr>
    <w:rPr>
      <w:sz w:val="24"/>
      <w:szCs w:val="24"/>
    </w:rPr>
  </w:style>
  <w:style w:type="paragraph" w:styleId="Heading5">
    <w:name w:val="heading 5"/>
    <w:basedOn w:val="Normal"/>
    <w:next w:val="BodyText"/>
    <w:link w:val="Heading5Char"/>
    <w:uiPriority w:val="9"/>
    <w:qFormat/>
    <w:rsid w:val="000D6BF5"/>
    <w:pPr>
      <w:keepNext/>
      <w:keepLines/>
      <w:numPr>
        <w:ilvl w:val="4"/>
        <w:numId w:val="3"/>
      </w:numPr>
      <w:tabs>
        <w:tab w:val="left" w:pos="900"/>
      </w:tabs>
      <w:spacing w:before="240" w:after="240"/>
      <w:outlineLvl w:val="4"/>
    </w:pPr>
    <w:rPr>
      <w:rFonts w:eastAsiaTheme="majorEastAsia" w:cs="Arial"/>
      <w:b/>
      <w:i/>
      <w:color w:val="0067AB" w:themeColor="accent1"/>
    </w:rPr>
  </w:style>
  <w:style w:type="paragraph" w:styleId="Heading6">
    <w:name w:val="heading 6"/>
    <w:aliases w:val="Append_Heading_1"/>
    <w:basedOn w:val="Normal"/>
    <w:next w:val="Normal"/>
    <w:link w:val="Heading6Char"/>
    <w:uiPriority w:val="9"/>
    <w:qFormat/>
    <w:rsid w:val="007103FB"/>
    <w:pPr>
      <w:keepNext/>
      <w:keepLines/>
      <w:numPr>
        <w:ilvl w:val="5"/>
        <w:numId w:val="3"/>
      </w:numPr>
      <w:spacing w:after="720"/>
      <w:jc w:val="center"/>
      <w:outlineLvl w:val="5"/>
    </w:pPr>
    <w:rPr>
      <w:rFonts w:eastAsiaTheme="majorEastAsia" w:cs="Arial"/>
      <w:b/>
      <w:iCs/>
      <w:color w:val="0067AB"/>
      <w:sz w:val="36"/>
    </w:rPr>
  </w:style>
  <w:style w:type="paragraph" w:styleId="Heading7">
    <w:name w:val="heading 7"/>
    <w:aliases w:val="Append_Heading_2"/>
    <w:basedOn w:val="Normal"/>
    <w:next w:val="Normal"/>
    <w:link w:val="Heading7Char"/>
    <w:uiPriority w:val="9"/>
    <w:qFormat/>
    <w:rsid w:val="0070469C"/>
    <w:pPr>
      <w:keepNext/>
      <w:keepLines/>
      <w:numPr>
        <w:ilvl w:val="6"/>
        <w:numId w:val="3"/>
      </w:numPr>
      <w:tabs>
        <w:tab w:val="left" w:pos="180"/>
      </w:tabs>
      <w:spacing w:before="200"/>
      <w:ind w:left="180" w:hanging="180"/>
      <w:outlineLvl w:val="6"/>
    </w:pPr>
    <w:rPr>
      <w:rFonts w:eastAsiaTheme="majorEastAsia" w:cs="Arial"/>
      <w:b/>
      <w:iCs/>
      <w:color w:val="0067AB"/>
      <w:sz w:val="32"/>
      <w:szCs w:val="32"/>
    </w:rPr>
  </w:style>
  <w:style w:type="paragraph" w:styleId="Heading8">
    <w:name w:val="heading 8"/>
    <w:aliases w:val="Append_Heading_3"/>
    <w:basedOn w:val="Normal"/>
    <w:next w:val="Normal"/>
    <w:link w:val="Heading8Char"/>
    <w:uiPriority w:val="9"/>
    <w:qFormat/>
    <w:rsid w:val="007103FB"/>
    <w:pPr>
      <w:keepNext/>
      <w:keepLines/>
      <w:numPr>
        <w:ilvl w:val="7"/>
        <w:numId w:val="3"/>
      </w:numPr>
      <w:tabs>
        <w:tab w:val="left" w:pos="810"/>
      </w:tabs>
      <w:spacing w:before="200"/>
      <w:ind w:left="810" w:hanging="810"/>
      <w:outlineLvl w:val="7"/>
    </w:pPr>
    <w:rPr>
      <w:rFonts w:eastAsiaTheme="majorEastAsia" w:cs="Calibri"/>
      <w:b/>
      <w:color w:val="0067AB"/>
      <w:sz w:val="28"/>
      <w:szCs w:val="28"/>
    </w:rPr>
  </w:style>
  <w:style w:type="paragraph" w:styleId="Heading9">
    <w:name w:val="heading 9"/>
    <w:aliases w:val="Append_Heading_4"/>
    <w:basedOn w:val="Normal"/>
    <w:next w:val="Normal"/>
    <w:link w:val="Heading9Char"/>
    <w:uiPriority w:val="9"/>
    <w:qFormat/>
    <w:rsid w:val="007103FB"/>
    <w:pPr>
      <w:keepNext/>
      <w:keepLines/>
      <w:numPr>
        <w:ilvl w:val="8"/>
        <w:numId w:val="3"/>
      </w:numPr>
      <w:tabs>
        <w:tab w:val="left" w:pos="900"/>
      </w:tabs>
      <w:spacing w:before="200"/>
      <w:ind w:left="900" w:hanging="900"/>
      <w:outlineLvl w:val="8"/>
    </w:pPr>
    <w:rPr>
      <w:rFonts w:eastAsiaTheme="majorEastAsia" w:cs="Calibri"/>
      <w:b/>
      <w:iCs/>
      <w:color w:val="0067A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469C"/>
    <w:rPr>
      <w:rFonts w:ascii="Calibri" w:eastAsia="Times New Roman" w:hAnsi="Calibri" w:cs="Arial"/>
      <w:b/>
      <w:color w:val="0067AB" w:themeColor="accent1"/>
      <w:sz w:val="36"/>
      <w:szCs w:val="36"/>
    </w:rPr>
  </w:style>
  <w:style w:type="character" w:customStyle="1" w:styleId="Heading2Char">
    <w:name w:val="Heading 2 Char"/>
    <w:basedOn w:val="DefaultParagraphFont"/>
    <w:link w:val="Heading2"/>
    <w:rsid w:val="0070469C"/>
    <w:rPr>
      <w:rFonts w:ascii="Calibri" w:eastAsia="Times New Roman" w:hAnsi="Calibri" w:cs="Arial"/>
      <w:b/>
      <w:color w:val="0067AB" w:themeColor="accent1"/>
      <w:sz w:val="32"/>
      <w:szCs w:val="32"/>
    </w:rPr>
  </w:style>
  <w:style w:type="character" w:customStyle="1" w:styleId="Heading3Char">
    <w:name w:val="Heading 3 Char"/>
    <w:basedOn w:val="DefaultParagraphFont"/>
    <w:link w:val="Heading3"/>
    <w:rsid w:val="0070469C"/>
    <w:rPr>
      <w:rFonts w:ascii="Calibri" w:eastAsia="Times New Roman" w:hAnsi="Calibri" w:cs="Arial"/>
      <w:b/>
      <w:bCs/>
      <w:color w:val="0067AB" w:themeColor="accent1"/>
      <w:sz w:val="28"/>
      <w:szCs w:val="28"/>
    </w:rPr>
  </w:style>
  <w:style w:type="character" w:customStyle="1" w:styleId="Heading4Char">
    <w:name w:val="Heading 4 Char"/>
    <w:basedOn w:val="DefaultParagraphFont"/>
    <w:link w:val="Heading4"/>
    <w:rsid w:val="00F3242F"/>
    <w:rPr>
      <w:rFonts w:ascii="Calibri" w:eastAsia="Times New Roman" w:hAnsi="Calibri" w:cs="Arial"/>
      <w:b/>
      <w:bCs/>
      <w:color w:val="0067AB" w:themeColor="accent1"/>
      <w:sz w:val="24"/>
      <w:szCs w:val="24"/>
    </w:rPr>
  </w:style>
  <w:style w:type="character" w:customStyle="1" w:styleId="Heading5Char">
    <w:name w:val="Heading 5 Char"/>
    <w:basedOn w:val="DefaultParagraphFont"/>
    <w:link w:val="Heading5"/>
    <w:uiPriority w:val="9"/>
    <w:rsid w:val="000D6BF5"/>
    <w:rPr>
      <w:rFonts w:ascii="Calibri" w:eastAsiaTheme="majorEastAsia" w:hAnsi="Calibri" w:cs="Arial"/>
      <w:b/>
      <w:i/>
      <w:color w:val="0067AB" w:themeColor="accent1"/>
    </w:rPr>
  </w:style>
  <w:style w:type="character" w:customStyle="1" w:styleId="Heading6Char">
    <w:name w:val="Heading 6 Char"/>
    <w:aliases w:val="Append_Heading_1 Char"/>
    <w:basedOn w:val="DefaultParagraphFont"/>
    <w:link w:val="Heading6"/>
    <w:uiPriority w:val="9"/>
    <w:rsid w:val="007103FB"/>
    <w:rPr>
      <w:rFonts w:ascii="Calibri" w:eastAsiaTheme="majorEastAsia" w:hAnsi="Calibri" w:cs="Arial"/>
      <w:b/>
      <w:iCs/>
      <w:color w:val="0067AB"/>
      <w:sz w:val="36"/>
    </w:rPr>
  </w:style>
  <w:style w:type="character" w:customStyle="1" w:styleId="Heading7Char">
    <w:name w:val="Heading 7 Char"/>
    <w:aliases w:val="Append_Heading_2 Char"/>
    <w:basedOn w:val="DefaultParagraphFont"/>
    <w:link w:val="Heading7"/>
    <w:uiPriority w:val="9"/>
    <w:rsid w:val="0070469C"/>
    <w:rPr>
      <w:rFonts w:ascii="Calibri" w:eastAsiaTheme="majorEastAsia" w:hAnsi="Calibri" w:cs="Arial"/>
      <w:b/>
      <w:iCs/>
      <w:color w:val="0067AB"/>
      <w:sz w:val="32"/>
      <w:szCs w:val="32"/>
    </w:rPr>
  </w:style>
  <w:style w:type="character" w:customStyle="1" w:styleId="Heading8Char">
    <w:name w:val="Heading 8 Char"/>
    <w:aliases w:val="Append_Heading_3 Char"/>
    <w:basedOn w:val="DefaultParagraphFont"/>
    <w:link w:val="Heading8"/>
    <w:uiPriority w:val="9"/>
    <w:rsid w:val="007103FB"/>
    <w:rPr>
      <w:rFonts w:ascii="Calibri" w:eastAsiaTheme="majorEastAsia" w:hAnsi="Calibri" w:cs="Calibri"/>
      <w:b/>
      <w:color w:val="0067AB"/>
      <w:sz w:val="28"/>
      <w:szCs w:val="28"/>
    </w:rPr>
  </w:style>
  <w:style w:type="character" w:customStyle="1" w:styleId="Heading9Char">
    <w:name w:val="Heading 9 Char"/>
    <w:aliases w:val="Append_Heading_4 Char"/>
    <w:basedOn w:val="DefaultParagraphFont"/>
    <w:link w:val="Heading9"/>
    <w:uiPriority w:val="9"/>
    <w:rsid w:val="007103FB"/>
    <w:rPr>
      <w:rFonts w:ascii="Calibri" w:eastAsiaTheme="majorEastAsia" w:hAnsi="Calibri" w:cs="Calibri"/>
      <w:b/>
      <w:iCs/>
      <w:color w:val="0067AB"/>
      <w:sz w:val="24"/>
      <w:szCs w:val="24"/>
    </w:rPr>
  </w:style>
  <w:style w:type="paragraph" w:customStyle="1" w:styleId="TextBoxTitle">
    <w:name w:val="Text Box Title"/>
    <w:basedOn w:val="Normal"/>
    <w:next w:val="TextBoxText"/>
    <w:link w:val="TextBoxTitleChar"/>
    <w:qFormat/>
    <w:rsid w:val="007E3AEA"/>
    <w:pPr>
      <w:spacing w:after="120"/>
      <w:jc w:val="center"/>
    </w:pPr>
    <w:rPr>
      <w:rFonts w:cs="Calibri"/>
      <w:b/>
      <w:sz w:val="18"/>
      <w:szCs w:val="18"/>
    </w:rPr>
  </w:style>
  <w:style w:type="table" w:customStyle="1" w:styleId="TemplateTable">
    <w:name w:val="Template Table"/>
    <w:basedOn w:val="TableNormal"/>
    <w:uiPriority w:val="99"/>
    <w:rsid w:val="000D549E"/>
    <w:pPr>
      <w:spacing w:after="0" w:line="240" w:lineRule="auto"/>
    </w:pPr>
    <w:rPr>
      <w:rFonts w:ascii="Calibri" w:hAnsi="Calibri"/>
      <w:sz w:val="20"/>
    </w:rPr>
    <w:tblPr>
      <w:jc w:val="center"/>
      <w:tblBorders>
        <w:top w:val="single" w:sz="4" w:space="0" w:color="A9A999"/>
        <w:left w:val="single" w:sz="4" w:space="0" w:color="A9A999"/>
        <w:bottom w:val="single" w:sz="4" w:space="0" w:color="A9A999"/>
        <w:right w:val="single" w:sz="4" w:space="0" w:color="A9A999"/>
        <w:insideH w:val="single" w:sz="4" w:space="0" w:color="A9A999"/>
        <w:insideV w:val="single" w:sz="4" w:space="0" w:color="A9A999"/>
      </w:tblBorders>
      <w:tblCellMar>
        <w:top w:w="58" w:type="dxa"/>
        <w:left w:w="58" w:type="dxa"/>
        <w:bottom w:w="58" w:type="dxa"/>
        <w:right w:w="58" w:type="dxa"/>
      </w:tblCellMar>
    </w:tblPr>
    <w:trPr>
      <w:cantSplit/>
      <w:jc w:val="center"/>
    </w:trPr>
    <w:tcPr>
      <w:shd w:val="clear" w:color="auto" w:fill="FFFFFF" w:themeFill="background1"/>
    </w:tcPr>
    <w:tblStylePr w:type="firstRow">
      <w:pPr>
        <w:keepNext/>
        <w:keepLines/>
        <w:pageBreakBefore w:val="0"/>
        <w:widowControl/>
        <w:suppressLineNumbers w:val="0"/>
        <w:suppressAutoHyphens w:val="0"/>
        <w:wordWrap/>
        <w:spacing w:beforeLines="0" w:beforeAutospacing="0" w:afterLines="0" w:afterAutospacing="0" w:line="240" w:lineRule="auto"/>
        <w:ind w:leftChars="0" w:left="0" w:rightChars="0" w:right="0" w:firstLineChars="0" w:firstLine="0"/>
        <w:contextualSpacing w:val="0"/>
        <w:mirrorIndents w:val="0"/>
        <w:jc w:val="center"/>
        <w:outlineLvl w:val="9"/>
      </w:pPr>
      <w:rPr>
        <w:rFonts w:ascii="Arial Bold" w:hAnsi="Arial Bold"/>
        <w:b/>
        <w:color w:val="FFFFFF" w:themeColor="background1"/>
        <w:sz w:val="20"/>
      </w:rPr>
      <w:tblPr/>
      <w:trPr>
        <w:tblHeader/>
      </w:trPr>
      <w:tcPr>
        <w:tcBorders>
          <w:top w:val="single" w:sz="4" w:space="0" w:color="333B0C"/>
          <w:left w:val="single" w:sz="4" w:space="0" w:color="333B0C"/>
          <w:bottom w:val="single" w:sz="4" w:space="0" w:color="333B0C"/>
          <w:right w:val="single" w:sz="4" w:space="0" w:color="333B0C"/>
          <w:insideH w:val="single" w:sz="4" w:space="0" w:color="FFFFFF" w:themeColor="background1"/>
          <w:insideV w:val="single" w:sz="4" w:space="0" w:color="FFFFFF" w:themeColor="background1"/>
          <w:tl2br w:val="nil"/>
          <w:tr2bl w:val="nil"/>
        </w:tcBorders>
        <w:shd w:val="clear" w:color="auto" w:fill="0067AB" w:themeFill="accent1"/>
        <w:vAlign w:val="center"/>
      </w:tcPr>
    </w:tblStylePr>
  </w:style>
  <w:style w:type="character" w:customStyle="1" w:styleId="TextBoxTitleChar">
    <w:name w:val="Text Box Title Char"/>
    <w:basedOn w:val="DefaultParagraphFont"/>
    <w:link w:val="TextBoxTitle"/>
    <w:rsid w:val="007E3AEA"/>
    <w:rPr>
      <w:rFonts w:ascii="Calibri" w:hAnsi="Calibri" w:cs="Calibri"/>
      <w:b/>
      <w:sz w:val="18"/>
      <w:szCs w:val="18"/>
    </w:rPr>
  </w:style>
  <w:style w:type="paragraph" w:styleId="CommentSubject">
    <w:name w:val="annotation subject"/>
    <w:basedOn w:val="Normal"/>
    <w:link w:val="CommentSubjectChar"/>
    <w:uiPriority w:val="99"/>
    <w:semiHidden/>
    <w:unhideWhenUsed/>
    <w:rsid w:val="00D45025"/>
    <w:rPr>
      <w:b/>
      <w:bCs/>
      <w:szCs w:val="20"/>
    </w:rPr>
  </w:style>
  <w:style w:type="character" w:customStyle="1" w:styleId="CommentSubjectChar">
    <w:name w:val="Comment Subject Char"/>
    <w:basedOn w:val="DefaultParagraphFont"/>
    <w:link w:val="CommentSubject"/>
    <w:uiPriority w:val="99"/>
    <w:semiHidden/>
    <w:rsid w:val="00D45025"/>
    <w:rPr>
      <w:rFonts w:ascii="Calibri" w:hAnsi="Calibri" w:cs="Times New Roman"/>
      <w:b/>
      <w:bCs/>
      <w:sz w:val="20"/>
      <w:szCs w:val="20"/>
    </w:rPr>
  </w:style>
  <w:style w:type="paragraph" w:styleId="BalloonText">
    <w:name w:val="Balloon Text"/>
    <w:basedOn w:val="Normal"/>
    <w:link w:val="BalloonTextChar"/>
    <w:uiPriority w:val="99"/>
    <w:semiHidden/>
    <w:unhideWhenUsed/>
    <w:rsid w:val="00D06113"/>
    <w:rPr>
      <w:rFonts w:ascii="Tahoma" w:hAnsi="Tahoma" w:cs="Tahoma"/>
      <w:sz w:val="16"/>
      <w:szCs w:val="16"/>
    </w:rPr>
  </w:style>
  <w:style w:type="character" w:customStyle="1" w:styleId="BalloonTextChar">
    <w:name w:val="Balloon Text Char"/>
    <w:basedOn w:val="DefaultParagraphFont"/>
    <w:link w:val="BalloonText"/>
    <w:uiPriority w:val="99"/>
    <w:semiHidden/>
    <w:rsid w:val="00D06113"/>
    <w:rPr>
      <w:rFonts w:ascii="Tahoma" w:hAnsi="Tahoma" w:cs="Tahoma"/>
      <w:sz w:val="16"/>
      <w:szCs w:val="16"/>
    </w:rPr>
  </w:style>
  <w:style w:type="character" w:styleId="Hyperlink">
    <w:name w:val="Hyperlink"/>
    <w:basedOn w:val="DefaultParagraphFont"/>
    <w:uiPriority w:val="99"/>
    <w:unhideWhenUsed/>
    <w:rsid w:val="00F2694A"/>
    <w:rPr>
      <w:color w:val="0000FF" w:themeColor="hyperlink"/>
      <w:u w:val="single"/>
    </w:rPr>
  </w:style>
  <w:style w:type="paragraph" w:customStyle="1" w:styleId="BlankPage">
    <w:name w:val="Blank Page"/>
    <w:basedOn w:val="Normal"/>
    <w:next w:val="Normal"/>
    <w:qFormat/>
    <w:rsid w:val="00001626"/>
    <w:pPr>
      <w:spacing w:before="4800" w:after="800"/>
      <w:jc w:val="center"/>
    </w:pPr>
    <w:rPr>
      <w:rFonts w:eastAsia="Times New Roman"/>
      <w:color w:val="0067AB"/>
    </w:rPr>
  </w:style>
  <w:style w:type="paragraph" w:customStyle="1" w:styleId="DocumentTitle">
    <w:name w:val="Document Title"/>
    <w:basedOn w:val="Normal"/>
    <w:next w:val="Normal"/>
    <w:rsid w:val="00FD0BF6"/>
    <w:pPr>
      <w:ind w:left="245"/>
    </w:pPr>
    <w:rPr>
      <w:rFonts w:eastAsia="Calibri" w:cs="Arial"/>
      <w:b/>
      <w:color w:val="0067AB" w:themeColor="accent1"/>
      <w:sz w:val="52"/>
      <w:szCs w:val="52"/>
    </w:rPr>
  </w:style>
  <w:style w:type="paragraph" w:customStyle="1" w:styleId="TableCellNumbers">
    <w:name w:val="Table Cell Numbers"/>
    <w:basedOn w:val="Normal"/>
    <w:next w:val="Normal"/>
    <w:link w:val="TableCellNumbersChar"/>
    <w:qFormat/>
    <w:rsid w:val="00B20E47"/>
    <w:pPr>
      <w:jc w:val="center"/>
    </w:pPr>
    <w:rPr>
      <w:rFonts w:eastAsia="Times New Roman"/>
      <w:sz w:val="20"/>
      <w:szCs w:val="18"/>
    </w:rPr>
  </w:style>
  <w:style w:type="character" w:customStyle="1" w:styleId="TableCellNumbersChar">
    <w:name w:val="Table Cell Numbers Char"/>
    <w:basedOn w:val="DefaultParagraphFont"/>
    <w:link w:val="TableCellNumbers"/>
    <w:rsid w:val="00B20E47"/>
    <w:rPr>
      <w:rFonts w:ascii="Calibri" w:eastAsia="Times New Roman" w:hAnsi="Calibri" w:cs="Times New Roman"/>
      <w:sz w:val="20"/>
      <w:szCs w:val="18"/>
    </w:rPr>
  </w:style>
  <w:style w:type="paragraph" w:customStyle="1" w:styleId="For-From1">
    <w:name w:val="For-From 1"/>
    <w:basedOn w:val="Normal"/>
    <w:next w:val="Normal"/>
    <w:qFormat/>
    <w:rsid w:val="00FD0BF6"/>
    <w:pPr>
      <w:spacing w:before="240" w:line="23" w:lineRule="atLeast"/>
      <w:ind w:left="245"/>
    </w:pPr>
    <w:rPr>
      <w:rFonts w:eastAsia="Calibri" w:cs="Arial"/>
      <w:b/>
      <w:color w:val="0067AB"/>
    </w:rPr>
  </w:style>
  <w:style w:type="paragraph" w:customStyle="1" w:styleId="For-From2">
    <w:name w:val="For-From 2"/>
    <w:basedOn w:val="Normal"/>
    <w:next w:val="Normal"/>
    <w:qFormat/>
    <w:rsid w:val="00FD0BF6"/>
    <w:pPr>
      <w:spacing w:line="23" w:lineRule="atLeast"/>
      <w:ind w:left="245"/>
    </w:pPr>
    <w:rPr>
      <w:rFonts w:eastAsia="Calibri" w:cs="Calibri"/>
    </w:rPr>
  </w:style>
  <w:style w:type="paragraph" w:customStyle="1" w:styleId="DateTitlePage">
    <w:name w:val="Date_Title Page"/>
    <w:basedOn w:val="Normal"/>
    <w:next w:val="Normal"/>
    <w:link w:val="DateTitlePageChar"/>
    <w:qFormat/>
    <w:rsid w:val="00FD0BF6"/>
    <w:pPr>
      <w:spacing w:after="240" w:line="276" w:lineRule="auto"/>
      <w:ind w:left="245"/>
    </w:pPr>
    <w:rPr>
      <w:rFonts w:cs="Arial"/>
      <w:sz w:val="28"/>
      <w:szCs w:val="28"/>
    </w:rPr>
  </w:style>
  <w:style w:type="paragraph" w:styleId="Header">
    <w:name w:val="header"/>
    <w:basedOn w:val="Normal"/>
    <w:next w:val="Normal"/>
    <w:link w:val="HeaderChar"/>
    <w:qFormat/>
    <w:rsid w:val="00FD0BF6"/>
    <w:pPr>
      <w:pBdr>
        <w:bottom w:val="single" w:sz="4" w:space="1" w:color="0067AB"/>
      </w:pBdr>
      <w:tabs>
        <w:tab w:val="center" w:pos="4680"/>
        <w:tab w:val="right" w:pos="9360"/>
      </w:tabs>
      <w:spacing w:after="720"/>
      <w:jc w:val="center"/>
    </w:pPr>
    <w:rPr>
      <w:rFonts w:eastAsia="Times New Roman" w:cs="Calibri"/>
      <w:color w:val="000000"/>
      <w:sz w:val="20"/>
    </w:rPr>
  </w:style>
  <w:style w:type="character" w:customStyle="1" w:styleId="HeaderChar">
    <w:name w:val="Header Char"/>
    <w:basedOn w:val="DefaultParagraphFont"/>
    <w:link w:val="Header"/>
    <w:rsid w:val="00FD0BF6"/>
    <w:rPr>
      <w:rFonts w:ascii="Calibri" w:eastAsia="Times New Roman" w:hAnsi="Calibri" w:cs="Calibri"/>
      <w:color w:val="000000"/>
      <w:sz w:val="20"/>
    </w:rPr>
  </w:style>
  <w:style w:type="paragraph" w:styleId="TOC1">
    <w:name w:val="toc 1"/>
    <w:basedOn w:val="Normal"/>
    <w:next w:val="Normal"/>
    <w:uiPriority w:val="39"/>
    <w:rsid w:val="00F3242F"/>
    <w:pPr>
      <w:keepNext/>
      <w:tabs>
        <w:tab w:val="right" w:leader="dot" w:pos="9350"/>
      </w:tabs>
      <w:spacing w:before="120"/>
      <w:ind w:left="360" w:right="1440" w:hanging="360"/>
    </w:pPr>
    <w:rPr>
      <w:rFonts w:eastAsia="Times New Roman" w:cs="Arial"/>
      <w:b/>
      <w:noProof/>
    </w:rPr>
  </w:style>
  <w:style w:type="paragraph" w:styleId="TOC2">
    <w:name w:val="toc 2"/>
    <w:basedOn w:val="Normal"/>
    <w:next w:val="Normal"/>
    <w:uiPriority w:val="39"/>
    <w:rsid w:val="00F2694A"/>
    <w:pPr>
      <w:tabs>
        <w:tab w:val="left" w:pos="900"/>
        <w:tab w:val="right" w:leader="dot" w:pos="9346"/>
      </w:tabs>
      <w:ind w:left="1440" w:right="1440" w:hanging="1080"/>
    </w:pPr>
    <w:rPr>
      <w:rFonts w:eastAsia="Times New Roman" w:cs="Arial"/>
      <w:noProof/>
    </w:rPr>
  </w:style>
  <w:style w:type="paragraph" w:styleId="TOC3">
    <w:name w:val="toc 3"/>
    <w:basedOn w:val="Normal"/>
    <w:next w:val="Normal"/>
    <w:uiPriority w:val="39"/>
    <w:rsid w:val="00F2694A"/>
    <w:pPr>
      <w:tabs>
        <w:tab w:val="left" w:pos="1620"/>
        <w:tab w:val="right" w:leader="dot" w:pos="9346"/>
      </w:tabs>
      <w:ind w:left="1627" w:hanging="720"/>
    </w:pPr>
    <w:rPr>
      <w:rFonts w:eastAsiaTheme="minorEastAsia" w:cstheme="minorBidi"/>
      <w:noProof/>
    </w:rPr>
  </w:style>
  <w:style w:type="paragraph" w:customStyle="1" w:styleId="FigureCaption">
    <w:name w:val="Figure Caption"/>
    <w:basedOn w:val="Normal"/>
    <w:next w:val="BodyText"/>
    <w:link w:val="FigureCaptionChar"/>
    <w:qFormat/>
    <w:rsid w:val="00F53815"/>
    <w:pPr>
      <w:keepNext/>
      <w:keepLines/>
      <w:spacing w:before="120" w:after="240"/>
      <w:jc w:val="center"/>
    </w:pPr>
    <w:rPr>
      <w:b/>
      <w:sz w:val="21"/>
    </w:rPr>
  </w:style>
  <w:style w:type="character" w:customStyle="1" w:styleId="FigureCaptionChar">
    <w:name w:val="Figure Caption Char"/>
    <w:basedOn w:val="DefaultParagraphFont"/>
    <w:link w:val="FigureCaption"/>
    <w:rsid w:val="00F53815"/>
    <w:rPr>
      <w:rFonts w:ascii="Calibri" w:hAnsi="Calibri" w:cs="Times New Roman"/>
      <w:b/>
      <w:sz w:val="21"/>
    </w:rPr>
  </w:style>
  <w:style w:type="paragraph" w:styleId="FootnoteText">
    <w:name w:val="footnote text"/>
    <w:basedOn w:val="Normal"/>
    <w:link w:val="FootnoteTextChar"/>
    <w:uiPriority w:val="99"/>
    <w:unhideWhenUsed/>
    <w:rsid w:val="00B20E47"/>
    <w:pPr>
      <w:ind w:left="115" w:hanging="115"/>
    </w:pPr>
    <w:rPr>
      <w:rFonts w:cs="Arial"/>
      <w:sz w:val="18"/>
      <w:szCs w:val="18"/>
    </w:rPr>
  </w:style>
  <w:style w:type="character" w:customStyle="1" w:styleId="FootnoteTextChar">
    <w:name w:val="Footnote Text Char"/>
    <w:basedOn w:val="DefaultParagraphFont"/>
    <w:link w:val="FootnoteText"/>
    <w:uiPriority w:val="99"/>
    <w:rsid w:val="00B20E47"/>
    <w:rPr>
      <w:rFonts w:ascii="Calibri" w:hAnsi="Calibri" w:cs="Arial"/>
      <w:sz w:val="18"/>
      <w:szCs w:val="18"/>
    </w:rPr>
  </w:style>
  <w:style w:type="paragraph" w:customStyle="1" w:styleId="TableColumnHeading">
    <w:name w:val="Table Column Heading"/>
    <w:basedOn w:val="Normal"/>
    <w:next w:val="Normal"/>
    <w:link w:val="TableColumnHeadingChar"/>
    <w:qFormat/>
    <w:rsid w:val="00AC0B5A"/>
    <w:pPr>
      <w:keepNext/>
      <w:keepLines/>
      <w:jc w:val="center"/>
    </w:pPr>
    <w:rPr>
      <w:rFonts w:eastAsia="Times New Roman"/>
      <w:color w:val="FFFFFF" w:themeColor="background1"/>
      <w:sz w:val="20"/>
      <w:szCs w:val="20"/>
    </w:rPr>
  </w:style>
  <w:style w:type="character" w:customStyle="1" w:styleId="TableColumnHeadingChar">
    <w:name w:val="Table Column Heading Char"/>
    <w:basedOn w:val="DefaultParagraphFont"/>
    <w:link w:val="TableColumnHeading"/>
    <w:rsid w:val="00AC0B5A"/>
    <w:rPr>
      <w:rFonts w:ascii="Calibri" w:eastAsia="Times New Roman" w:hAnsi="Calibri" w:cs="Times New Roman"/>
      <w:color w:val="FFFFFF" w:themeColor="background1"/>
      <w:sz w:val="20"/>
      <w:szCs w:val="20"/>
    </w:rPr>
  </w:style>
  <w:style w:type="paragraph" w:customStyle="1" w:styleId="TableCellText">
    <w:name w:val="Table Cell Text"/>
    <w:basedOn w:val="Normal"/>
    <w:next w:val="Normal"/>
    <w:link w:val="TableCellTextChar"/>
    <w:qFormat/>
    <w:rsid w:val="00B20E47"/>
    <w:pPr>
      <w:autoSpaceDE w:val="0"/>
      <w:autoSpaceDN w:val="0"/>
      <w:adjustRightInd w:val="0"/>
    </w:pPr>
    <w:rPr>
      <w:rFonts w:eastAsia="Calibri" w:cs="Arial"/>
      <w:sz w:val="20"/>
      <w:szCs w:val="20"/>
    </w:rPr>
  </w:style>
  <w:style w:type="character" w:customStyle="1" w:styleId="TableCellTextChar">
    <w:name w:val="Table Cell Text Char"/>
    <w:basedOn w:val="DefaultParagraphFont"/>
    <w:link w:val="TableCellText"/>
    <w:rsid w:val="00B20E47"/>
    <w:rPr>
      <w:rFonts w:ascii="Calibri" w:eastAsia="Calibri" w:hAnsi="Calibri" w:cs="Arial"/>
      <w:sz w:val="20"/>
      <w:szCs w:val="20"/>
    </w:rPr>
  </w:style>
  <w:style w:type="character" w:styleId="FootnoteReference">
    <w:name w:val="footnote reference"/>
    <w:basedOn w:val="DefaultParagraphFont"/>
    <w:unhideWhenUsed/>
    <w:qFormat/>
    <w:rsid w:val="00B20E47"/>
    <w:rPr>
      <w:rFonts w:cs="Calibri"/>
      <w:sz w:val="20"/>
      <w:szCs w:val="20"/>
      <w:vertAlign w:val="superscript"/>
    </w:rPr>
  </w:style>
  <w:style w:type="character" w:styleId="FollowedHyperlink">
    <w:name w:val="FollowedHyperlink"/>
    <w:basedOn w:val="DefaultParagraphFont"/>
    <w:uiPriority w:val="99"/>
    <w:semiHidden/>
    <w:unhideWhenUsed/>
    <w:rsid w:val="00096F58"/>
    <w:rPr>
      <w:color w:val="800080" w:themeColor="followedHyperlink"/>
      <w:u w:val="single"/>
    </w:rPr>
  </w:style>
  <w:style w:type="paragraph" w:customStyle="1" w:styleId="NumberedListFirstLevelLastline">
    <w:name w:val="Numbered List First Level_Last line"/>
    <w:basedOn w:val="NumberedListFirstLevel"/>
    <w:next w:val="BodyText"/>
    <w:link w:val="NumberedListFirstLevelLastlineChar"/>
    <w:qFormat/>
    <w:rsid w:val="00A648EB"/>
    <w:pPr>
      <w:spacing w:after="240"/>
    </w:pPr>
  </w:style>
  <w:style w:type="paragraph" w:customStyle="1" w:styleId="NumberedListFirstLevel">
    <w:name w:val="Numbered List First Level"/>
    <w:basedOn w:val="Normal"/>
    <w:link w:val="NumberedListFirstLevelChar"/>
    <w:qFormat/>
    <w:rsid w:val="00607034"/>
    <w:pPr>
      <w:numPr>
        <w:numId w:val="4"/>
      </w:numPr>
      <w:tabs>
        <w:tab w:val="left" w:pos="360"/>
      </w:tabs>
      <w:spacing w:line="276" w:lineRule="auto"/>
      <w:contextualSpacing/>
    </w:pPr>
  </w:style>
  <w:style w:type="character" w:customStyle="1" w:styleId="NumberedListFirstLevelChar">
    <w:name w:val="Numbered List First Level Char"/>
    <w:basedOn w:val="DefaultParagraphFont"/>
    <w:link w:val="NumberedListFirstLevel"/>
    <w:rsid w:val="00607034"/>
    <w:rPr>
      <w:rFonts w:ascii="Calibri" w:hAnsi="Calibri" w:cs="Times New Roman"/>
    </w:rPr>
  </w:style>
  <w:style w:type="paragraph" w:styleId="BodyText">
    <w:name w:val="Body Text"/>
    <w:basedOn w:val="Normal"/>
    <w:link w:val="BodyTextChar"/>
    <w:qFormat/>
    <w:rsid w:val="00B20E47"/>
    <w:pPr>
      <w:spacing w:after="240" w:line="276" w:lineRule="auto"/>
    </w:pPr>
    <w:rPr>
      <w:rFonts w:cs="Arial"/>
    </w:rPr>
  </w:style>
  <w:style w:type="character" w:customStyle="1" w:styleId="BodyTextChar">
    <w:name w:val="Body Text Char"/>
    <w:basedOn w:val="DefaultParagraphFont"/>
    <w:link w:val="BodyText"/>
    <w:rsid w:val="00B20E47"/>
    <w:rPr>
      <w:rFonts w:ascii="Calibri" w:hAnsi="Calibri" w:cs="Arial"/>
    </w:rPr>
  </w:style>
  <w:style w:type="character" w:customStyle="1" w:styleId="NumberedListFirstLevelLastlineChar">
    <w:name w:val="Numbered List First Level_Last line Char"/>
    <w:basedOn w:val="DefaultParagraphFont"/>
    <w:link w:val="NumberedListFirstLevelLastline"/>
    <w:rsid w:val="00A648EB"/>
    <w:rPr>
      <w:rFonts w:ascii="Calibri" w:hAnsi="Calibri" w:cs="Times New Roman"/>
    </w:rPr>
  </w:style>
  <w:style w:type="paragraph" w:customStyle="1" w:styleId="NumberedListSecondLevelLastLine">
    <w:name w:val="Numbered List Second Level_Last Line"/>
    <w:basedOn w:val="NumberedListSecondLevel"/>
    <w:link w:val="NumberedListSecondLevelLastLineChar"/>
    <w:qFormat/>
    <w:rsid w:val="00A648EB"/>
    <w:pPr>
      <w:spacing w:after="240"/>
    </w:pPr>
  </w:style>
  <w:style w:type="character" w:customStyle="1" w:styleId="NumberedListSecondLevelLastLineChar">
    <w:name w:val="Numbered List Second Level_Last Line Char"/>
    <w:basedOn w:val="NumberedListSecondLevelChar"/>
    <w:link w:val="NumberedListSecondLevelLastLine"/>
    <w:rsid w:val="00A648EB"/>
    <w:rPr>
      <w:rFonts w:ascii="Calibri" w:hAnsi="Calibri" w:cs="Arial"/>
    </w:rPr>
  </w:style>
  <w:style w:type="paragraph" w:styleId="TableofFigures">
    <w:name w:val="table of figures"/>
    <w:basedOn w:val="Normal"/>
    <w:next w:val="Normal"/>
    <w:uiPriority w:val="99"/>
    <w:unhideWhenUsed/>
    <w:rsid w:val="007119BB"/>
    <w:pPr>
      <w:tabs>
        <w:tab w:val="right" w:leader="dot" w:pos="9360"/>
      </w:tabs>
      <w:ind w:left="979" w:right="1440" w:hanging="979"/>
    </w:pPr>
    <w:rPr>
      <w:rFonts w:asciiTheme="minorHAnsi" w:hAnsiTheme="minorHAnsi" w:cstheme="minorHAnsi"/>
      <w:noProof/>
    </w:rPr>
  </w:style>
  <w:style w:type="paragraph" w:customStyle="1" w:styleId="FigureNote">
    <w:name w:val="Figure Note"/>
    <w:basedOn w:val="Normal"/>
    <w:next w:val="Normal"/>
    <w:link w:val="FigureNoteChar"/>
    <w:qFormat/>
    <w:rsid w:val="00BC2452"/>
    <w:pPr>
      <w:keepNext/>
      <w:keepLines/>
      <w:ind w:left="720" w:right="720"/>
    </w:pPr>
    <w:rPr>
      <w:color w:val="000000" w:themeColor="text1"/>
      <w:sz w:val="20"/>
    </w:rPr>
  </w:style>
  <w:style w:type="character" w:customStyle="1" w:styleId="FigureNoteChar">
    <w:name w:val="Figure Note Char"/>
    <w:basedOn w:val="BodyTextChar"/>
    <w:link w:val="FigureNote"/>
    <w:rsid w:val="00BC2452"/>
    <w:rPr>
      <w:rFonts w:ascii="Calibri" w:hAnsi="Calibri" w:cs="Times New Roman"/>
      <w:color w:val="000000" w:themeColor="text1"/>
      <w:sz w:val="20"/>
    </w:rPr>
  </w:style>
  <w:style w:type="table" w:styleId="LightList-Accent3">
    <w:name w:val="Light List Accent 3"/>
    <w:basedOn w:val="TableNormal"/>
    <w:uiPriority w:val="61"/>
    <w:rsid w:val="002B70BF"/>
    <w:pPr>
      <w:spacing w:after="0" w:line="240" w:lineRule="auto"/>
    </w:pPr>
    <w:tblPr>
      <w:tblStyleRowBandSize w:val="1"/>
      <w:tblStyleColBandSize w:val="1"/>
      <w:tblBorders>
        <w:top w:val="single" w:sz="8" w:space="0" w:color="677719" w:themeColor="accent3"/>
        <w:left w:val="single" w:sz="8" w:space="0" w:color="677719" w:themeColor="accent3"/>
        <w:bottom w:val="single" w:sz="8" w:space="0" w:color="677719" w:themeColor="accent3"/>
        <w:right w:val="single" w:sz="8" w:space="0" w:color="677719" w:themeColor="accent3"/>
      </w:tblBorders>
    </w:tblPr>
    <w:tblStylePr w:type="firstRow">
      <w:pPr>
        <w:spacing w:before="0" w:after="0" w:line="240" w:lineRule="auto"/>
      </w:pPr>
      <w:rPr>
        <w:b/>
        <w:bCs/>
        <w:color w:val="FFFFFF" w:themeColor="background1"/>
      </w:rPr>
      <w:tblPr/>
      <w:tcPr>
        <w:shd w:val="clear" w:color="auto" w:fill="677719" w:themeFill="accent3"/>
      </w:tcPr>
    </w:tblStylePr>
    <w:tblStylePr w:type="lastRow">
      <w:pPr>
        <w:spacing w:before="0" w:after="0" w:line="240" w:lineRule="auto"/>
      </w:pPr>
      <w:rPr>
        <w:b/>
        <w:bCs/>
      </w:rPr>
      <w:tblPr/>
      <w:tcPr>
        <w:tcBorders>
          <w:top w:val="double" w:sz="6" w:space="0" w:color="677719" w:themeColor="accent3"/>
          <w:left w:val="single" w:sz="8" w:space="0" w:color="677719" w:themeColor="accent3"/>
          <w:bottom w:val="single" w:sz="8" w:space="0" w:color="677719" w:themeColor="accent3"/>
          <w:right w:val="single" w:sz="8" w:space="0" w:color="677719" w:themeColor="accent3"/>
        </w:tcBorders>
      </w:tcPr>
    </w:tblStylePr>
    <w:tblStylePr w:type="firstCol">
      <w:rPr>
        <w:b/>
        <w:bCs/>
      </w:rPr>
    </w:tblStylePr>
    <w:tblStylePr w:type="lastCol">
      <w:rPr>
        <w:b/>
        <w:bCs/>
      </w:rPr>
    </w:tblStylePr>
    <w:tblStylePr w:type="band1Vert">
      <w:tblPr/>
      <w:tcPr>
        <w:tcBorders>
          <w:top w:val="single" w:sz="8" w:space="0" w:color="677719" w:themeColor="accent3"/>
          <w:left w:val="single" w:sz="8" w:space="0" w:color="677719" w:themeColor="accent3"/>
          <w:bottom w:val="single" w:sz="8" w:space="0" w:color="677719" w:themeColor="accent3"/>
          <w:right w:val="single" w:sz="8" w:space="0" w:color="677719" w:themeColor="accent3"/>
        </w:tcBorders>
      </w:tcPr>
    </w:tblStylePr>
    <w:tblStylePr w:type="band1Horz">
      <w:tblPr/>
      <w:tcPr>
        <w:tcBorders>
          <w:top w:val="single" w:sz="8" w:space="0" w:color="677719" w:themeColor="accent3"/>
          <w:left w:val="single" w:sz="8" w:space="0" w:color="677719" w:themeColor="accent3"/>
          <w:bottom w:val="single" w:sz="8" w:space="0" w:color="677719" w:themeColor="accent3"/>
          <w:right w:val="single" w:sz="8" w:space="0" w:color="677719" w:themeColor="accent3"/>
        </w:tcBorders>
      </w:tcPr>
    </w:tblStylePr>
  </w:style>
  <w:style w:type="character" w:styleId="PlaceholderText">
    <w:name w:val="Placeholder Text"/>
    <w:basedOn w:val="DefaultParagraphFont"/>
    <w:uiPriority w:val="99"/>
    <w:semiHidden/>
    <w:rsid w:val="008E092E"/>
    <w:rPr>
      <w:color w:val="808080"/>
    </w:rPr>
  </w:style>
  <w:style w:type="table" w:styleId="TableGrid">
    <w:name w:val="Table Grid"/>
    <w:basedOn w:val="TableNormal"/>
    <w:rsid w:val="00BF03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F7470"/>
    <w:pPr>
      <w:spacing w:after="0" w:line="240" w:lineRule="auto"/>
    </w:pPr>
    <w:rPr>
      <w:rFonts w:ascii="Calibri" w:hAnsi="Calibri" w:cs="Times New Roman"/>
    </w:rPr>
  </w:style>
  <w:style w:type="paragraph" w:customStyle="1" w:styleId="Bullet2Last">
    <w:name w:val="Bullet 2 Last"/>
    <w:basedOn w:val="Bullet2"/>
    <w:link w:val="Bullet2LastChar"/>
    <w:qFormat/>
    <w:rsid w:val="005F6257"/>
    <w:pPr>
      <w:spacing w:after="240"/>
    </w:pPr>
  </w:style>
  <w:style w:type="paragraph" w:customStyle="1" w:styleId="Bullet3Last">
    <w:name w:val="Bullet 3 Last"/>
    <w:basedOn w:val="Bullet3"/>
    <w:link w:val="Bullet3LastChar"/>
    <w:qFormat/>
    <w:rsid w:val="005F6257"/>
    <w:pPr>
      <w:spacing w:after="240"/>
    </w:pPr>
  </w:style>
  <w:style w:type="paragraph" w:customStyle="1" w:styleId="FrontMatterHeading">
    <w:name w:val="Front Matter Heading"/>
    <w:basedOn w:val="Normal"/>
    <w:next w:val="Normal"/>
    <w:link w:val="FrontMatterHeadingChar"/>
    <w:qFormat/>
    <w:rsid w:val="00FD0BF6"/>
    <w:pPr>
      <w:keepNext/>
      <w:spacing w:after="240" w:line="276" w:lineRule="auto"/>
    </w:pPr>
    <w:rPr>
      <w:rFonts w:eastAsia="Times New Roman" w:cs="Arial"/>
      <w:b/>
      <w:color w:val="0067AB" w:themeColor="accent1"/>
      <w:sz w:val="36"/>
    </w:rPr>
  </w:style>
  <w:style w:type="character" w:customStyle="1" w:styleId="FrontMatterHeadingChar">
    <w:name w:val="Front Matter Heading Char"/>
    <w:basedOn w:val="DefaultParagraphFont"/>
    <w:link w:val="FrontMatterHeading"/>
    <w:rsid w:val="00FD0BF6"/>
    <w:rPr>
      <w:rFonts w:ascii="Calibri" w:eastAsia="Times New Roman" w:hAnsi="Calibri" w:cs="Arial"/>
      <w:b/>
      <w:color w:val="0067AB" w:themeColor="accent1"/>
      <w:sz w:val="36"/>
    </w:rPr>
  </w:style>
  <w:style w:type="paragraph" w:customStyle="1" w:styleId="TableNote">
    <w:name w:val="Table Note"/>
    <w:basedOn w:val="Normal"/>
    <w:next w:val="Normal"/>
    <w:link w:val="TableNoteChar"/>
    <w:qFormat/>
    <w:rsid w:val="00BC2452"/>
    <w:pPr>
      <w:keepNext/>
    </w:pPr>
    <w:rPr>
      <w:sz w:val="20"/>
    </w:rPr>
  </w:style>
  <w:style w:type="paragraph" w:customStyle="1" w:styleId="TableSource">
    <w:name w:val="Table Source"/>
    <w:basedOn w:val="Normal"/>
    <w:next w:val="Normal"/>
    <w:link w:val="TableSourceChar"/>
    <w:qFormat/>
    <w:rsid w:val="00BC2452"/>
    <w:pPr>
      <w:keepNext/>
    </w:pPr>
    <w:rPr>
      <w:rFonts w:cs="Arial"/>
      <w:sz w:val="20"/>
    </w:rPr>
  </w:style>
  <w:style w:type="character" w:customStyle="1" w:styleId="TableSourceChar">
    <w:name w:val="Table Source Char"/>
    <w:basedOn w:val="TableNoteChar"/>
    <w:link w:val="TableSource"/>
    <w:rsid w:val="00BC2452"/>
    <w:rPr>
      <w:rFonts w:ascii="Calibri" w:hAnsi="Calibri" w:cs="Arial"/>
      <w:sz w:val="20"/>
    </w:rPr>
  </w:style>
  <w:style w:type="character" w:customStyle="1" w:styleId="TableNoteChar">
    <w:name w:val="Table Note Char"/>
    <w:basedOn w:val="DefaultParagraphFont"/>
    <w:link w:val="TableNote"/>
    <w:rsid w:val="00BC2452"/>
    <w:rPr>
      <w:rFonts w:ascii="Calibri" w:hAnsi="Calibri" w:cs="Times New Roman"/>
      <w:sz w:val="20"/>
    </w:rPr>
  </w:style>
  <w:style w:type="paragraph" w:customStyle="1" w:styleId="TableFootnote">
    <w:name w:val="Table Footnote"/>
    <w:basedOn w:val="Normal"/>
    <w:next w:val="Normal"/>
    <w:link w:val="TableFootnoteChar"/>
    <w:qFormat/>
    <w:rsid w:val="003C5262"/>
    <w:pPr>
      <w:keepNext/>
      <w:keepLines/>
    </w:pPr>
    <w:rPr>
      <w:sz w:val="20"/>
      <w:szCs w:val="20"/>
    </w:rPr>
  </w:style>
  <w:style w:type="character" w:customStyle="1" w:styleId="TableFootnoteChar">
    <w:name w:val="Table Footnote Char"/>
    <w:basedOn w:val="TableNoteChar"/>
    <w:link w:val="TableFootnote"/>
    <w:rsid w:val="003C5262"/>
    <w:rPr>
      <w:rFonts w:ascii="Calibri" w:hAnsi="Calibri" w:cs="Times New Roman"/>
      <w:sz w:val="20"/>
      <w:szCs w:val="20"/>
    </w:rPr>
  </w:style>
  <w:style w:type="paragraph" w:customStyle="1" w:styleId="FigureSource">
    <w:name w:val="Figure Source"/>
    <w:basedOn w:val="Normal"/>
    <w:next w:val="Normal"/>
    <w:link w:val="FigureSourceChar"/>
    <w:qFormat/>
    <w:rsid w:val="00BC2452"/>
    <w:pPr>
      <w:keepNext/>
      <w:keepLines/>
      <w:ind w:left="720"/>
    </w:pPr>
    <w:rPr>
      <w:sz w:val="20"/>
    </w:rPr>
  </w:style>
  <w:style w:type="character" w:customStyle="1" w:styleId="FigureSourceChar">
    <w:name w:val="Figure Source Char"/>
    <w:basedOn w:val="FigureNoteChar"/>
    <w:link w:val="FigureSource"/>
    <w:rsid w:val="00BC2452"/>
    <w:rPr>
      <w:rFonts w:ascii="Calibri" w:hAnsi="Calibri" w:cs="Times New Roman"/>
      <w:color w:val="000000" w:themeColor="text1"/>
      <w:sz w:val="20"/>
    </w:rPr>
  </w:style>
  <w:style w:type="paragraph" w:customStyle="1" w:styleId="Reference">
    <w:name w:val="Reference"/>
    <w:basedOn w:val="BodyText"/>
    <w:link w:val="ReferenceChar"/>
    <w:qFormat/>
    <w:rsid w:val="00350F1D"/>
    <w:pPr>
      <w:ind w:left="720" w:hanging="720"/>
    </w:pPr>
  </w:style>
  <w:style w:type="character" w:customStyle="1" w:styleId="ReferenceChar">
    <w:name w:val="Reference Char"/>
    <w:basedOn w:val="BodyTextChar"/>
    <w:link w:val="Reference"/>
    <w:rsid w:val="00350F1D"/>
    <w:rPr>
      <w:rFonts w:ascii="Arial" w:hAnsi="Arial" w:cs="Arial"/>
    </w:rPr>
  </w:style>
  <w:style w:type="paragraph" w:customStyle="1" w:styleId="FooterLandscape">
    <w:name w:val="Footer Landscape"/>
    <w:basedOn w:val="Normal"/>
    <w:next w:val="Normal"/>
    <w:link w:val="FooterLandscapeChar"/>
    <w:qFormat/>
    <w:rsid w:val="007F2957"/>
    <w:pPr>
      <w:pBdr>
        <w:top w:val="single" w:sz="4" w:space="1" w:color="0067AB"/>
      </w:pBdr>
      <w:tabs>
        <w:tab w:val="center" w:pos="6480"/>
        <w:tab w:val="right" w:pos="12960"/>
      </w:tabs>
      <w:spacing w:before="240"/>
    </w:pPr>
    <w:rPr>
      <w:rFonts w:eastAsia="Times New Roman" w:cs="Arial"/>
      <w:color w:val="000000"/>
      <w:sz w:val="18"/>
    </w:rPr>
  </w:style>
  <w:style w:type="character" w:customStyle="1" w:styleId="FooterLandscapeChar">
    <w:name w:val="Footer Landscape Char"/>
    <w:basedOn w:val="DefaultParagraphFont"/>
    <w:link w:val="FooterLandscape"/>
    <w:rsid w:val="007F2957"/>
    <w:rPr>
      <w:rFonts w:ascii="Calibri" w:eastAsia="Times New Roman" w:hAnsi="Calibri" w:cs="Arial"/>
      <w:color w:val="000000"/>
      <w:sz w:val="18"/>
    </w:rPr>
  </w:style>
  <w:style w:type="paragraph" w:customStyle="1" w:styleId="FooterPortrait">
    <w:name w:val="Footer Portrait"/>
    <w:basedOn w:val="Normal"/>
    <w:next w:val="Normal"/>
    <w:link w:val="FooterPortraitChar"/>
    <w:qFormat/>
    <w:rsid w:val="00FD0BF6"/>
    <w:pPr>
      <w:pBdr>
        <w:top w:val="single" w:sz="4" w:space="1" w:color="0067AB"/>
      </w:pBdr>
      <w:tabs>
        <w:tab w:val="center" w:pos="4680"/>
        <w:tab w:val="right" w:pos="9360"/>
      </w:tabs>
      <w:spacing w:before="240"/>
    </w:pPr>
    <w:rPr>
      <w:rFonts w:eastAsia="Times New Roman" w:cs="Calibri"/>
      <w:color w:val="000000"/>
      <w:sz w:val="18"/>
      <w:szCs w:val="18"/>
    </w:rPr>
  </w:style>
  <w:style w:type="character" w:customStyle="1" w:styleId="FooterPortraitChar">
    <w:name w:val="Footer Portrait Char"/>
    <w:basedOn w:val="DefaultParagraphFont"/>
    <w:link w:val="FooterPortrait"/>
    <w:rsid w:val="00FD0BF6"/>
    <w:rPr>
      <w:rFonts w:ascii="Calibri" w:eastAsia="Times New Roman" w:hAnsi="Calibri" w:cs="Calibri"/>
      <w:color w:val="000000"/>
      <w:sz w:val="18"/>
      <w:szCs w:val="18"/>
    </w:rPr>
  </w:style>
  <w:style w:type="paragraph" w:styleId="TOC4">
    <w:name w:val="toc 4"/>
    <w:basedOn w:val="Normal"/>
    <w:next w:val="Normal"/>
    <w:uiPriority w:val="39"/>
    <w:unhideWhenUsed/>
    <w:rsid w:val="00F2694A"/>
    <w:pPr>
      <w:tabs>
        <w:tab w:val="left" w:pos="2520"/>
        <w:tab w:val="right" w:leader="dot" w:pos="9350"/>
      </w:tabs>
      <w:ind w:left="2549" w:hanging="893"/>
    </w:pPr>
    <w:rPr>
      <w:noProof/>
    </w:rPr>
  </w:style>
  <w:style w:type="paragraph" w:customStyle="1" w:styleId="Bullet10">
    <w:name w:val="Bullet 1"/>
    <w:basedOn w:val="Normal"/>
    <w:link w:val="Bullet1Char"/>
    <w:qFormat/>
    <w:rsid w:val="009F4F1F"/>
    <w:pPr>
      <w:numPr>
        <w:numId w:val="1"/>
      </w:numPr>
      <w:spacing w:after="120" w:line="276" w:lineRule="auto"/>
    </w:pPr>
    <w:rPr>
      <w:rFonts w:eastAsia="Times New Roman"/>
    </w:rPr>
  </w:style>
  <w:style w:type="paragraph" w:customStyle="1" w:styleId="Bullet1Last">
    <w:name w:val="Bullet 1 Last"/>
    <w:basedOn w:val="Bullet10"/>
    <w:next w:val="BodyText"/>
    <w:qFormat/>
    <w:rsid w:val="00B26688"/>
    <w:pPr>
      <w:spacing w:after="240"/>
    </w:pPr>
  </w:style>
  <w:style w:type="paragraph" w:customStyle="1" w:styleId="Bullet2">
    <w:name w:val="Bullet 2"/>
    <w:basedOn w:val="Bullet10"/>
    <w:link w:val="Bullet2Char"/>
    <w:qFormat/>
    <w:rsid w:val="009F4F1F"/>
    <w:pPr>
      <w:numPr>
        <w:ilvl w:val="1"/>
      </w:numPr>
    </w:pPr>
  </w:style>
  <w:style w:type="paragraph" w:customStyle="1" w:styleId="Bullet3">
    <w:name w:val="Bullet 3"/>
    <w:basedOn w:val="Bullet10"/>
    <w:link w:val="Bullet3Char"/>
    <w:qFormat/>
    <w:rsid w:val="009F4F1F"/>
    <w:pPr>
      <w:numPr>
        <w:ilvl w:val="2"/>
      </w:numPr>
    </w:pPr>
  </w:style>
  <w:style w:type="paragraph" w:customStyle="1" w:styleId="TableCaption">
    <w:name w:val="Table Caption"/>
    <w:basedOn w:val="Normal"/>
    <w:next w:val="Normal"/>
    <w:link w:val="TableCaptionChar"/>
    <w:qFormat/>
    <w:rsid w:val="00F53815"/>
    <w:pPr>
      <w:keepNext/>
      <w:spacing w:before="120" w:after="120"/>
      <w:jc w:val="center"/>
    </w:pPr>
    <w:rPr>
      <w:rFonts w:cs="Arial"/>
      <w:b/>
      <w:noProof/>
      <w:sz w:val="21"/>
    </w:rPr>
  </w:style>
  <w:style w:type="character" w:customStyle="1" w:styleId="TableCaptionChar">
    <w:name w:val="Table Caption Char"/>
    <w:basedOn w:val="DefaultParagraphFont"/>
    <w:link w:val="TableCaption"/>
    <w:rsid w:val="00F53815"/>
    <w:rPr>
      <w:rFonts w:ascii="Calibri" w:hAnsi="Calibri" w:cs="Arial"/>
      <w:b/>
      <w:noProof/>
      <w:sz w:val="21"/>
    </w:rPr>
  </w:style>
  <w:style w:type="paragraph" w:styleId="DocumentMap">
    <w:name w:val="Document Map"/>
    <w:basedOn w:val="Normal"/>
    <w:link w:val="DocumentMapChar"/>
    <w:uiPriority w:val="99"/>
    <w:semiHidden/>
    <w:unhideWhenUsed/>
    <w:rsid w:val="00CA7943"/>
    <w:rPr>
      <w:rFonts w:ascii="Tahoma" w:hAnsi="Tahoma" w:cs="Tahoma"/>
      <w:sz w:val="16"/>
      <w:szCs w:val="16"/>
    </w:rPr>
  </w:style>
  <w:style w:type="character" w:customStyle="1" w:styleId="DocumentMapChar">
    <w:name w:val="Document Map Char"/>
    <w:basedOn w:val="DefaultParagraphFont"/>
    <w:link w:val="DocumentMap"/>
    <w:uiPriority w:val="99"/>
    <w:semiHidden/>
    <w:rsid w:val="00CA7943"/>
    <w:rPr>
      <w:rFonts w:ascii="Tahoma" w:hAnsi="Tahoma" w:cs="Tahoma"/>
      <w:sz w:val="16"/>
      <w:szCs w:val="16"/>
    </w:rPr>
  </w:style>
  <w:style w:type="numbering" w:customStyle="1" w:styleId="ERTHeadingStyles">
    <w:name w:val="ERT Heading Styles"/>
    <w:uiPriority w:val="99"/>
    <w:rsid w:val="000A14EB"/>
    <w:pPr>
      <w:numPr>
        <w:numId w:val="2"/>
      </w:numPr>
    </w:pPr>
  </w:style>
  <w:style w:type="paragraph" w:customStyle="1" w:styleId="TableSubheading">
    <w:name w:val="Table Subheading"/>
    <w:basedOn w:val="Normal"/>
    <w:next w:val="Normal"/>
    <w:link w:val="TableSubheadingChar"/>
    <w:qFormat/>
    <w:rsid w:val="00B20E47"/>
    <w:rPr>
      <w:b/>
      <w:sz w:val="20"/>
    </w:rPr>
  </w:style>
  <w:style w:type="character" w:customStyle="1" w:styleId="TableSubheadingChar">
    <w:name w:val="Table Subheading Char"/>
    <w:basedOn w:val="TableCellNumbersChar"/>
    <w:link w:val="TableSubheading"/>
    <w:rsid w:val="00B20E47"/>
    <w:rPr>
      <w:rFonts w:ascii="Calibri" w:eastAsia="Times New Roman" w:hAnsi="Calibri" w:cs="Times New Roman"/>
      <w:b/>
      <w:sz w:val="20"/>
      <w:szCs w:val="18"/>
    </w:rPr>
  </w:style>
  <w:style w:type="paragraph" w:customStyle="1" w:styleId="Figure">
    <w:name w:val="Figure"/>
    <w:basedOn w:val="BodyText"/>
    <w:next w:val="Normal"/>
    <w:link w:val="FigureChar"/>
    <w:qFormat/>
    <w:rsid w:val="007103FB"/>
    <w:pPr>
      <w:keepNext/>
      <w:spacing w:after="0"/>
      <w:jc w:val="center"/>
    </w:pPr>
  </w:style>
  <w:style w:type="character" w:customStyle="1" w:styleId="FigureChar">
    <w:name w:val="Figure Char"/>
    <w:basedOn w:val="BodyTextChar"/>
    <w:link w:val="Figure"/>
    <w:rsid w:val="007103FB"/>
    <w:rPr>
      <w:rFonts w:ascii="Calibri" w:hAnsi="Calibri" w:cs="Arial"/>
    </w:rPr>
  </w:style>
  <w:style w:type="paragraph" w:customStyle="1" w:styleId="HangingText">
    <w:name w:val="Hanging Text"/>
    <w:basedOn w:val="Normal"/>
    <w:next w:val="Normal"/>
    <w:link w:val="HangingTextChar"/>
    <w:qFormat/>
    <w:rsid w:val="009203FA"/>
    <w:pPr>
      <w:tabs>
        <w:tab w:val="right" w:pos="2160"/>
        <w:tab w:val="left" w:pos="2520"/>
      </w:tabs>
      <w:spacing w:after="240" w:line="276" w:lineRule="auto"/>
      <w:ind w:left="2340" w:hanging="1620"/>
    </w:pPr>
    <w:rPr>
      <w:rFonts w:cs="Arial"/>
    </w:rPr>
  </w:style>
  <w:style w:type="character" w:customStyle="1" w:styleId="HangingTextChar">
    <w:name w:val="Hanging Text Char"/>
    <w:basedOn w:val="DefaultParagraphFont"/>
    <w:link w:val="HangingText"/>
    <w:rsid w:val="009203FA"/>
    <w:rPr>
      <w:rFonts w:ascii="Calibri" w:hAnsi="Calibri" w:cs="Arial"/>
    </w:rPr>
  </w:style>
  <w:style w:type="character" w:customStyle="1" w:styleId="DateTitlePageChar">
    <w:name w:val="Date_Title Page Char"/>
    <w:basedOn w:val="DefaultParagraphFont"/>
    <w:link w:val="DateTitlePage"/>
    <w:rsid w:val="00FD0BF6"/>
    <w:rPr>
      <w:rFonts w:ascii="Calibri" w:hAnsi="Calibri" w:cs="Arial"/>
      <w:sz w:val="28"/>
      <w:szCs w:val="28"/>
    </w:rPr>
  </w:style>
  <w:style w:type="paragraph" w:customStyle="1" w:styleId="TextBoxText">
    <w:name w:val="Text Box Text"/>
    <w:basedOn w:val="Normal"/>
    <w:link w:val="TextBoxTextChar"/>
    <w:qFormat/>
    <w:rsid w:val="00B20E47"/>
    <w:rPr>
      <w:sz w:val="18"/>
    </w:rPr>
  </w:style>
  <w:style w:type="character" w:customStyle="1" w:styleId="TextBoxTextChar">
    <w:name w:val="Text Box Text Char"/>
    <w:basedOn w:val="TextBoxTitleChar"/>
    <w:link w:val="TextBoxText"/>
    <w:rsid w:val="00B20E47"/>
    <w:rPr>
      <w:rFonts w:ascii="Calibri" w:hAnsi="Calibri" w:cs="Calibri"/>
      <w:b w:val="0"/>
      <w:sz w:val="18"/>
      <w:szCs w:val="18"/>
    </w:rPr>
  </w:style>
  <w:style w:type="paragraph" w:customStyle="1" w:styleId="TableFootnoteReference">
    <w:name w:val="Table Footnote Reference"/>
    <w:basedOn w:val="TableFootnote"/>
    <w:link w:val="TableFootnoteReferenceChar"/>
    <w:qFormat/>
    <w:rsid w:val="00B20E47"/>
    <w:pPr>
      <w:ind w:left="225"/>
    </w:pPr>
    <w:rPr>
      <w:vertAlign w:val="superscript"/>
    </w:rPr>
  </w:style>
  <w:style w:type="numbering" w:customStyle="1" w:styleId="ERTHeadings">
    <w:name w:val="ERT Headings"/>
    <w:uiPriority w:val="99"/>
    <w:rsid w:val="000A14EB"/>
  </w:style>
  <w:style w:type="character" w:customStyle="1" w:styleId="TableFootnoteReferenceChar">
    <w:name w:val="Table Footnote Reference Char"/>
    <w:basedOn w:val="TableFootnoteChar"/>
    <w:link w:val="TableFootnoteReference"/>
    <w:rsid w:val="00B20E47"/>
    <w:rPr>
      <w:rFonts w:ascii="Calibri" w:hAnsi="Calibri" w:cs="Times New Roman"/>
      <w:sz w:val="20"/>
      <w:szCs w:val="20"/>
      <w:vertAlign w:val="superscript"/>
    </w:rPr>
  </w:style>
  <w:style w:type="paragraph" w:styleId="ListParagraph">
    <w:name w:val="List Paragraph"/>
    <w:basedOn w:val="Normal"/>
    <w:uiPriority w:val="34"/>
    <w:qFormat/>
    <w:rsid w:val="0097795A"/>
    <w:pPr>
      <w:ind w:left="720"/>
      <w:contextualSpacing/>
    </w:pPr>
  </w:style>
  <w:style w:type="character" w:customStyle="1" w:styleId="Bullet1Char">
    <w:name w:val="Bullet 1 Char"/>
    <w:basedOn w:val="DefaultParagraphFont"/>
    <w:link w:val="Bullet10"/>
    <w:rsid w:val="005F6257"/>
    <w:rPr>
      <w:rFonts w:ascii="Calibri" w:eastAsia="Times New Roman" w:hAnsi="Calibri" w:cs="Times New Roman"/>
    </w:rPr>
  </w:style>
  <w:style w:type="character" w:customStyle="1" w:styleId="Bullet2Char">
    <w:name w:val="Bullet 2 Char"/>
    <w:basedOn w:val="Bullet1Char"/>
    <w:link w:val="Bullet2"/>
    <w:rsid w:val="005F6257"/>
    <w:rPr>
      <w:rFonts w:ascii="Calibri" w:eastAsia="Times New Roman" w:hAnsi="Calibri" w:cs="Times New Roman"/>
    </w:rPr>
  </w:style>
  <w:style w:type="character" w:customStyle="1" w:styleId="Bullet2LastChar">
    <w:name w:val="Bullet 2 Last Char"/>
    <w:basedOn w:val="Bullet2Char"/>
    <w:link w:val="Bullet2Last"/>
    <w:rsid w:val="005F6257"/>
    <w:rPr>
      <w:rFonts w:ascii="Calibri" w:eastAsia="Times New Roman" w:hAnsi="Calibri" w:cs="Times New Roman"/>
    </w:rPr>
  </w:style>
  <w:style w:type="paragraph" w:customStyle="1" w:styleId="NumberedListSecondLevel">
    <w:name w:val="Numbered List Second Level"/>
    <w:basedOn w:val="Normal"/>
    <w:link w:val="NumberedListSecondLevelChar"/>
    <w:qFormat/>
    <w:rsid w:val="00607034"/>
    <w:pPr>
      <w:numPr>
        <w:ilvl w:val="1"/>
        <w:numId w:val="4"/>
      </w:numPr>
      <w:tabs>
        <w:tab w:val="left" w:pos="360"/>
      </w:tabs>
      <w:spacing w:line="276" w:lineRule="auto"/>
    </w:pPr>
    <w:rPr>
      <w:rFonts w:cs="Arial"/>
    </w:rPr>
  </w:style>
  <w:style w:type="character" w:customStyle="1" w:styleId="Bullet3Char">
    <w:name w:val="Bullet 3 Char"/>
    <w:basedOn w:val="Bullet1Char"/>
    <w:link w:val="Bullet3"/>
    <w:rsid w:val="005F6257"/>
    <w:rPr>
      <w:rFonts w:ascii="Calibri" w:eastAsia="Times New Roman" w:hAnsi="Calibri" w:cs="Times New Roman"/>
    </w:rPr>
  </w:style>
  <w:style w:type="character" w:customStyle="1" w:styleId="Bullet3LastChar">
    <w:name w:val="Bullet 3 Last Char"/>
    <w:basedOn w:val="Bullet3Char"/>
    <w:link w:val="Bullet3Last"/>
    <w:rsid w:val="005F6257"/>
    <w:rPr>
      <w:rFonts w:ascii="Calibri" w:eastAsia="Times New Roman" w:hAnsi="Calibri" w:cs="Times New Roman"/>
    </w:rPr>
  </w:style>
  <w:style w:type="character" w:customStyle="1" w:styleId="NumberedListSecondLevelChar">
    <w:name w:val="Numbered List Second Level Char"/>
    <w:basedOn w:val="DefaultParagraphFont"/>
    <w:link w:val="NumberedListSecondLevel"/>
    <w:rsid w:val="00607034"/>
    <w:rPr>
      <w:rFonts w:ascii="Calibri" w:hAnsi="Calibri" w:cs="Arial"/>
    </w:rPr>
  </w:style>
  <w:style w:type="character" w:styleId="CommentReference">
    <w:name w:val="annotation reference"/>
    <w:basedOn w:val="DefaultParagraphFont"/>
    <w:uiPriority w:val="99"/>
    <w:semiHidden/>
    <w:unhideWhenUsed/>
    <w:rsid w:val="00881BE2"/>
    <w:rPr>
      <w:sz w:val="16"/>
      <w:szCs w:val="16"/>
    </w:rPr>
  </w:style>
  <w:style w:type="paragraph" w:styleId="CommentText">
    <w:name w:val="annotation text"/>
    <w:basedOn w:val="Normal"/>
    <w:link w:val="CommentTextChar"/>
    <w:uiPriority w:val="99"/>
    <w:semiHidden/>
    <w:unhideWhenUsed/>
    <w:rsid w:val="00881BE2"/>
    <w:rPr>
      <w:sz w:val="20"/>
      <w:szCs w:val="20"/>
    </w:rPr>
  </w:style>
  <w:style w:type="character" w:customStyle="1" w:styleId="CommentTextChar">
    <w:name w:val="Comment Text Char"/>
    <w:basedOn w:val="DefaultParagraphFont"/>
    <w:link w:val="CommentText"/>
    <w:uiPriority w:val="99"/>
    <w:semiHidden/>
    <w:rsid w:val="00881BE2"/>
    <w:rPr>
      <w:rFonts w:ascii="Calibri" w:hAnsi="Calibri" w:cs="Times New Roman"/>
      <w:sz w:val="20"/>
      <w:szCs w:val="20"/>
    </w:rPr>
  </w:style>
  <w:style w:type="paragraph" w:styleId="Footer">
    <w:name w:val="footer"/>
    <w:basedOn w:val="Normal"/>
    <w:link w:val="FooterChar"/>
    <w:unhideWhenUsed/>
    <w:qFormat/>
    <w:rsid w:val="000445D4"/>
    <w:pPr>
      <w:tabs>
        <w:tab w:val="center" w:pos="4680"/>
        <w:tab w:val="right" w:pos="9360"/>
      </w:tabs>
    </w:pPr>
  </w:style>
  <w:style w:type="character" w:customStyle="1" w:styleId="FooterChar">
    <w:name w:val="Footer Char"/>
    <w:basedOn w:val="DefaultParagraphFont"/>
    <w:link w:val="Footer"/>
    <w:rsid w:val="000445D4"/>
    <w:rPr>
      <w:rFonts w:ascii="Calibri" w:hAnsi="Calibri" w:cs="Times New Roman"/>
    </w:rPr>
  </w:style>
  <w:style w:type="paragraph" w:customStyle="1" w:styleId="Bullet1">
    <w:name w:val="Bullet 1+"/>
    <w:basedOn w:val="Bullet10"/>
    <w:next w:val="BodyText"/>
    <w:qFormat/>
    <w:rsid w:val="0067512C"/>
    <w:pPr>
      <w:numPr>
        <w:numId w:val="5"/>
      </w:numPr>
      <w:spacing w:after="240"/>
    </w:pPr>
    <w:rPr>
      <w:rFonts w:asciiTheme="minorHAnsi" w:hAnsiTheme="minorHAnsi" w:cstheme="minorHAnsi"/>
    </w:rPr>
  </w:style>
  <w:style w:type="paragraph" w:styleId="NormalWeb">
    <w:name w:val="Normal (Web)"/>
    <w:basedOn w:val="Normal"/>
    <w:uiPriority w:val="99"/>
    <w:unhideWhenUsed/>
    <w:rsid w:val="00B0776A"/>
    <w:pPr>
      <w:spacing w:before="100" w:beforeAutospacing="1" w:after="100" w:afterAutospacing="1"/>
    </w:pPr>
    <w:rPr>
      <w:rFonts w:ascii="Times New Roman" w:eastAsia="Times New Roman" w:hAnsi="Times New Roman"/>
      <w:sz w:val="24"/>
      <w:szCs w:val="24"/>
    </w:rPr>
  </w:style>
  <w:style w:type="paragraph" w:styleId="Caption">
    <w:name w:val="caption"/>
    <w:basedOn w:val="Normal"/>
    <w:next w:val="Normal"/>
    <w:uiPriority w:val="35"/>
    <w:unhideWhenUsed/>
    <w:qFormat/>
    <w:rsid w:val="002E4D87"/>
    <w:pPr>
      <w:spacing w:after="200"/>
    </w:pPr>
    <w:rPr>
      <w:rFonts w:asciiTheme="minorHAnsi" w:hAnsiTheme="minorHAnsi" w:cstheme="minorBidi"/>
      <w:i/>
      <w:iCs/>
      <w:color w:val="757561" w:themeColor="text2"/>
      <w:sz w:val="18"/>
      <w:szCs w:val="18"/>
    </w:rPr>
  </w:style>
  <w:style w:type="table" w:customStyle="1" w:styleId="ListTable3-Accent11">
    <w:name w:val="List Table 3 - Accent 11"/>
    <w:basedOn w:val="TableNormal"/>
    <w:uiPriority w:val="48"/>
    <w:rsid w:val="002E4D87"/>
    <w:pPr>
      <w:spacing w:after="0" w:line="240" w:lineRule="auto"/>
    </w:pPr>
    <w:tblPr>
      <w:tblStyleRowBandSize w:val="1"/>
      <w:tblStyleColBandSize w:val="1"/>
      <w:tblBorders>
        <w:top w:val="single" w:sz="4" w:space="0" w:color="0067AB" w:themeColor="accent1"/>
        <w:left w:val="single" w:sz="4" w:space="0" w:color="0067AB" w:themeColor="accent1"/>
        <w:bottom w:val="single" w:sz="4" w:space="0" w:color="0067AB" w:themeColor="accent1"/>
        <w:right w:val="single" w:sz="4" w:space="0" w:color="0067AB" w:themeColor="accent1"/>
      </w:tblBorders>
    </w:tblPr>
    <w:tblStylePr w:type="firstRow">
      <w:rPr>
        <w:b/>
        <w:bCs/>
        <w:color w:val="FFFFFF" w:themeColor="background1"/>
      </w:rPr>
      <w:tblPr/>
      <w:tcPr>
        <w:shd w:val="clear" w:color="auto" w:fill="0067AB" w:themeFill="accent1"/>
      </w:tcPr>
    </w:tblStylePr>
    <w:tblStylePr w:type="lastRow">
      <w:rPr>
        <w:b/>
        <w:bCs/>
      </w:rPr>
      <w:tblPr/>
      <w:tcPr>
        <w:tcBorders>
          <w:top w:val="double" w:sz="4" w:space="0" w:color="0067A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7AB" w:themeColor="accent1"/>
          <w:right w:val="single" w:sz="4" w:space="0" w:color="0067AB" w:themeColor="accent1"/>
        </w:tcBorders>
      </w:tcPr>
    </w:tblStylePr>
    <w:tblStylePr w:type="band1Horz">
      <w:tblPr/>
      <w:tcPr>
        <w:tcBorders>
          <w:top w:val="single" w:sz="4" w:space="0" w:color="0067AB" w:themeColor="accent1"/>
          <w:bottom w:val="single" w:sz="4" w:space="0" w:color="0067A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7AB" w:themeColor="accent1"/>
          <w:left w:val="nil"/>
        </w:tcBorders>
      </w:tcPr>
    </w:tblStylePr>
    <w:tblStylePr w:type="swCell">
      <w:tblPr/>
      <w:tcPr>
        <w:tcBorders>
          <w:top w:val="double" w:sz="4" w:space="0" w:color="0067AB" w:themeColor="accent1"/>
          <w:right w:val="nil"/>
        </w:tcBorders>
      </w:tcPr>
    </w:tblStylePr>
  </w:style>
  <w:style w:type="table" w:customStyle="1" w:styleId="ListTable31">
    <w:name w:val="List Table 31"/>
    <w:basedOn w:val="TableNormal"/>
    <w:uiPriority w:val="48"/>
    <w:rsid w:val="002E4D8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GridTable1Light-Accent11">
    <w:name w:val="Grid Table 1 Light - Accent 11"/>
    <w:basedOn w:val="TableNormal"/>
    <w:uiPriority w:val="46"/>
    <w:rsid w:val="002E56ED"/>
    <w:pPr>
      <w:spacing w:after="0" w:line="240" w:lineRule="auto"/>
    </w:pPr>
    <w:tblPr>
      <w:tblStyleRowBandSize w:val="1"/>
      <w:tblStyleColBandSize w:val="1"/>
      <w:tblBorders>
        <w:top w:val="single" w:sz="4" w:space="0" w:color="77C8FF" w:themeColor="accent1" w:themeTint="66"/>
        <w:left w:val="single" w:sz="4" w:space="0" w:color="77C8FF" w:themeColor="accent1" w:themeTint="66"/>
        <w:bottom w:val="single" w:sz="4" w:space="0" w:color="77C8FF" w:themeColor="accent1" w:themeTint="66"/>
        <w:right w:val="single" w:sz="4" w:space="0" w:color="77C8FF" w:themeColor="accent1" w:themeTint="66"/>
        <w:insideH w:val="single" w:sz="4" w:space="0" w:color="77C8FF" w:themeColor="accent1" w:themeTint="66"/>
        <w:insideV w:val="single" w:sz="4" w:space="0" w:color="77C8FF" w:themeColor="accent1" w:themeTint="66"/>
      </w:tblBorders>
    </w:tblPr>
    <w:tblStylePr w:type="firstRow">
      <w:rPr>
        <w:b/>
        <w:bCs/>
      </w:rPr>
      <w:tblPr/>
      <w:tcPr>
        <w:tcBorders>
          <w:bottom w:val="single" w:sz="12" w:space="0" w:color="33ADFF" w:themeColor="accent1" w:themeTint="99"/>
        </w:tcBorders>
      </w:tcPr>
    </w:tblStylePr>
    <w:tblStylePr w:type="lastRow">
      <w:rPr>
        <w:b/>
        <w:bCs/>
      </w:rPr>
      <w:tblPr/>
      <w:tcPr>
        <w:tcBorders>
          <w:top w:val="double" w:sz="2" w:space="0" w:color="33ADFF" w:themeColor="accent1" w:themeTint="99"/>
        </w:tcBorders>
      </w:tcPr>
    </w:tblStylePr>
    <w:tblStylePr w:type="firstCol">
      <w:rPr>
        <w:b/>
        <w:bCs/>
      </w:rPr>
    </w:tblStylePr>
    <w:tblStylePr w:type="lastCol">
      <w:rPr>
        <w:b/>
        <w:bCs/>
      </w:rPr>
    </w:tblStylePr>
  </w:style>
  <w:style w:type="table" w:customStyle="1" w:styleId="GridTable3-Accent11">
    <w:name w:val="Grid Table 3 - Accent 11"/>
    <w:basedOn w:val="TableNormal"/>
    <w:uiPriority w:val="48"/>
    <w:rsid w:val="003119C3"/>
    <w:pPr>
      <w:spacing w:after="0" w:line="240" w:lineRule="auto"/>
    </w:pPr>
    <w:tblPr>
      <w:tblStyleRowBandSize w:val="1"/>
      <w:tblStyleColBandSize w:val="1"/>
      <w:tblBorders>
        <w:top w:val="single" w:sz="4" w:space="0" w:color="33ADFF" w:themeColor="accent1" w:themeTint="99"/>
        <w:left w:val="single" w:sz="4" w:space="0" w:color="33ADFF" w:themeColor="accent1" w:themeTint="99"/>
        <w:bottom w:val="single" w:sz="4" w:space="0" w:color="33ADFF" w:themeColor="accent1" w:themeTint="99"/>
        <w:right w:val="single" w:sz="4" w:space="0" w:color="33ADFF" w:themeColor="accent1" w:themeTint="99"/>
        <w:insideH w:val="single" w:sz="4" w:space="0" w:color="33ADFF" w:themeColor="accent1" w:themeTint="99"/>
        <w:insideV w:val="single" w:sz="4" w:space="0" w:color="33A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E3FF" w:themeFill="accent1" w:themeFillTint="33"/>
      </w:tcPr>
    </w:tblStylePr>
    <w:tblStylePr w:type="band1Horz">
      <w:tblPr/>
      <w:tcPr>
        <w:shd w:val="clear" w:color="auto" w:fill="BBE3FF" w:themeFill="accent1" w:themeFillTint="33"/>
      </w:tcPr>
    </w:tblStylePr>
    <w:tblStylePr w:type="neCell">
      <w:tblPr/>
      <w:tcPr>
        <w:tcBorders>
          <w:bottom w:val="single" w:sz="4" w:space="0" w:color="33ADFF" w:themeColor="accent1" w:themeTint="99"/>
        </w:tcBorders>
      </w:tcPr>
    </w:tblStylePr>
    <w:tblStylePr w:type="nwCell">
      <w:tblPr/>
      <w:tcPr>
        <w:tcBorders>
          <w:bottom w:val="single" w:sz="4" w:space="0" w:color="33ADFF" w:themeColor="accent1" w:themeTint="99"/>
        </w:tcBorders>
      </w:tcPr>
    </w:tblStylePr>
    <w:tblStylePr w:type="seCell">
      <w:tblPr/>
      <w:tcPr>
        <w:tcBorders>
          <w:top w:val="single" w:sz="4" w:space="0" w:color="33ADFF" w:themeColor="accent1" w:themeTint="99"/>
        </w:tcBorders>
      </w:tcPr>
    </w:tblStylePr>
    <w:tblStylePr w:type="swCell">
      <w:tblPr/>
      <w:tcPr>
        <w:tcBorders>
          <w:top w:val="single" w:sz="4" w:space="0" w:color="33ADFF"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927687">
      <w:bodyDiv w:val="1"/>
      <w:marLeft w:val="0"/>
      <w:marRight w:val="0"/>
      <w:marTop w:val="0"/>
      <w:marBottom w:val="0"/>
      <w:divBdr>
        <w:top w:val="none" w:sz="0" w:space="0" w:color="auto"/>
        <w:left w:val="none" w:sz="0" w:space="0" w:color="auto"/>
        <w:bottom w:val="none" w:sz="0" w:space="0" w:color="auto"/>
        <w:right w:val="none" w:sz="0" w:space="0" w:color="auto"/>
      </w:divBdr>
    </w:div>
    <w:div w:id="123273617">
      <w:bodyDiv w:val="1"/>
      <w:marLeft w:val="0"/>
      <w:marRight w:val="0"/>
      <w:marTop w:val="0"/>
      <w:marBottom w:val="0"/>
      <w:divBdr>
        <w:top w:val="none" w:sz="0" w:space="0" w:color="auto"/>
        <w:left w:val="none" w:sz="0" w:space="0" w:color="auto"/>
        <w:bottom w:val="none" w:sz="0" w:space="0" w:color="auto"/>
        <w:right w:val="none" w:sz="0" w:space="0" w:color="auto"/>
      </w:divBdr>
    </w:div>
    <w:div w:id="350766606">
      <w:bodyDiv w:val="1"/>
      <w:marLeft w:val="0"/>
      <w:marRight w:val="0"/>
      <w:marTop w:val="0"/>
      <w:marBottom w:val="0"/>
      <w:divBdr>
        <w:top w:val="none" w:sz="0" w:space="0" w:color="auto"/>
        <w:left w:val="none" w:sz="0" w:space="0" w:color="auto"/>
        <w:bottom w:val="none" w:sz="0" w:space="0" w:color="auto"/>
        <w:right w:val="none" w:sz="0" w:space="0" w:color="auto"/>
      </w:divBdr>
    </w:div>
    <w:div w:id="385225966">
      <w:bodyDiv w:val="1"/>
      <w:marLeft w:val="0"/>
      <w:marRight w:val="0"/>
      <w:marTop w:val="0"/>
      <w:marBottom w:val="0"/>
      <w:divBdr>
        <w:top w:val="none" w:sz="0" w:space="0" w:color="auto"/>
        <w:left w:val="none" w:sz="0" w:space="0" w:color="auto"/>
        <w:bottom w:val="none" w:sz="0" w:space="0" w:color="auto"/>
        <w:right w:val="none" w:sz="0" w:space="0" w:color="auto"/>
      </w:divBdr>
    </w:div>
    <w:div w:id="486439339">
      <w:bodyDiv w:val="1"/>
      <w:marLeft w:val="0"/>
      <w:marRight w:val="0"/>
      <w:marTop w:val="0"/>
      <w:marBottom w:val="0"/>
      <w:divBdr>
        <w:top w:val="none" w:sz="0" w:space="0" w:color="auto"/>
        <w:left w:val="none" w:sz="0" w:space="0" w:color="auto"/>
        <w:bottom w:val="none" w:sz="0" w:space="0" w:color="auto"/>
        <w:right w:val="none" w:sz="0" w:space="0" w:color="auto"/>
      </w:divBdr>
    </w:div>
    <w:div w:id="778523234">
      <w:bodyDiv w:val="1"/>
      <w:marLeft w:val="0"/>
      <w:marRight w:val="0"/>
      <w:marTop w:val="0"/>
      <w:marBottom w:val="0"/>
      <w:divBdr>
        <w:top w:val="none" w:sz="0" w:space="0" w:color="auto"/>
        <w:left w:val="none" w:sz="0" w:space="0" w:color="auto"/>
        <w:bottom w:val="none" w:sz="0" w:space="0" w:color="auto"/>
        <w:right w:val="none" w:sz="0" w:space="0" w:color="auto"/>
      </w:divBdr>
    </w:div>
    <w:div w:id="864094284">
      <w:bodyDiv w:val="1"/>
      <w:marLeft w:val="0"/>
      <w:marRight w:val="0"/>
      <w:marTop w:val="0"/>
      <w:marBottom w:val="0"/>
      <w:divBdr>
        <w:top w:val="none" w:sz="0" w:space="0" w:color="auto"/>
        <w:left w:val="none" w:sz="0" w:space="0" w:color="auto"/>
        <w:bottom w:val="none" w:sz="0" w:space="0" w:color="auto"/>
        <w:right w:val="none" w:sz="0" w:space="0" w:color="auto"/>
      </w:divBdr>
    </w:div>
    <w:div w:id="1002389570">
      <w:bodyDiv w:val="1"/>
      <w:marLeft w:val="0"/>
      <w:marRight w:val="0"/>
      <w:marTop w:val="0"/>
      <w:marBottom w:val="0"/>
      <w:divBdr>
        <w:top w:val="none" w:sz="0" w:space="0" w:color="auto"/>
        <w:left w:val="none" w:sz="0" w:space="0" w:color="auto"/>
        <w:bottom w:val="none" w:sz="0" w:space="0" w:color="auto"/>
        <w:right w:val="none" w:sz="0" w:space="0" w:color="auto"/>
      </w:divBdr>
    </w:div>
    <w:div w:id="1050307623">
      <w:bodyDiv w:val="1"/>
      <w:marLeft w:val="0"/>
      <w:marRight w:val="0"/>
      <w:marTop w:val="0"/>
      <w:marBottom w:val="0"/>
      <w:divBdr>
        <w:top w:val="none" w:sz="0" w:space="0" w:color="auto"/>
        <w:left w:val="none" w:sz="0" w:space="0" w:color="auto"/>
        <w:bottom w:val="none" w:sz="0" w:space="0" w:color="auto"/>
        <w:right w:val="none" w:sz="0" w:space="0" w:color="auto"/>
      </w:divBdr>
    </w:div>
    <w:div w:id="1104421442">
      <w:bodyDiv w:val="1"/>
      <w:marLeft w:val="0"/>
      <w:marRight w:val="0"/>
      <w:marTop w:val="0"/>
      <w:marBottom w:val="0"/>
      <w:divBdr>
        <w:top w:val="none" w:sz="0" w:space="0" w:color="auto"/>
        <w:left w:val="none" w:sz="0" w:space="0" w:color="auto"/>
        <w:bottom w:val="none" w:sz="0" w:space="0" w:color="auto"/>
        <w:right w:val="none" w:sz="0" w:space="0" w:color="auto"/>
      </w:divBdr>
    </w:div>
    <w:div w:id="1356808752">
      <w:bodyDiv w:val="1"/>
      <w:marLeft w:val="0"/>
      <w:marRight w:val="0"/>
      <w:marTop w:val="0"/>
      <w:marBottom w:val="0"/>
      <w:divBdr>
        <w:top w:val="none" w:sz="0" w:space="0" w:color="auto"/>
        <w:left w:val="none" w:sz="0" w:space="0" w:color="auto"/>
        <w:bottom w:val="none" w:sz="0" w:space="0" w:color="auto"/>
        <w:right w:val="none" w:sz="0" w:space="0" w:color="auto"/>
      </w:divBdr>
    </w:div>
    <w:div w:id="1432165666">
      <w:bodyDiv w:val="1"/>
      <w:marLeft w:val="0"/>
      <w:marRight w:val="0"/>
      <w:marTop w:val="0"/>
      <w:marBottom w:val="0"/>
      <w:divBdr>
        <w:top w:val="none" w:sz="0" w:space="0" w:color="auto"/>
        <w:left w:val="none" w:sz="0" w:space="0" w:color="auto"/>
        <w:bottom w:val="none" w:sz="0" w:space="0" w:color="auto"/>
        <w:right w:val="none" w:sz="0" w:space="0" w:color="auto"/>
      </w:divBdr>
    </w:div>
    <w:div w:id="1454402528">
      <w:bodyDiv w:val="1"/>
      <w:marLeft w:val="0"/>
      <w:marRight w:val="0"/>
      <w:marTop w:val="0"/>
      <w:marBottom w:val="0"/>
      <w:divBdr>
        <w:top w:val="none" w:sz="0" w:space="0" w:color="auto"/>
        <w:left w:val="none" w:sz="0" w:space="0" w:color="auto"/>
        <w:bottom w:val="none" w:sz="0" w:space="0" w:color="auto"/>
        <w:right w:val="none" w:sz="0" w:space="0" w:color="auto"/>
      </w:divBdr>
    </w:div>
    <w:div w:id="1619295586">
      <w:bodyDiv w:val="1"/>
      <w:marLeft w:val="0"/>
      <w:marRight w:val="0"/>
      <w:marTop w:val="0"/>
      <w:marBottom w:val="0"/>
      <w:divBdr>
        <w:top w:val="none" w:sz="0" w:space="0" w:color="auto"/>
        <w:left w:val="none" w:sz="0" w:space="0" w:color="auto"/>
        <w:bottom w:val="none" w:sz="0" w:space="0" w:color="auto"/>
        <w:right w:val="none" w:sz="0" w:space="0" w:color="auto"/>
      </w:divBdr>
    </w:div>
    <w:div w:id="1736123670">
      <w:bodyDiv w:val="1"/>
      <w:marLeft w:val="0"/>
      <w:marRight w:val="0"/>
      <w:marTop w:val="0"/>
      <w:marBottom w:val="0"/>
      <w:divBdr>
        <w:top w:val="none" w:sz="0" w:space="0" w:color="auto"/>
        <w:left w:val="none" w:sz="0" w:space="0" w:color="auto"/>
        <w:bottom w:val="none" w:sz="0" w:space="0" w:color="auto"/>
        <w:right w:val="none" w:sz="0" w:space="0" w:color="auto"/>
      </w:divBdr>
    </w:div>
    <w:div w:id="1860386934">
      <w:bodyDiv w:val="1"/>
      <w:marLeft w:val="0"/>
      <w:marRight w:val="0"/>
      <w:marTop w:val="0"/>
      <w:marBottom w:val="0"/>
      <w:divBdr>
        <w:top w:val="none" w:sz="0" w:space="0" w:color="auto"/>
        <w:left w:val="none" w:sz="0" w:space="0" w:color="auto"/>
        <w:bottom w:val="none" w:sz="0" w:space="0" w:color="auto"/>
        <w:right w:val="none" w:sz="0" w:space="0" w:color="auto"/>
      </w:divBdr>
    </w:div>
    <w:div w:id="2028798267">
      <w:bodyDiv w:val="1"/>
      <w:marLeft w:val="0"/>
      <w:marRight w:val="0"/>
      <w:marTop w:val="0"/>
      <w:marBottom w:val="0"/>
      <w:divBdr>
        <w:top w:val="none" w:sz="0" w:space="0" w:color="auto"/>
        <w:left w:val="none" w:sz="0" w:space="0" w:color="auto"/>
        <w:bottom w:val="none" w:sz="0" w:space="0" w:color="auto"/>
        <w:right w:val="none" w:sz="0" w:space="0" w:color="auto"/>
      </w:divBdr>
    </w:div>
    <w:div w:id="2097510698">
      <w:bodyDiv w:val="1"/>
      <w:marLeft w:val="0"/>
      <w:marRight w:val="0"/>
      <w:marTop w:val="0"/>
      <w:marBottom w:val="0"/>
      <w:divBdr>
        <w:top w:val="none" w:sz="0" w:space="0" w:color="auto"/>
        <w:left w:val="none" w:sz="0" w:space="0" w:color="auto"/>
        <w:bottom w:val="none" w:sz="0" w:space="0" w:color="auto"/>
        <w:right w:val="none" w:sz="0" w:space="0" w:color="auto"/>
      </w:divBdr>
    </w:div>
    <w:div w:id="2112161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header" Target="header8.xml"/><Relationship Id="rId39" Type="http://schemas.openxmlformats.org/officeDocument/2006/relationships/image" Target="media/image15.png"/><Relationship Id="rId21" Type="http://schemas.openxmlformats.org/officeDocument/2006/relationships/header" Target="header5.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29.png"/><Relationship Id="rId63" Type="http://schemas.openxmlformats.org/officeDocument/2006/relationships/footer" Target="footer12.xml"/><Relationship Id="rId68" Type="http://schemas.openxmlformats.org/officeDocument/2006/relationships/image" Target="media/image36.png"/><Relationship Id="rId76" Type="http://schemas.openxmlformats.org/officeDocument/2006/relationships/image" Target="media/image41.emf"/><Relationship Id="rId84" Type="http://schemas.openxmlformats.org/officeDocument/2006/relationships/hyperlink" Target="http://www.afdc.energy.gov/fuels/prices.html" TargetMode="External"/><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38.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5.emf"/><Relationship Id="rId11" Type="http://schemas.openxmlformats.org/officeDocument/2006/relationships/image" Target="media/image2.png"/><Relationship Id="rId24" Type="http://schemas.openxmlformats.org/officeDocument/2006/relationships/header" Target="header7.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7.png"/><Relationship Id="rId58" Type="http://schemas.openxmlformats.org/officeDocument/2006/relationships/header" Target="header10.xml"/><Relationship Id="rId66" Type="http://schemas.openxmlformats.org/officeDocument/2006/relationships/footer" Target="footer13.xml"/><Relationship Id="rId74" Type="http://schemas.openxmlformats.org/officeDocument/2006/relationships/hyperlink" Target="https://www.epa.gov/energy/egrid" TargetMode="External"/><Relationship Id="rId79" Type="http://schemas.openxmlformats.org/officeDocument/2006/relationships/hyperlink" Target="http://www.afdc.energy.gov/fuels/prices.html" TargetMode="External"/><Relationship Id="rId87" Type="http://schemas.openxmlformats.org/officeDocument/2006/relationships/hyperlink" Target="http://www.afdc.energy.gov/fuels/prices.html" TargetMode="External"/><Relationship Id="rId5" Type="http://schemas.openxmlformats.org/officeDocument/2006/relationships/numbering" Target="numbering.xml"/><Relationship Id="rId61" Type="http://schemas.openxmlformats.org/officeDocument/2006/relationships/image" Target="media/image33.png"/><Relationship Id="rId82" Type="http://schemas.openxmlformats.org/officeDocument/2006/relationships/hyperlink" Target="http://www.afdc.energy.gov/fuels/prices.html" TargetMode="External"/><Relationship Id="rId90" Type="http://schemas.openxmlformats.org/officeDocument/2006/relationships/theme" Target="theme/theme1.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0.png"/><Relationship Id="rId64" Type="http://schemas.openxmlformats.org/officeDocument/2006/relationships/image" Target="media/image34.png"/><Relationship Id="rId69" Type="http://schemas.openxmlformats.org/officeDocument/2006/relationships/image" Target="media/image37.png"/><Relationship Id="rId77"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header" Target="header9.xml"/><Relationship Id="rId72" Type="http://schemas.openxmlformats.org/officeDocument/2006/relationships/image" Target="media/image39.emf"/><Relationship Id="rId80" Type="http://schemas.openxmlformats.org/officeDocument/2006/relationships/hyperlink" Target="http://www.afdc.energy.gov/fuels/prices.html" TargetMode="External"/><Relationship Id="rId85" Type="http://schemas.openxmlformats.org/officeDocument/2006/relationships/hyperlink" Target="http://www.afdc.energy.gov/fuels/prices.html"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footer" Target="footer10.xml"/><Relationship Id="rId67" Type="http://schemas.openxmlformats.org/officeDocument/2006/relationships/footer" Target="footer14.xml"/><Relationship Id="rId20" Type="http://schemas.openxmlformats.org/officeDocument/2006/relationships/footer" Target="footer4.xml"/><Relationship Id="rId41" Type="http://schemas.openxmlformats.org/officeDocument/2006/relationships/image" Target="media/image17.png"/><Relationship Id="rId54" Type="http://schemas.openxmlformats.org/officeDocument/2006/relationships/image" Target="media/image28.png"/><Relationship Id="rId62" Type="http://schemas.openxmlformats.org/officeDocument/2006/relationships/footer" Target="footer11.xml"/><Relationship Id="rId70" Type="http://schemas.openxmlformats.org/officeDocument/2006/relationships/footer" Target="footer15.xml"/><Relationship Id="rId75" Type="http://schemas.openxmlformats.org/officeDocument/2006/relationships/hyperlink" Target="http://www.commercialtrucktrader.com/" TargetMode="External"/><Relationship Id="rId83" Type="http://schemas.openxmlformats.org/officeDocument/2006/relationships/hyperlink" Target="http://www.afdc.energy.gov/fuels/prices.html" TargetMode="External"/><Relationship Id="rId88" Type="http://schemas.openxmlformats.org/officeDocument/2006/relationships/hyperlink" Target="http://www.afdc.energy.gov/fuels/prices.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image" Target="media/image7.gif"/><Relationship Id="rId44" Type="http://schemas.openxmlformats.org/officeDocument/2006/relationships/image" Target="media/image20.png"/><Relationship Id="rId52" Type="http://schemas.openxmlformats.org/officeDocument/2006/relationships/footer" Target="footer9.xml"/><Relationship Id="rId60" Type="http://schemas.openxmlformats.org/officeDocument/2006/relationships/image" Target="media/image32.png"/><Relationship Id="rId65" Type="http://schemas.openxmlformats.org/officeDocument/2006/relationships/image" Target="media/image35.png"/><Relationship Id="rId73" Type="http://schemas.openxmlformats.org/officeDocument/2006/relationships/image" Target="media/image40.jpeg"/><Relationship Id="rId78" Type="http://schemas.openxmlformats.org/officeDocument/2006/relationships/footer" Target="footer16.xml"/><Relationship Id="rId81" Type="http://schemas.openxmlformats.org/officeDocument/2006/relationships/hyperlink" Target="http://www.afdc.energy.gov/fuels/prices.html" TargetMode="External"/><Relationship Id="rId86" Type="http://schemas.openxmlformats.org/officeDocument/2006/relationships/hyperlink" Target="http://www.afdc.energy.gov/fuels/prices.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notes.xml.rels><?xml version="1.0" encoding="UTF-8" standalone="yes"?>
<Relationships xmlns="http://schemas.openxmlformats.org/package/2006/relationships"><Relationship Id="rId8" Type="http://schemas.openxmlformats.org/officeDocument/2006/relationships/hyperlink" Target="http://www.commercialtrucktrader.com/" TargetMode="External"/><Relationship Id="rId3" Type="http://schemas.openxmlformats.org/officeDocument/2006/relationships/hyperlink" Target="https://www3.epa.gov/otaq/models/moves/" TargetMode="External"/><Relationship Id="rId7" Type="http://schemas.openxmlformats.org/officeDocument/2006/relationships/hyperlink" Target="https://www.epa.gov/cleandiesel/diesel-emissions-quantifier-deq" TargetMode="External"/><Relationship Id="rId2" Type="http://schemas.openxmlformats.org/officeDocument/2006/relationships/hyperlink" Target="https://support.office.com/en-us/article/Change-macro-security-settings-in-Excel-3b5ec213-efcc-4d48-9efd-83d097397a7e?ui=en-US&amp;rs=en-US&amp;ad=US&amp;fromAR=1" TargetMode="External"/><Relationship Id="rId1" Type="http://schemas.openxmlformats.org/officeDocument/2006/relationships/hyperlink" Target="https://support.office.com/en-us/article/Create-remove-or-change-a-trusted-location-for-your-files-f5151879-25ea-4998-80a5-4208b3540a62" TargetMode="External"/><Relationship Id="rId6" Type="http://schemas.openxmlformats.org/officeDocument/2006/relationships/hyperlink" Target="https://greet.es.anl.gov/" TargetMode="External"/><Relationship Id="rId5" Type="http://schemas.openxmlformats.org/officeDocument/2006/relationships/hyperlink" Target="http://www.cleanairactionplan.org/civica/filebank/blobdload.asp?BlobID=2515" TargetMode="External"/><Relationship Id="rId4" Type="http://schemas.openxmlformats.org/officeDocument/2006/relationships/hyperlink" Target="https://www.census.gov/geo/reference/gtc/gtc_cbsa.html" TargetMode="External"/><Relationship Id="rId9" Type="http://schemas.openxmlformats.org/officeDocument/2006/relationships/hyperlink" Target="http://www.afdc.energy.gov/uploads/publication/alternative_fuel_price_report_april_2016.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u\AppData\Roaming\Microsoft\Templates\ESS_report_template_021813.dotx" TargetMode="External"/></Relationships>
</file>

<file path=word/theme/theme1.xml><?xml version="1.0" encoding="utf-8"?>
<a:theme xmlns:a="http://schemas.openxmlformats.org/drawingml/2006/main" name="Office Theme">
  <a:themeElements>
    <a:clrScheme name="ESS Color Palette">
      <a:dk1>
        <a:sysClr val="windowText" lastClr="000000"/>
      </a:dk1>
      <a:lt1>
        <a:srgbClr val="FFFFFF"/>
      </a:lt1>
      <a:dk2>
        <a:srgbClr val="757561"/>
      </a:dk2>
      <a:lt2>
        <a:srgbClr val="E3E3DF"/>
      </a:lt2>
      <a:accent1>
        <a:srgbClr val="0067AB"/>
      </a:accent1>
      <a:accent2>
        <a:srgbClr val="8A2003"/>
      </a:accent2>
      <a:accent3>
        <a:srgbClr val="677719"/>
      </a:accent3>
      <a:accent4>
        <a:srgbClr val="C27B13"/>
      </a:accent4>
      <a:accent5>
        <a:srgbClr val="C0C0C0"/>
      </a:accent5>
      <a:accent6>
        <a:srgbClr val="0000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80C9629E82B4F43A2BBE6F8FD29931C" ma:contentTypeVersion="0" ma:contentTypeDescription="Create a new document." ma:contentTypeScope="" ma:versionID="5f43d5254eb46bf86082d4bf86b3954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b:Source>
    <b:Tag>FHW09</b:Tag>
    <b:SourceType>Report</b:SourceType>
    <b:Guid>{0AF48D32-CDF5-4209-96BD-32D6874B0A49}</b:Guid>
    <b:Author>
      <b:Author>
        <b:Corporate>FHWA</b:Corporate>
      </b:Author>
    </b:Author>
    <b:Title>Interim Guidance Update on Mobile Source Air Toxic Analysis in NEPA</b:Title>
    <b:Year>2009</b:Year>
    <b:Publisher>Federal Highway Administration</b:Publisher>
    <b:City>Washington, DC</b:City>
    <b:RefOrder>15</b:RefOrder>
  </b:Source>
  <b:Source>
    <b:Tag>FHW06</b:Tag>
    <b:SourceType>Report</b:SourceType>
    <b:Guid>{325F615D-966D-4F96-83B4-1F514196C74E}</b:Guid>
    <b:Author>
      <b:Author>
        <b:Corporate>FHWA</b:Corporate>
      </b:Author>
    </b:Author>
    <b:Title>Interim Guidance on Air Toxic Analysis in NEPA Documents</b:Title>
    <b:Year>2006</b:Year>
    <b:Publisher>Federal Highway Administration</b:Publisher>
    <b:City>Washington, DC</b:City>
    <b:RefOrder>14</b:RefOrder>
  </b:Source>
  <b:Source>
    <b:Tag>CAL10</b:Tag>
    <b:SourceType>InternetSite</b:SourceType>
    <b:Guid>{F4137337-4DA7-4337-BF7F-5F8CE9F5A864}</b:Guid>
    <b:Author>
      <b:Author>
        <b:Corporate>CALTRANS</b:Corporate>
      </b:Author>
    </b:Author>
    <b:Title>EMFAC Software</b:Title>
    <b:Year>2010</b:Year>
    <b:YearAccessed>2011</b:YearAccessed>
    <b:MonthAccessed>May</b:MonthAccessed>
    <b:DayAccessed>3</b:DayAccessed>
    <b:URL>http://www.dot.ca.gov/hq/env/air/pages/emfac.htm</b:URL>
    <b:ProductionCompany>California Department of Transportation</b:ProductionCompany>
    <b:RefOrder>10</b:RefOrder>
  </b:Source>
  <b:Source>
    <b:Tag>USE061</b:Tag>
    <b:SourceType>InternetSite</b:SourceType>
    <b:Guid>{721FCB92-8DDD-4AE3-A6BD-E21964572292}</b:Guid>
    <b:Author>
      <b:Author>
        <b:Corporate>US EPA</b:Corporate>
      </b:Author>
    </b:Author>
    <b:Title>1999 National-Scale Air Toxics Assessment</b:Title>
    <b:Year>2006</b:Year>
    <b:YearAccessed>2011</b:YearAccessed>
    <b:MonthAccessed>May</b:MonthAccessed>
    <b:DayAccessed>11</b:DayAccessed>
    <b:URL>http://www.epa.gov/ttn/atw/nata1999/index.html</b:URL>
    <b:ProductionCompany>US Environmental Protection Agency Office of Air Quality Planning and Standards</b:ProductionCompany>
    <b:RefOrder>2</b:RefOrder>
  </b:Source>
  <b:Source>
    <b:Tag>HEI07</b:Tag>
    <b:SourceType>Report</b:SourceType>
    <b:Guid>{C8735719-1F3B-472F-A5E9-6B529D8C8362}</b:Guid>
    <b:Author>
      <b:Author>
        <b:Corporate>HEI</b:Corporate>
      </b:Author>
    </b:Author>
    <b:Title>Special Report 16: Mobile Source Air Toxics: A Critical Review of the Literature on Exposure and Health Effects</b:Title>
    <b:Year>2007</b:Year>
    <b:Publisher>Health Effects Institute</b:Publisher>
    <b:City>Boston, MA</b:City>
    <b:RefOrder>20</b:RefOrder>
  </b:Source>
  <b:Source>
    <b:Tag>BAA10</b:Tag>
    <b:SourceType>Report</b:SourceType>
    <b:Guid>{D10ED1BF-051D-4F74-8D79-0DD851F54BBA}</b:Guid>
    <b:Author>
      <b:Author>
        <b:Corporate>BAAQMD</b:Corporate>
      </b:Author>
    </b:Author>
    <b:Title>California Environmental Quality Act – Air Quality Guidelines</b:Title>
    <b:Year>2010</b:Year>
    <b:Publisher>Bay Area Air Quality Management District</b:Publisher>
    <b:City>San Francisco, CA</b:City>
    <b:RefOrder>22</b:RefOrder>
  </b:Source>
  <b:Source>
    <b:Tag>MBU08</b:Tag>
    <b:SourceType>Report</b:SourceType>
    <b:Guid>{D98DEDFB-7274-40DE-A813-501AB0A01AEC}</b:Guid>
    <b:Author>
      <b:Author>
        <b:Corporate>MBUAPCD</b:Corporate>
      </b:Author>
    </b:Author>
    <b:Title>CEQA Air Quality Guidelines, Monterey Bay United Air Pollution Control District 2008</b:Title>
    <b:Year>2008</b:Year>
    <b:Publisher>Monterey Bay United Air Pollution Control District</b:Publisher>
    <b:City>California</b:City>
    <b:RefOrder>23</b:RefOrder>
  </b:Source>
  <b:Source>
    <b:Tag>SFD08</b:Tag>
    <b:SourceType>Report</b:SourceType>
    <b:Guid>{7277479E-C880-4B1C-9F2F-13081FEA1069}</b:Guid>
    <b:Author>
      <b:Author>
        <b:Corporate>SFDPH</b:Corporate>
      </b:Author>
    </b:Author>
    <b:Title>Assessment and Mitigation of Air Pollutant Health Effects from Intra-urban Roadways: Guidance for Land Use Planning and Environmental Review</b:Title>
    <b:Year>2008</b:Year>
    <b:Publisher>Bhatia and Rivard of the San Francisco Department of Public Health</b:Publisher>
    <b:City>San Francisco, CA</b:City>
    <b:RefOrder>24</b:RefOrder>
  </b:Source>
  <b:Source>
    <b:Tag>CAL101</b:Tag>
    <b:SourceType>Report</b:SourceType>
    <b:Guid>{A9652856-8810-4CCD-9747-BDF2A89A8FB0}</b:Guid>
    <b:Author>
      <b:Author>
        <b:Corporate>CALTRANS and POLB</b:Corporate>
      </b:Author>
    </b:Author>
    <b:Title>Gerald Desmond Bridge Replacement Project, Final Environmental Impact Report/Environmental Assessment &amp; Application Summary Report</b:Title>
    <b:Year>2010</b:Year>
    <b:Publisher>Prepared by Parsons HNTS for the California Department of Transportation and the Port of Long Beach</b:Publisher>
    <b:City>Port of Long Beach, CA</b:City>
    <b:RefOrder>32</b:RefOrder>
  </b:Source>
  <b:Source>
    <b:Tag>UCD06</b:Tag>
    <b:SourceType>Report</b:SourceType>
    <b:Guid>{589D5B67-2ADE-45B9-A5AE-D26703B1D634}</b:Guid>
    <b:Author>
      <b:Author>
        <b:Corporate>UCDavis and CALTRANS</b:Corporate>
      </b:Author>
    </b:Author>
    <b:Title>Estimating Mobile Source Air Toxics Emissions: A Step-by-Step Project Analysis Methodology</b:Title>
    <b:Year>2006</b:Year>
    <b:Publisher>University of California Davis and the California Department of Transportation</b:Publisher>
    <b:City>Sacramento, CA</b:City>
    <b:RefOrder>6</b:RefOrder>
  </b:Source>
  <b:Source>
    <b:Tag>POL07</b:Tag>
    <b:SourceType>Report</b:SourceType>
    <b:Guid>{AA06F534-4B7A-43FD-8B85-451F210AD390}</b:Guid>
    <b:Author>
      <b:Author>
        <b:Corporate>POLB</b:Corporate>
      </b:Author>
    </b:Author>
    <b:Title>Air Quality and Risk Assessment Analysis Protocol for Proposed Projects at the Port of Long Beach</b:Title>
    <b:Year>2007</b:Year>
    <b:Publisher>Port of Long Beach</b:Publisher>
    <b:City>Port of Long Beach, CA</b:City>
    <b:RefOrder>33</b:RefOrder>
  </b:Source>
  <b:Source>
    <b:Tag>CAL09</b:Tag>
    <b:SourceType>Report</b:SourceType>
    <b:Guid>{49E28E07-CA74-49A3-B799-114F5814BF75}</b:Guid>
    <b:Author>
      <b:Author>
        <b:Corporate>CALEPA</b:Corporate>
      </b:Author>
    </b:Author>
    <b:Title>Technical Support Document for Cancer Potency Factors: Methodologies for Derivation, Listing of Available Values, and Adjustments to Allow for Early Life Stage Exposure</b:Title>
    <b:Year>2009</b:Year>
    <b:Publisher>California Environmental Protection Agency Office of Environmental Health Hazard Assessment</b:Publisher>
    <b:City>Sacramento, CA</b:City>
    <b:RefOrder>35</b:RefOrder>
  </b:Source>
  <b:Source>
    <b:Tag>AMS11</b:Tag>
    <b:SourceType>InternetSite</b:SourceType>
    <b:Guid>{6427DC81-4BE3-49DD-8421-041470E7DC63}</b:Guid>
    <b:Author>
      <b:Author>
        <b:Corporate>AMS and US EPA</b:Corporate>
      </b:Author>
    </b:Author>
    <b:Title>AERMOD Modeling System</b:Title>
    <b:Year>2011</b:Year>
    <b:YearAccessed>2011</b:YearAccessed>
    <b:MonthAccessed>April</b:MonthAccessed>
    <b:DayAccessed>19</b:DayAccessed>
    <b:URL>http://www.epa.gov/ttn/scram/dispersion_prefrec.htm#aermod</b:URL>
    <b:ProductionCompany>American Meteorological Society and US Environmental Protection Agency</b:ProductionCompany>
    <b:RefOrder>36</b:RefOrder>
  </b:Source>
  <b:Source>
    <b:Tag>USN10</b:Tag>
    <b:SourceType>Report</b:SourceType>
    <b:Guid>{B0D9EDCD-656C-4F1C-A69F-23DA85FFC2D6}</b:Guid>
    <b:Author>
      <b:Author>
        <b:Corporate>US Navy</b:Corporate>
      </b:Author>
    </b:Author>
    <b:Title>Final Environmental Impact Statement: Guam and CNMI Military Relocation</b:Title>
    <b:Year>2010</b:Year>
    <b:Publisher>US Department of the Navy Joint Guam Program Office</b:Publisher>
    <b:City>Pearl Harbor, HI</b:City>
    <b:RefOrder>37</b:RefOrder>
  </b:Source>
  <b:Source>
    <b:Tag>LAM09</b:Tag>
    <b:SourceType>Report</b:SourceType>
    <b:Guid>{651E6846-42B2-420A-B007-AE770BA25C86}</b:Guid>
    <b:Author>
      <b:Author>
        <b:Corporate>LA Metro</b:Corporate>
      </b:Author>
    </b:Author>
    <b:Title>I-710 Corridor Advisory Committee, Air Quality/Health Risk Assessment Update</b:Title>
    <b:Year>2009</b:Year>
    <b:Publisher>Los Angeles Metro</b:Publisher>
    <b:City>Los Angeles, CA</b:City>
    <b:RefOrder>40</b:RefOrder>
  </b:Source>
  <b:Source>
    <b:Tag>CAL08</b:Tag>
    <b:SourceType>Report</b:SourceType>
    <b:Guid>{5D207487-6698-47E1-954B-CC6E8D9B4C1E}</b:Guid>
    <b:Author>
      <b:Author>
        <b:Corporate>CALTRANS</b:Corporate>
      </b:Author>
    </b:Author>
    <b:Title>Human Health Risk Assessment for The Schuyler-Heim Bridge Replacement and SR-47 Expressway Project</b:Title>
    <b:Year>2008</b:Year>
    <b:Publisher>Prepared by Weston Solutions, Inc. for the California Department of Transportation</b:Publisher>
    <b:City>Sacramento, CA</b:City>
    <b:RefOrder>44</b:RefOrder>
  </b:Source>
  <b:Source>
    <b:Tag>CAL091</b:Tag>
    <b:SourceType>Report</b:SourceType>
    <b:Guid>{AE9C5220-2E2E-47A3-AA36-C0C0FE8C2CEB}</b:Guid>
    <b:Author>
      <b:Author>
        <b:Corporate>CALTRANS</b:Corporate>
      </b:Author>
    </b:Author>
    <b:Title>Schuyler Heim Bridge Replacement and SR-47 Expressway Project, Final Air Quality Impacts Technical Study</b:Title>
    <b:Year>2009</b:Year>
    <b:Publisher>Prepared by CH2M HILL for the California Department of Transportation</b:Publisher>
    <b:City>Sacramento, CA</b:City>
    <b:RefOrder>45</b:RefOrder>
  </b:Source>
  <b:Source>
    <b:Tag>USE00</b:Tag>
    <b:SourceType>Report</b:SourceType>
    <b:Guid>{2B7A1DB1-531E-4E07-903D-D7B19F8CBA77}</b:Guid>
    <b:Author>
      <b:Author>
        <b:Corporate>US EPA</b:Corporate>
      </b:Author>
    </b:Author>
    <b:Title>National Air Pollutant Emission Trends, 1900-1998, EPA-454/R-00-002</b:Title>
    <b:Year>2000</b:Year>
    <b:Publisher>US Environmental Protection Agency Office of Air Quality Planning and Standards</b:Publisher>
    <b:City>Research Triangle Park, NC</b:City>
    <b:RefOrder>73</b:RefOrder>
  </b:Source>
  <b:Source>
    <b:Tag>UCR09</b:Tag>
    <b:SourceType>InternetSite</b:SourceType>
    <b:Guid>{FD06BCA9-C4B1-4BEB-BF64-468D5D0E11CE}</b:Guid>
    <b:Author>
      <b:Author>
        <b:Corporate>UCRiverside</b:Corporate>
      </b:Author>
    </b:Author>
    <b:Title>Comprehensive Modal Emission Model (CMEM)</b:Title>
    <b:Year>2009</b:Year>
    <b:YearAccessed>2011</b:YearAccessed>
    <b:MonthAccessed>05</b:MonthAccessed>
    <b:DayAccessed>12</b:DayAccessed>
    <b:URL>http://www.cert.ucr.edu/cmem/</b:URL>
    <b:ProductionCompany>University of California Riverside Center for Environmental Research &amp; Technology</b:ProductionCompany>
    <b:RefOrder>83</b:RefOrder>
  </b:Source>
  <b:Source>
    <b:Tag>Geo09</b:Tag>
    <b:SourceType>JournalArticle</b:SourceType>
    <b:Guid>{F44F10D7-2FDA-4B1D-9DA9-63456F6549A9}</b:Guid>
    <b:Author>
      <b:Author>
        <b:NameList>
          <b:Person>
            <b:Last>Georgopoulos</b:Last>
            <b:First>Panos</b:First>
          </b:Person>
          <b:Person>
            <b:Last>Isukapalli</b:Last>
            <b:First>Sastry</b:First>
          </b:Person>
          <b:Person>
            <b:Last>Burke</b:Last>
            <b:First>Janet</b:First>
          </b:Person>
          <b:Person>
            <b:Last>Napelenok</b:Last>
            <b:First>Sergey</b:First>
          </b:Person>
          <b:Person>
            <b:Last>Palma</b:Last>
            <b:First>Ted</b:First>
          </b:Person>
          <b:Person>
            <b:Last>Langstaff</b:Last>
            <b:First>John</b:First>
          </b:Person>
          <b:Person>
            <b:Last>Majeed</b:Last>
            <b:First>Mohammed</b:First>
          </b:Person>
          <b:Person>
            <b:Last>He</b:Last>
            <b:First>Shan</b:First>
          </b:Person>
          <b:Person>
            <b:Last>Byun</b:Last>
            <b:First>Daewon</b:First>
          </b:Person>
          <b:Person>
            <b:Last>Cohen</b:Last>
            <b:First>Mark</b:First>
          </b:Person>
          <b:Person>
            <b:Last>Vautard</b:Last>
            <b:First>Robert</b:First>
          </b:Person>
        </b:NameList>
      </b:Author>
    </b:Author>
    <b:Title>Air Quality Modeling Needs for Exposure Assessment from the Source-to-Outcome Perspective</b:Title>
    <b:JournalName>EM Magazine</b:JournalName>
    <b:Year>2009</b:Year>
    <b:Pages>26-35</b:Pages>
    <b:Month>October</b:Month>
    <b:RefOrder>119</b:RefOrder>
  </b:Source>
  <b:Source>
    <b:Tag>Wan09</b:Tag>
    <b:SourceType>JournalArticle</b:SourceType>
    <b:Guid>{78FF69BE-C945-468C-84CF-0FCF9859443D}</b:Guid>
    <b:Author>
      <b:Author>
        <b:NameList>
          <b:Person>
            <b:Last>Wang</b:Last>
            <b:First>S.</b:First>
            <b:Middle>W.</b:Middle>
          </b:Person>
          <b:Person>
            <b:Last>Tang</b:Last>
            <b:First>X.</b:First>
          </b:Person>
          <b:Person>
            <b:Last>Fan</b:Last>
            <b:First>Z.</b:First>
            <b:Middle>H.</b:Middle>
          </b:Person>
          <b:Person>
            <b:Last>Wu</b:Last>
            <b:First>X.</b:First>
          </b:Person>
          <b:Person>
            <b:Last>Lioy</b:Last>
            <b:First>P.</b:First>
            <b:Middle>J.</b:Middle>
          </b:Person>
          <b:Person>
            <b:Last>Georgopoulos</b:Last>
            <b:First>P.</b:First>
            <b:Middle>G.</b:Middle>
          </b:Person>
        </b:NameList>
      </b:Author>
    </b:Author>
    <b:Title>Modeling of Personal Exposures to Ambient Air Toxics in Camden, New Jersey: An Evaluation Study</b:Title>
    <b:Year>2009</b:Year>
    <b:JournalName>Journal of the Air &amp; Waste Management Association</b:JournalName>
    <b:Pages>733-746</b:Pages>
    <b:Volume>59</b:Volume>
    <b:Issue>6</b:Issue>
    <b:RefOrder>102</b:RefOrder>
  </b:Source>
  <b:Source>
    <b:Tag>CRCrt</b:Tag>
    <b:SourceType>Report</b:SourceType>
    <b:Guid>{35CA375C-2E17-4442-AFA2-D319510B6380}</b:Guid>
    <b:Author>
      <b:Author>
        <b:Corporate>CRC</b:Corporate>
      </b:Author>
    </b:Author>
    <b:Title>Heavy-Duty Vehicle Chassis Dynamometer Testing for Emissions Inventory, Air Quality Modeling, Source Apportionment and Air Toxics Emissions Inventory – Final Report</b:Title>
    <b:Year>2007</b:Year>
    <b:Publisher>Prepared by West Virginia University and Desert Research Corporation for the Coordinating Research Council</b:Publisher>
    <b:RefOrder>124</b:RefOrder>
  </b:Source>
  <b:Source>
    <b:Tag>USE97</b:Tag>
    <b:SourceType>Report</b:SourceType>
    <b:Guid>{D473459B-011D-4C48-BFE0-7112D3F99102}</b:Guid>
    <b:Author>
      <b:Author>
        <b:Corporate>US EPA</b:Corporate>
      </b:Author>
    </b:Author>
    <b:Title>Development of Speed Correction Cycles, EPA Report m6spd001</b:Title>
    <b:Year>1997</b:Year>
    <b:Publisher>Prepared by Sierra Research for the US Environmental Protection Agency Office of Transportation and Air Quality</b:Publisher>
    <b:City>Washington, DC</b:City>
    <b:RefOrder>125</b:RefOrder>
  </b:Source>
  <b:Source>
    <b:Tag>AAS07</b:Tag>
    <b:SourceType>Report</b:SourceType>
    <b:Guid>{9C9F8A09-61E4-40E8-B940-119716455142}</b:Guid>
    <b:Author>
      <b:Author>
        <b:Corporate>AASHTO</b:Corporate>
      </b:Author>
    </b:Author>
    <b:Title>Analyzing, Documenting, and Communicating the Impacts of Mobile Source Air Toxic Emissions in the NEPA Process, Project No. 25-25 (Task 18)</b:Title>
    <b:Year>2007</b:Year>
    <b:Publisher>Prepared by ICF International for the American Association of State Highway and Transportation Officials Standing Committee on the Environment</b:Publisher>
    <b:City>Washington, DC</b:City>
    <b:RefOrder>131</b:RefOrder>
  </b:Source>
  <b:Source>
    <b:Tag>CER11</b:Tag>
    <b:SourceType>InternetSite</b:SourceType>
    <b:Guid>{4F5498FD-670A-464B-A497-B2C43ECEA018}</b:Guid>
    <b:Author>
      <b:Author>
        <b:Corporate>CERM</b:Corporate>
      </b:Author>
    </b:Author>
    <b:Title>The Center for Exposure and Risk Modeling</b:Title>
    <b:Year>2011</b:Year>
    <b:YearAccessed>2011</b:YearAccessed>
    <b:MonthAccessed>May</b:MonthAccessed>
    <b:DayAccessed>12</b:DayAccessed>
    <b:URL>http://www.cerm.org/</b:URL>
    <b:ProductionCompany>Center for Exposure and Risk Modeling</b:ProductionCompany>
    <b:RefOrder>117</b:RefOrder>
  </b:Source>
  <b:Source>
    <b:Tag>Bäu05</b:Tag>
    <b:SourceType>JournalArticle</b:SourceType>
    <b:Guid>{D5E77DFA-A945-43E7-880D-7064614BF1C4}</b:Guid>
    <b:Author>
      <b:Author>
        <b:NameList>
          <b:Person>
            <b:Last>Bäumer</b:Last>
            <b:First>D.</b:First>
          </b:Person>
          <b:Person>
            <b:Last>Vogel</b:Last>
            <b:First>B.</b:First>
          </b:Person>
          <b:Person>
            <b:Last>Fiedler</b:Last>
            <b:First>F.</b:First>
          </b:Person>
        </b:NameList>
      </b:Author>
    </b:Author>
    <b:Title>A New Parameterisation of Motorway-Induced Turbulence and its Application in a  Numeric Model</b:Title>
    <b:JournalName>Atmospheric Environment</b:JournalName>
    <b:Year>2005</b:Year>
    <b:Pages>5750-5759</b:Pages>
    <b:Volume>39</b:Volume>
    <b:Issue>31</b:Issue>
    <b:RefOrder>87</b:RefOrder>
  </b:Source>
  <b:Source>
    <b:Tag>Bur01</b:Tag>
    <b:SourceType>JournalArticle</b:SourceType>
    <b:Guid>{08970964-A55D-4F76-BC65-9A5B7E6DB01B}</b:Guid>
    <b:Author>
      <b:Author>
        <b:NameList>
          <b:Person>
            <b:Last>Burke</b:Last>
            <b:First>Janet</b:First>
            <b:Middle>M.</b:Middle>
          </b:Person>
          <b:Person>
            <b:Last>Zufall</b:Last>
            <b:First>Maria</b:First>
            <b:Middle>J.</b:Middle>
          </b:Person>
          <b:Person>
            <b:Last>Özkaynak</b:Last>
            <b:First>Halûk</b:First>
          </b:Person>
        </b:NameList>
      </b:Author>
    </b:Author>
    <b:Title>A Population Exposure Model for Particulate Matter: Case Study Results for PM2.5 in Philadelphia, PA</b:Title>
    <b:JournalName>Journal of Exposure Analysis and Environmental Epidemiology</b:JournalName>
    <b:Year>2001</b:Year>
    <b:Pages>470-489</b:Pages>
    <b:Volume>11</b:Volume>
    <b:Issue>6</b:Issue>
    <b:RefOrder>115</b:RefOrder>
  </b:Source>
  <b:Source>
    <b:Tag>Ben92</b:Tag>
    <b:SourceType>JournalArticle</b:SourceType>
    <b:Guid>{5FF9F452-757A-4026-ADFE-48D14BFE04FE}</b:Guid>
    <b:Author>
      <b:Author>
        <b:NameList>
          <b:Person>
            <b:Last>Benson</b:Last>
            <b:First>Paul</b:First>
            <b:Middle>E.</b:Middle>
          </b:Person>
        </b:NameList>
      </b:Author>
    </b:Author>
    <b:Title>A Review of the Development and Application of the CALINE3 and 4 Models</b:Title>
    <b:JournalName>Atmospheric Environment.  Part B.  Urban Atmosphere</b:JournalName>
    <b:Year>1992</b:Year>
    <b:Pages>379-390</b:Pages>
    <b:Volume>26</b:Volume>
    <b:Issue>3</b:Issue>
    <b:RefOrder>97</b:RefOrder>
  </b:Source>
  <b:Source>
    <b:Tag>Isa09</b:Tag>
    <b:SourceType>JournalArticle</b:SourceType>
    <b:Guid>{1F7B89A6-D87C-490F-B3A6-96C956384655}</b:Guid>
    <b:Author>
      <b:Author>
        <b:NameList>
          <b:Person>
            <b:Last>Isakov</b:Last>
            <b:First>V.</b:First>
          </b:Person>
          <b:Person>
            <b:Last>Touma</b:Last>
            <b:First>J.</b:First>
            <b:Middle>S.</b:Middle>
          </b:Person>
          <b:Person>
            <b:Last>Burke</b:Last>
            <b:First>J.</b:First>
          </b:Person>
          <b:Person>
            <b:Last>Lobdell</b:Last>
            <b:First>D.</b:First>
            <b:Middle>T.</b:Middle>
          </b:Person>
          <b:Person>
            <b:Last>Palma</b:Last>
            <b:First>T.</b:First>
          </b:Person>
          <b:Person>
            <b:Last>Rosenbaum</b:Last>
            <b:First>A.</b:First>
          </b:Person>
          <b:Person>
            <b:Last>Özkaynak</b:Last>
            <b:First>H.</b:First>
          </b:Person>
        </b:NameList>
      </b:Author>
    </b:Author>
    <b:Title>Combining Regional- and Local-Scale Air Quality Models with Exposure Models for Use in Environmental Health Studies</b:Title>
    <b:JournalName>Journal of the Air &amp; Waste Management Association</b:JournalName>
    <b:Year>2009</b:Year>
    <b:Pages>461-472</b:Pages>
    <b:Volume>59</b:Volume>
    <b:Issue>4</b:Issue>
    <b:RefOrder>121</b:RefOrder>
  </b:Source>
  <b:Source>
    <b:Tag>Neo08</b:Tag>
    <b:SourceType>JournalArticle</b:SourceType>
    <b:Guid>{0E359E7C-A23C-4E36-8735-787DFE1304F3}</b:Guid>
    <b:Author>
      <b:Author>
        <b:NameList>
          <b:Person>
            <b:Last>Neofytou</b:Last>
            <b:First>P.</b:First>
          </b:Person>
          <b:Person>
            <b:Last>Haakana</b:Last>
            <b:First>M.</b:First>
          </b:Person>
          <b:Person>
            <b:Last>Venetsanos</b:Last>
            <b:First>A.</b:First>
          </b:Person>
          <b:Person>
            <b:Last>Kousa</b:Last>
            <b:First>A.</b:First>
          </b:Person>
          <b:Person>
            <b:Last>Bartzis</b:Last>
            <b:First>J.</b:First>
          </b:Person>
          <b:Person>
            <b:Last>Kukkonen</b:Last>
            <b:First>J.</b:First>
          </b:Person>
        </b:NameList>
      </b:Author>
    </b:Author>
    <b:Title>Computational Fluid Dynamics Modelling of the Pollution Dispersion and Comparison with Measurements in a Street Canyon in Helsinki</b:Title>
    <b:JournalName>Environmental Modeling and Assessment</b:JournalName>
    <b:Year>2008</b:Year>
    <b:Pages>439-448</b:Pages>
    <b:Volume>13</b:Volume>
    <b:Issue>3</b:Issue>
    <b:RefOrder>108</b:RefOrder>
  </b:Source>
  <b:Source>
    <b:Tag>Lid85</b:Tag>
    <b:SourceType>JournalArticle</b:SourceType>
    <b:Guid>{122C97F2-BDE0-4EAB-AC8C-8C764C587B3D}</b:Guid>
    <b:Author>
      <b:Author>
        <b:NameList>
          <b:Person>
            <b:Last>Lidman</b:Last>
            <b:First>J.</b:First>
            <b:Middle>K.</b:Middle>
          </b:Person>
        </b:NameList>
      </b:Author>
    </b:Author>
    <b:Title>Effect of a Noise Wall on Snow Accumulation and Air Quality</b:Title>
    <b:JournalName>Transportation Research Record</b:JournalName>
    <b:Year>1985</b:Year>
    <b:Pages>79-88</b:Pages>
    <b:Volume>1033</b:Volume>
    <b:RefOrder>89</b:RefOrder>
  </b:Source>
  <b:Source>
    <b:Tag>Geo06</b:Tag>
    <b:SourceType>JournalArticle</b:SourceType>
    <b:Guid>{C585C217-401D-4D1F-88AD-BB429FDA83F5}</b:Guid>
    <b:Author>
      <b:Author>
        <b:NameList>
          <b:Person>
            <b:Last>Georgopoulos</b:Last>
            <b:First>Panos</b:First>
            <b:Middle>G.</b:Middle>
          </b:Person>
          <b:Person>
            <b:Last>Lioy</b:Last>
            <b:First>Paul</b:First>
            <b:Middle>J.</b:Middle>
          </b:Person>
        </b:NameList>
      </b:Author>
    </b:Author>
    <b:Title>From a Theoretical Framework of Human Exposure and Dose Assessment to Computational System Implementation: the Modeling ENvironment for TOtal Risk Studies (MENTOR)</b:Title>
    <b:JournalName>Journal of Toxicology and Environmental Health, Part B</b:JournalName>
    <b:Year>2006</b:Year>
    <b:Pages>457-483</b:Pages>
    <b:Volume>9</b:Volume>
    <b:Issue>6</b:Issue>
    <b:RefOrder>118</b:RefOrder>
  </b:Source>
  <b:Source>
    <b:Tag>Sah07</b:Tag>
    <b:SourceType>JournalArticle</b:SourceType>
    <b:Guid>{22AB8BA7-E271-4EC4-B54D-8027CFA1FB71}</b:Guid>
    <b:Author>
      <b:Author>
        <b:NameList>
          <b:Person>
            <b:Last>Sahlodin</b:Last>
            <b:First>A.</b:First>
            <b:Middle>M.</b:Middle>
          </b:Person>
          <b:Person>
            <b:Last>Sotudeh-Gharebagh</b:Last>
            <b:First>R.</b:First>
          </b:Person>
          <b:Person>
            <b:Last>Zhu</b:Last>
            <b:First>Y.</b:First>
          </b:Person>
        </b:NameList>
      </b:Author>
    </b:Author>
    <b:Title>Modeling of Dispersion Near Roadways Based on the Vehicle-Induced Turbulence Concept</b:Title>
    <b:JournalName>Atmospheric Environment</b:JournalName>
    <b:Year>2007</b:Year>
    <b:Pages>92-102</b:Pages>
    <b:Volume>41</b:Volume>
    <b:Issue>1</b:Issue>
    <b:RefOrder>101</b:RefOrder>
  </b:Source>
  <b:Source>
    <b:Tag>Ven09</b:Tag>
    <b:SourceType>JournalArticle</b:SourceType>
    <b:Guid>{91BF519F-15C4-40DA-9829-0B9683E67478}</b:Guid>
    <b:Author>
      <b:Author>
        <b:NameList>
          <b:Person>
            <b:Last>Venkatram</b:Last>
            <b:First>Akula</b:First>
          </b:Person>
          <b:Person>
            <b:Last>Isakov</b:Last>
            <b:First>Vlad</b:First>
          </b:Person>
          <b:Person>
            <b:Last>Seila</b:Last>
            <b:First>Robert</b:First>
          </b:Person>
          <b:Person>
            <b:Last>Baldauf</b:Last>
            <b:First>Richard</b:First>
          </b:Person>
        </b:NameList>
      </b:Author>
    </b:Author>
    <b:Title>Modeling the Impacts of Traffic Emissions on Air Toxics Concentrations Near Roadways</b:Title>
    <b:JournalName>Atmospheric Environment</b:JournalName>
    <b:Year>2009</b:Year>
    <b:Pages>3191-3199</b:Pages>
    <b:Volume>43</b:Volume>
    <b:Issue>20</b:Issue>
    <b:RefOrder>104</b:RefOrder>
  </b:Source>
  <b:Source>
    <b:Tag>Var03</b:Tag>
    <b:SourceType>JournalArticle</b:SourceType>
    <b:Guid>{7AE169F7-5D47-4E3D-A842-F127D7418AD9}</b:Guid>
    <b:Author>
      <b:Author>
        <b:NameList>
          <b:Person>
            <b:Last>Vardoulakis</b:Last>
            <b:First>Sotiris</b:First>
          </b:Person>
          <b:Person>
            <b:Last>Fisher</b:Last>
            <b:First>Bernard</b:First>
            <b:Middle>E.A.</b:Middle>
          </b:Person>
          <b:Person>
            <b:Last>Pericleous</b:Last>
            <b:First>Koulis</b:First>
          </b:Person>
          <b:Person>
            <b:Last>Gonzalez-Flesca</b:Last>
            <b:First>Norbert</b:First>
          </b:Person>
        </b:NameList>
      </b:Author>
    </b:Author>
    <b:Title>Modelling Air Quality in Street Canyons: A Review</b:Title>
    <b:JournalName>Atmospheric Environment</b:JournalName>
    <b:Year>2003</b:Year>
    <b:Pages>155-182</b:Pages>
    <b:Volume>37</b:Volume>
    <b:Issue>2</b:Issue>
    <b:RefOrder>106</b:RefOrder>
  </b:Source>
  <b:Source>
    <b:Tag>Rop09</b:Tag>
    <b:SourceType>JournalArticle</b:SourceType>
    <b:Guid>{B8B72E64-D069-4E8D-BA27-5D1EB339CF05}</b:Guid>
    <b:Author>
      <b:Author>
        <b:NameList>
          <b:Person>
            <b:Last>Ropkins</b:Last>
            <b:First>K.</b:First>
          </b:Person>
          <b:Person>
            <b:Last>Beebe</b:Last>
            <b:First>J.</b:First>
          </b:Person>
          <b:Person>
            <b:Last>Li</b:Last>
            <b:First>H.</b:First>
          </b:Person>
          <b:Person>
            <b:Last>Daham</b:Last>
            <b:First>B.</b:First>
          </b:Person>
          <b:Person>
            <b:Last>Tate</b:Last>
            <b:First>J.</b:First>
          </b:Person>
          <b:Person>
            <b:Last>Bell</b:Last>
            <b:First>M.</b:First>
          </b:Person>
          <b:Person>
            <b:Last>Andrews</b:Last>
            <b:First>G.</b:First>
          </b:Person>
        </b:NameList>
      </b:Author>
    </b:Author>
    <b:Title>Real-World Vehicle Exhaust Emissions Monitoring: Review and Critical Discussion</b:Title>
    <b:JournalName>Critical Reviews in Environmental Science and Technology</b:JournalName>
    <b:Year>2009</b:Year>
    <b:Pages>79-152</b:Pages>
    <b:Volume>39</b:Volume>
    <b:Issue>2</b:Issue>
    <b:RefOrder>85</b:RefOrder>
  </b:Source>
  <b:Source>
    <b:Tag>Isa06</b:Tag>
    <b:SourceType>JournalArticle</b:SourceType>
    <b:Guid>{5CA57132-B6AB-4CF1-A4DB-2CC6795F506E}</b:Guid>
    <b:Author>
      <b:Author>
        <b:NameList>
          <b:Person>
            <b:Last>Isakov</b:Last>
            <b:First>Vlad</b:First>
          </b:Person>
          <b:Person>
            <b:Last>Venkatram</b:Last>
            <b:First>Akula</b:First>
          </b:Person>
        </b:NameList>
      </b:Author>
    </b:Author>
    <b:Title>Resolving Neighborhood Scale in Air Toxics Modeling: A Case Study in Wilmington, CA</b:Title>
    <b:JournalName>Journal of the Air &amp; Waste Management Association</b:JournalName>
    <b:Year>2006</b:Year>
    <b:Pages>559-568</b:Pages>
    <b:Volume>56</b:Volume>
    <b:Issue>5</b:Issue>
    <b:RefOrder>103</b:RefOrder>
  </b:Source>
  <b:Source>
    <b:Tag>Smi10</b:Tag>
    <b:SourceType>JournalArticle</b:SourceType>
    <b:Guid>{FC1AAD52-7E33-46F7-80C9-167699A1E93D}</b:Guid>
    <b:Author>
      <b:Author>
        <b:NameList>
          <b:Person>
            <b:Last>Smit</b:Last>
            <b:First>R.</b:First>
          </b:Person>
          <b:Person>
            <b:Last>Ntziachristos</b:Last>
            <b:First>L.</b:First>
          </b:Person>
          <b:Person>
            <b:Last>Boulter</b:Last>
            <b:First>P.</b:First>
          </b:Person>
        </b:NameList>
      </b:Author>
    </b:Author>
    <b:Title>Validation of Road Vehicle and Traffic Emission Models - A Review and Meta-Analysis</b:Title>
    <b:Year>2010</b:Year>
    <b:JournalName>Atmospheric Environment</b:JournalName>
    <b:Pages>2943-2953</b:Pages>
    <b:Volume>44</b:Volume>
    <b:Issue>25</b:Issue>
    <b:RefOrder>84</b:RefOrder>
  </b:Source>
  <b:Source>
    <b:Tag>Kal05</b:Tag>
    <b:SourceType>JournalArticle</b:SourceType>
    <b:Guid>{48838EE1-68DB-4682-AF5C-F8FA030C084F}</b:Guid>
    <b:Author>
      <b:Author>
        <b:NameList>
          <b:Person>
            <b:Last>Kalthoff</b:Last>
            <b:First>N.</b:First>
          </b:Person>
          <b:Person>
            <b:Last>Bäumer</b:Last>
            <b:First>D.</b:First>
          </b:Person>
          <b:Person>
            <b:Last>Corsmeier</b:Last>
            <b:First>U.</b:First>
          </b:Person>
          <b:Person>
            <b:Last>Kohler</b:Last>
            <b:First>M.</b:First>
          </b:Person>
          <b:Person>
            <b:Last>Vogel</b:Last>
            <b:First>B.</b:First>
          </b:Person>
        </b:NameList>
      </b:Author>
    </b:Author>
    <b:Title>Vehicle-Induced Turbulence Near a Motorway</b:Title>
    <b:JournalName>Atmospheric Environment</b:JournalName>
    <b:Year>2005</b:Year>
    <b:Pages>5737-5749</b:Pages>
    <b:Volume>39</b:Volume>
    <b:Issue>31</b:Issue>
    <b:RefOrder>88</b:RefOrder>
  </b:Source>
  <b:Source>
    <b:Tag>Cal05</b:Tag>
    <b:SourceType>Report</b:SourceType>
    <b:Guid>{E7F2F311-745E-4ED7-ADF0-3551488F5A08}</b:Guid>
    <b:Author>
      <b:Author>
        <b:Corporate>CALEPA</b:Corporate>
      </b:Author>
    </b:Author>
    <b:Title>Air Quality and Land Use Handbook: A Community Health Perspective</b:Title>
    <b:Year>2005</b:Year>
    <b:Publisher>California Environmental Protection Agency Air Resources Board</b:Publisher>
    <b:City>Sacramento, CA</b:City>
    <b:RefOrder>12</b:RefOrder>
  </b:Source>
  <b:Source>
    <b:Tag>Pre09</b:Tag>
    <b:SourceType>InternetSite</b:SourceType>
    <b:Guid>{A080632D-2A1D-4D67-A7D3-DCF656358362}</b:Guid>
    <b:Author>
      <b:Author>
        <b:NameList>
          <b:Person>
            <b:Last>Burke</b:Last>
            <b:First>Kenneth</b:First>
          </b:Person>
        </b:NameList>
      </b:Author>
    </b:Author>
    <b:Title>Tutor Perini Awarded $215 Million Caldecott Tunnel Project</b:Title>
    <b:Year>2009</b:Year>
    <b:Month>Nov.</b:Month>
    <b:Day>17</b:Day>
    <b:InternetSiteTitle>Business Wire</b:InternetSiteTitle>
    <b:YearAccessed>2011</b:YearAccessed>
    <b:MonthAccessed>May</b:MonthAccessed>
    <b:DayAccessed>5</b:DayAccessed>
    <b:URL>http://businesswire.com/news/home/20091117006434/en/Tutor-Perini-Awarded-215-Million-Caldecott-Tunnel</b:URL>
    <b:RefOrder>47</b:RefOrder>
  </b:Source>
  <b:Source>
    <b:Tag>Cal09</b:Tag>
    <b:SourceType>Case</b:SourceType>
    <b:Guid>{CFBF3AF6-13B2-4FC2-81D9-6BB3048EDBCB}</b:Guid>
    <b:Title>Caldecott Fourth Bore Coalition vs. California Department of Transportation</b:Title>
    <b:Year>2009</b:Year>
    <b:Month>Jan.</b:Month>
    <b:Day>23</b:Day>
    <b:CaseNumber>RG07355832</b:CaseNumber>
    <b:Court>Superior Court of the State of California in and for the County of Alameda</b:Court>
    <b:RefOrder>48</b:RefOrder>
  </b:Source>
  <b:Source>
    <b:Tag>Sie</b:Tag>
    <b:SourceType>InternetSite</b:SourceType>
    <b:Guid>{327BF438-68D3-4C41-A73D-D38524ED98D5}</b:Guid>
    <b:Title>Sierra Club Settlement Moves Forward, Results in Major National Study</b:Title>
    <b:Author>
      <b:Author>
        <b:Corporate>Sierra Club</b:Corporate>
      </b:Author>
    </b:Author>
    <b:InternetSiteTitle>Sierra Club</b:InternetSiteTitle>
    <b:URL>http://www.sierraclub.org/environmentallaw/lawsuits/0146.aspx</b:URL>
    <b:Year>2008</b:Year>
    <b:Month>April</b:Month>
    <b:Day>24</b:Day>
    <b:YearAccessed>2011</b:YearAccessed>
    <b:MonthAccessed>May</b:MonthAccessed>
    <b:DayAccessed>5</b:DayAccessed>
    <b:RefOrder>52</b:RefOrder>
  </b:Source>
  <b:Source>
    <b:Tag>Sof05</b:Tag>
    <b:SourceType>InternetSite</b:SourceType>
    <b:Guid>{06D68521-B7E7-4B1F-BA71-E878B94DC4E4}</b:Guid>
    <b:Author>
      <b:Author>
        <b:NameList>
          <b:Person>
            <b:Last>Sofradzija</b:Last>
            <b:First>Omar</b:First>
          </b:Person>
        </b:NameList>
      </b:Author>
    </b:Author>
    <b:Title>Sierra Club Settlement</b:Title>
    <b:InternetSiteTitle>reviewjournal.com</b:InternetSiteTitle>
    <b:Year>2005</b:Year>
    <b:Month>June</b:Month>
    <b:Day>28</b:Day>
    <b:YearAccessed>2011</b:YearAccessed>
    <b:MonthAccessed>May</b:MonthAccessed>
    <b:DayAccessed>5</b:DayAccessed>
    <b:URL>://www.reviewjournal.com/lvrj_home/2005/Jun-28-Tue-2005/news/26792838.html</b:URL>
    <b:RefOrder>53</b:RefOrder>
  </b:Source>
  <b:Source>
    <b:Tag>Placeholder1</b:Tag>
    <b:SourceType>InternetSite</b:SourceType>
    <b:Guid>{A392DF89-6635-429B-9615-05B42E2503B9}</b:Guid>
    <b:Author>
      <b:Author>
        <b:Corporate>FHWA</b:Corporate>
      </b:Author>
    </b:Author>
    <b:Title>Settlement Agreement - Near Road Study </b:Title>
    <b:InternetSiteTitle>U.S. Department of Transportation Federal Highway Administration</b:InternetSiteTitle>
    <b:Year>2010</b:Year>
    <b:Month>May</b:Month>
    <b:Day>6</b:Day>
    <b:YearAccessed>2011</b:YearAccessed>
    <b:MonthAccessed>May</b:MonthAccessed>
    <b:DayAccessed>5</b:DayAccessed>
    <b:URL>http://www.fhwa.dot.gov/environment/air_quality/air_toxics/research_and_analysis/near_road_study/setagree.cfm</b:URL>
    <b:RefOrder>54</b:RefOrder>
  </b:Source>
  <b:Source>
    <b:Tag>Rit05</b:Tag>
    <b:SourceType>DocumentFromInternetSite</b:SourceType>
    <b:Guid>{49ED22B5-827F-4768-BEA4-4BBEA9E92655}</b:Guid>
    <b:Author>
      <b:Author>
        <b:NameList>
          <b:Person>
            <b:Last>Ritter</b:Last>
            <b:First>Ken</b:First>
          </b:Person>
        </b:NameList>
      </b:Author>
    </b:Author>
    <b:Title>Officials Settle Las Vegas Freeway Widening Suit</b:Title>
    <b:InternetSiteTitle>ConstructionEquipmentGuide.com</b:InternetSiteTitle>
    <b:Year>2005</b:Year>
    <b:YearAccessed>2011</b:YearAccessed>
    <b:MonthAccessed>May</b:MonthAccessed>
    <b:DayAccessed>5</b:DayAccessed>
    <b:URL>http://www.constructionequipmentguide.com/Officials-Settle-Las-Vegas-Freeway-Widening-Suit/5866/</b:URL>
    <b:RefOrder>55</b:RefOrder>
  </b:Source>
  <b:Source>
    <b:Tag>Hous</b:Tag>
    <b:SourceType>Case</b:SourceType>
    <b:Guid>{D667CD50-DE2B-43C7-AE24-493063886633}</b:Guid>
    <b:Title>Sierra Club and Houston Audubon v. FHWA, U.S. DOT, and TX Transportation Commission</b:Title>
    <b:CaseNumber>H-09-0692</b:CaseNumber>
    <b:Court>United States District Court for the Southern District of Texas Houston Division</b:Court>
    <b:Year>2010</b:Year>
    <b:Month>May</b:Month>
    <b:Day>19</b:Day>
    <b:RefOrder>56</b:RefOrder>
  </b:Source>
  <b:Source>
    <b:Tag>Env08</b:Tag>
    <b:SourceType>Case</b:SourceType>
    <b:Guid>{3D0E8A50-B30F-4E2B-B64F-D00824D1ADE1}</b:Guid>
    <b:Title>Environmental Defense Fund vs. Maryland State Highway Administration</b:Title>
    <b:CaseNumber>08-1107</b:CaseNumber>
    <b:Court>United States Court of Appeals of the Fourth Circuit</b:Court>
    <b:Year>2008</b:Year>
    <b:Month>October</b:Month>
    <b:Day>22</b:Day>
    <b:RefOrder>57</b:RefOrder>
  </b:Source>
  <b:Source>
    <b:Tag>Ber06</b:Tag>
    <b:SourceType>Case</b:SourceType>
    <b:Guid>{C8D0984A-2F7A-4C14-9A49-B1955C7D86E1}</b:Guid>
    <b:Title>Berkeley Keep Jets Over the Bay Com. v. Board of Port Commissioners</b:Title>
    <b:CaseNumber>1344</b:CaseNumber>
    <b:Court>91 Cal. App. 4th</b:Court>
    <b:Year>2006</b:Year>
    <b:Month>Sept.</b:Month>
    <b:Day>26</b:Day>
    <b:RefOrder>59</b:RefOrder>
  </b:Source>
  <b:Source>
    <b:Tag>Bak04</b:Tag>
    <b:SourceType>Case</b:SourceType>
    <b:Guid>{3E1B2FD6-CC17-405C-A5A6-7DA6B3DC30E2}</b:Guid>
    <b:Title>Bakersfield Citizens for Local Control v. City of Bakersfield</b:Title>
    <b:CaseNumber>1184</b:CaseNumber>
    <b:Court>124 Cal. App. 4th</b:Court>
    <b:Year>2004</b:Year>
    <b:Month>Dec.</b:Month>
    <b:Day>13</b:Day>
    <b:RefOrder>60</b:RefOrder>
  </b:Source>
  <b:Source>
    <b:Tag>Placeholder2</b:Tag>
    <b:SourceType>Case</b:SourceType>
    <b:Guid>{17FCFE70-77A1-4EC1-A07D-538A7AFA4408}</b:Guid>
    <b:Title>Californians for Alternatives to Toxics v. Department of Food and Agriculture</b:Title>
    <b:CaseNumber>1</b:CaseNumber>
    <b:Court>136 Cal. App. 4th</b:Court>
    <b:Year>2005</b:Year>
    <b:Month>Dec.</b:Month>
    <b:Day>29</b:Day>
    <b:RefOrder>61</b:RefOrder>
  </b:Source>
  <b:Source>
    <b:Tag>Cit09</b:Tag>
    <b:SourceType>Case</b:SourceType>
    <b:Guid>{6851146A-468E-4F84-91B2-F28A52E2BAF0}</b:Guid>
    <b:Title>City of Long Beach v. Los Angeles Unified School District</b:Title>
    <b:CaseNumber>889</b:CaseNumber>
    <b:Court>176 Cal. App. 4th</b:Court>
    <b:Year>2009</b:Year>
    <b:Month>Aug.</b:Month>
    <b:Day>17</b:Day>
    <b:RefOrder>62</b:RefOrder>
  </b:Source>
  <b:Source>
    <b:Tag>Cal10</b:Tag>
    <b:SourceType>Case</b:SourceType>
    <b:Guid>{51C3B2E3-C926-417F-AD93-9D3A19C8D9BC}</b:Guid>
    <b:Title>Californians for Pesticide Reform v. Department of Pesticide Regulation</b:Title>
    <b:CaseNumber>887</b:CaseNumber>
    <b:Court>184 Cal. App. 4th</b:Court>
    <b:Year>2010</b:Year>
    <b:Month>May</b:Month>
    <b:Day>17</b:Day>
    <b:RefOrder>63</b:RefOrder>
  </b:Source>
  <b:Source>
    <b:Tag>Sec91</b:Tag>
    <b:SourceType>Case</b:SourceType>
    <b:Guid>{65FC8B38-5C20-4BB6-BC9A-11CBFB54BAD5}</b:Guid>
    <b:Title>Security Environmental Systems v. South Coast Air Quality Management District</b:Title>
    <b:CaseNumber>110; 280</b:CaseNumber>
    <b:Court>229 Cal. App. 3rd</b:Court>
    <b:Year>1991</b:Year>
    <b:Month>Feb.</b:Month>
    <b:Day>20</b:Day>
    <b:RefOrder>64</b:RefOrder>
  </b:Source>
  <b:Source>
    <b:Tag>SCA05</b:Tag>
    <b:SourceType>Report</b:SourceType>
    <b:Guid>{E66E0B58-9474-441A-A0F8-52597AB7A3B9}</b:Guid>
    <b:Author>
      <b:Author>
        <b:Corporate>SCAQMD</b:Corporate>
      </b:Author>
    </b:Author>
    <b:Title>Risk Assessment Procedures for Rules 1401 and 212, Version 7</b:Title>
    <b:Year>2005</b:Year>
    <b:Publisher>South Coast Air Quality Management District</b:Publisher>
    <b:City>Diamond Bar, CA</b:City>
    <b:RefOrder>109</b:RefOrder>
  </b:Source>
  <b:Source>
    <b:Tag>OEH01</b:Tag>
    <b:SourceType>Report</b:SourceType>
    <b:Guid>{FAE23EF5-F96F-4879-B49F-491071CA51E8}</b:Guid>
    <b:Author>
      <b:Author>
        <b:Corporate>OEHHA</b:Corporate>
      </b:Author>
    </b:Author>
    <b:Title>Prioritization of Toxic Air Contaminants - Children's Environmental Health Protection Act, October, 2001: Polycyclic Organic Matter</b:Title>
    <b:Year>2001</b:Year>
    <b:Publisher>California Environmental Protection Agency Office of Environmental Health Hazard Assessment</b:Publisher>
    <b:City>Sacramento, CA</b:City>
    <b:RefOrder>3</b:RefOrder>
  </b:Source>
  <b:Source>
    <b:Tag>SCA03</b:Tag>
    <b:SourceType>Report</b:SourceType>
    <b:Guid>{BC56C66F-9F7B-4670-8E4F-A7DE3033ADD1}</b:Guid>
    <b:Author>
      <b:Author>
        <b:Corporate>SCAQMD</b:Corporate>
      </b:Author>
    </b:Author>
    <b:Title>Health Risk Assessment Guidance for Analyzing Cancer Risks from Mobile Source Diesel Idling Emissions for CEQA Air Quality Analysis</b:Title>
    <b:Year>2003</b:Year>
    <b:Publisher>South Coast Air Quality Management District</b:Publisher>
    <b:City>Diamond Bar, CA</b:City>
    <b:RefOrder>25</b:RefOrder>
  </b:Source>
  <b:Source>
    <b:Tag>SMA11</b:Tag>
    <b:SourceType>Report</b:SourceType>
    <b:Guid>{37F8F485-4A43-47EC-8C65-2A29F98D4934}</b:Guid>
    <b:Author>
      <b:Author>
        <b:Corporate>SMAQMD</b:Corporate>
      </b:Author>
    </b:Author>
    <b:Title>Recommended Protocol for Evaluating the Location of Sensitive Land Uses Adjacent to Major Roadways, Version 2.4</b:Title>
    <b:Year>2011</b:Year>
    <b:Publisher>Sacramento Metropolitan Air Quality Management District</b:Publisher>
    <b:City>Sacramento, CA</b:City>
    <b:RefOrder>26</b:RefOrder>
  </b:Source>
  <b:Source>
    <b:Tag>SCA08</b:Tag>
    <b:SourceType>Report</b:SourceType>
    <b:Guid>{4E9984E6-4929-4511-97D4-0CCB06931488}</b:Guid>
    <b:Author>
      <b:Author>
        <b:Corporate>SCAQMD</b:Corporate>
      </b:Author>
    </b:Author>
    <b:Title>Multiple Air Toxics Exposure Study in the South Coast Air Basin, MATES III, Final Report</b:Title>
    <b:Year>2008</b:Year>
    <b:Publisher>South Coast Air Quality Management District</b:Publisher>
    <b:City>Diamond Bar, CA</b:City>
    <b:RefOrder>67</b:RefOrder>
  </b:Source>
  <b:Source>
    <b:Tag>FHW08</b:Tag>
    <b:SourceType>Report</b:SourceType>
    <b:Guid>{867660D7-F5DF-4905-BFD4-046D86C358E9}</b:Guid>
    <b:Author>
      <b:Author>
        <b:Corporate>FHWA, CALTRANS, and RCT</b:Corporate>
      </b:Author>
    </b:Author>
    <b:Title>Mid County Parkway, Draft Environmental Impact Report/Environment Impact Statement and Section 4(F) Evaluation</b:Title>
    <b:Year>2008</b:Year>
    <b:Publisher>Federal Highway Administration, California Department of Transportation, and Riverside County Transportation</b:Publisher>
    <b:RefOrder>41</b:RefOrder>
  </b:Source>
  <b:Source>
    <b:Tag>TRB001</b:Tag>
    <b:SourceType>Report</b:SourceType>
    <b:Guid>{EAFD5F7A-5EC5-40CC-8C0D-5D5F5F7E650F}</b:Guid>
    <b:Author>
      <b:Author>
        <b:Corporate>TRB</b:Corporate>
      </b:Author>
    </b:Author>
    <b:Title>Modeling Mobile-Source Emissions</b:Title>
    <b:Year>2000b</b:Year>
    <b:Publisher>National Research Council Transportation Research Board, Board on Environmental Studies and Toxicology, Committee to Review EPA's Mobile Source Emissions Factor (MOBILE) Model</b:Publisher>
    <b:RefOrder>123</b:RefOrder>
  </b:Source>
  <b:Source>
    <b:Tag>USE051</b:Tag>
    <b:SourceType>Report</b:SourceType>
    <b:Guid>{E95FB919-7B5B-44BA-9D26-B8C7E325FDDC}</b:Guid>
    <b:Author>
      <b:Author>
        <b:Corporate>US EPA</b:Corporate>
      </b:Author>
    </b:Author>
    <b:Title>40 CFR 51 App. W – Revision to the Guideline on Air Quality Models: Adoption of a Preferred General Purpose (Flat and Complex Terrain) Dispersion Model and Other Revisions; Final Rule</b:Title>
    <b:Year>2005a</b:Year>
    <b:Publisher>US Environmental Protection Agency</b:Publisher>
    <b:City>Washington, DC</b:City>
    <b:RefOrder>132</b:RefOrder>
  </b:Source>
  <b:Source>
    <b:Tag>USE08</b:Tag>
    <b:SourceType>Report</b:SourceType>
    <b:Guid>{774E6315-AB14-4808-941D-690DF57831BA}</b:Guid>
    <b:Author>
      <b:Author>
        <b:Corporate>US EPA</b:Corporate>
      </b:Author>
    </b:Author>
    <b:Title>Control of Hazardous Air Pollutants From Mobile Sources: Early Credit Technology Requirement Revision</b:Title>
    <b:Year>2008a</b:Year>
    <b:Publisher>US Environmental Protection Agency Office of Transportation and Air Quality</b:Publisher>
    <b:City>Washington, DC</b:City>
    <b:RefOrder>4</b:RefOrder>
  </b:Source>
  <b:Source>
    <b:Tag>USE083</b:Tag>
    <b:SourceType>Report</b:SourceType>
    <b:Guid>{6350F631-B1AB-4083-956E-876BEF8900E5}</b:Guid>
    <b:Author>
      <b:Author>
        <b:Corporate>US EPA</b:Corporate>
      </b:Author>
    </b:Author>
    <b:Title>Emission and Air Quality Modeling Tools for Near-Roadway Applications, EPA/600/R-09/001</b:Title>
    <b:Year>2008b</b:Year>
    <b:Publisher>Prepared by MACTEC and the National Exposure Research Laboratory for the US Environmental Protection Agency Office of Research and Development</b:Publisher>
    <b:City>Research Triangle Park, NC</b:City>
    <b:RefOrder>92</b:RefOrder>
  </b:Source>
  <b:Source>
    <b:Tag>USE081</b:Tag>
    <b:SourceType>Report</b:SourceType>
    <b:Guid>{3C5A53B9-2CEF-4B5B-A2E4-9D17E7A6388C}</b:Guid>
    <b:Author>
      <b:Author>
        <b:Corporate>US EPA</b:Corporate>
      </b:Author>
    </b:Author>
    <b:Title>Latest Findings on National Air Quality – Status and Trends Through 2006, EPA-454/R-07-007</b:Title>
    <b:Year>2008c</b:Year>
    <b:Publisher>US Environmental Protection Agency Office of Air Quality Planning and Standards</b:Publisher>
    <b:City>Research Triangle Park, NC</b:City>
    <b:RefOrder>80</b:RefOrder>
  </b:Source>
  <b:Source>
    <b:Tag>USE082</b:Tag>
    <b:SourceType>Report</b:SourceType>
    <b:Guid>{42992B61-B398-45F1-890C-3FD86E79DF6B}</b:Guid>
    <b:Author>
      <b:Author>
        <b:Corporate>US EPA</b:Corporate>
      </b:Author>
    </b:Author>
    <b:Title>National Air Quality – Status and Trends Through 2007, EPA-454/R-08-006</b:Title>
    <b:Year>2008d</b:Year>
    <b:Publisher>US Environmental Protection Agency Office of Air Quality Planning and Standards</b:Publisher>
    <b:City>Research Triangle Park, NC</b:City>
    <b:RefOrder>81</b:RefOrder>
  </b:Source>
  <b:Source>
    <b:Tag>USE085</b:Tag>
    <b:SourceType>Report</b:SourceType>
    <b:Guid>{4B866E8D-3085-4499-8BBA-5FE6305593FE}</b:Guid>
    <b:Author>
      <b:Author>
        <b:Corporate>US EPA</b:Corporate>
      </b:Author>
    </b:Author>
    <b:Title>Risk and Exposure Assessment to Support the Review of the NO2 Primary National Ambient Air Quality Standard EPA-452/R-08-008a</b:Title>
    <b:Year>2008e</b:Year>
    <b:Publisher>US Environmental Protection Agency Office of Air Quality Planning and Standards</b:Publisher>
    <b:City>Research Triangle Park, NC</b:City>
    <b:RefOrder>68</b:RefOrder>
  </b:Source>
  <b:Source>
    <b:Tag>USE09</b:Tag>
    <b:SourceType>InternetSite</b:SourceType>
    <b:Guid>{88F5E66B-40DE-4BA2-8BE9-28D21F282116}</b:Guid>
    <b:Author>
      <b:Author>
        <b:Corporate>US EPA</b:Corporate>
      </b:Author>
    </b:Author>
    <b:Title>Consolidated Human Activity Database</b:Title>
    <b:Year>2009a</b:Year>
    <b:YearAccessed>2011</b:YearAccessed>
    <b:MonthAccessed>May</b:MonthAccessed>
    <b:DayAccessed>11</b:DayAccessed>
    <b:URL>http://www.epa.gov/chadnet1/</b:URL>
    <b:ProductionCompany>US Environmental Protection Agency Office of Research and Development National Exposure Research Laboratory</b:ProductionCompany>
    <b:RefOrder>120</b:RefOrder>
  </b:Source>
  <b:Source>
    <b:Tag>USE103</b:Tag>
    <b:SourceType>InternetSite</b:SourceType>
    <b:Guid>{8FCBDDC3-5E45-4CDD-BA44-A91AB7B1AF6E}</b:Guid>
    <b:Author>
      <b:Author>
        <b:Corporate>US EPA</b:Corporate>
      </b:Author>
    </b:Author>
    <b:Title>2002 County-level Non-point Source NEI Emissions</b:Title>
    <b:Year>2010a</b:Year>
    <b:ProductionCompany>US Environmental Protection Agency Office of Air Quality Planning and Standards</b:ProductionCompany>
    <b:YearAccessed>2011</b:YearAccessed>
    <b:MonthAccessed>March</b:MonthAccessed>
    <b:DayAccessed>23</b:DayAccessed>
    <b:URL>ftp://ftp.epa.gov/EmisInventory/2002finalnei/2002_final_v3_2007_summaries/nonpoint</b:URL>
    <b:RefOrder>74</b:RefOrder>
  </b:Source>
  <b:Source>
    <b:Tag>USE104</b:Tag>
    <b:SourceType>InternetSite</b:SourceType>
    <b:Guid>{B79E1B39-0634-4293-B346-FF928952C65E}</b:Guid>
    <b:Author>
      <b:Author>
        <b:Corporate>US EPA</b:Corporate>
      </b:Author>
    </b:Author>
    <b:Title>2002 County-level Non-road Mobile Source NEI Emissions</b:Title>
    <b:Year>2010b</b:Year>
    <b:YearAccessed>2011</b:YearAccessed>
    <b:MonthAccessed>March</b:MonthAccessed>
    <b:DayAccessed>23</b:DayAccessed>
    <b:URL>ftp://ftp.epa.gov/EmisInventory/2002finalnei/mobile_sector_data/nonroad/county_9_of_9.zip</b:URL>
    <b:ProductionCompany>US Environmental Protection Agency Office of Air Quality Planning and Standards</b:ProductionCompany>
    <b:RefOrder>75</b:RefOrder>
  </b:Source>
  <b:Source>
    <b:Tag>USE105</b:Tag>
    <b:SourceType>InternetSite</b:SourceType>
    <b:Guid>{A15C6B24-8B7C-429C-A2E9-B2A655E9CA48}</b:Guid>
    <b:Author>
      <b:Author>
        <b:Corporate>US EPA</b:Corporate>
      </b:Author>
    </b:Author>
    <b:Title>2002 County-level On-road Mobile Source NEI Emissions</b:Title>
    <b:Year>2010c</b:Year>
    <b:YearAccessed>2011</b:YearAccessed>
    <b:MonthAccessed>March</b:MonthAccessed>
    <b:DayAccessed>23</b:DayAccessed>
    <b:URL>ftp://ftp.epa.gov/EmisInventory/2002finalnei/mobile_sector_data/onroad/county_5_of_5.zip</b:URL>
    <b:ProductionCompany>US Environmental Protection Agency Office of Air Quality Planning and Standards</b:ProductionCompany>
    <b:RefOrder>76</b:RefOrder>
  </b:Source>
  <b:Source>
    <b:Tag>USE106</b:Tag>
    <b:SourceType>InternetSite</b:SourceType>
    <b:Guid>{DC9BAC1F-10F4-4E1B-B8E6-447AC59FF6E2}</b:Guid>
    <b:Author>
      <b:Author>
        <b:Corporate>US EPA</b:Corporate>
      </b:Author>
    </b:Author>
    <b:Title>2002 Source-level Point Source NEI HAP Emissions</b:Title>
    <b:Year>2010d</b:Year>
    <b:YearAccessed>2011</b:YearAccessed>
    <b:MonthAccessed>March</b:MonthAccessed>
    <b:DayAccessed>23</b:DayAccessed>
    <b:URL>ftp://ftp.epa.gov/EmisInventory/2002finalnei/2002_final_v3_2007_summaries/point/allnei_hap_annual_01232008.zip</b:URL>
    <b:ProductionCompany>US Environmental Protection Agency Office of Air Quality Planning and Standards</b:ProductionCompany>
    <b:RefOrder>77</b:RefOrder>
  </b:Source>
  <b:Source>
    <b:Tag>USE107</b:Tag>
    <b:SourceType>InternetSite</b:SourceType>
    <b:Guid>{96D5251B-F36C-4915-8F5A-FA5BFED9809A}</b:Guid>
    <b:Author>
      <b:Author>
        <b:Corporate>US EPA</b:Corporate>
      </b:Author>
    </b:Author>
    <b:Title>2005 NEI County-level Non-point Emissions</b:Title>
    <b:Year>2010f</b:Year>
    <b:YearAccessed>2011</b:YearAccessed>
    <b:MonthAccessed>March</b:MonthAccessed>
    <b:DayAccessed>23</b:DayAccessed>
    <b:URL>ftp://ftp.epa.gov/EmisInventory/2005_nei/nonpoint_sector/scc_summaries_nonpoint_05_version_2.zip</b:URL>
    <b:ProductionCompany>US Environmental Protection Agency Office of Air Quality Planning and Standards</b:ProductionCompany>
    <b:RefOrder>78</b:RefOrder>
  </b:Source>
  <b:Source>
    <b:Tag>USE1012</b:Tag>
    <b:SourceType>InternetSite</b:SourceType>
    <b:Guid>{C5FCA2F3-7A86-41F0-82D0-9A47677427AC}</b:Guid>
    <b:Author>
      <b:Author>
        <b:Corporate>US EPA</b:Corporate>
      </b:Author>
    </b:Author>
    <b:Title>Human Exposure Modeling - Air Pollutants Exposure Model (APEX/TRIM.Expo Inhalation)</b:Title>
    <b:Year>2010g</b:Year>
    <b:YearAccessed>2011</b:YearAccessed>
    <b:MonthAccessed>May</b:MonthAccessed>
    <b:DayAccessed>11</b:DayAccessed>
    <b:URL>http://www.epa/gov/ttn/fera/human_apex.html</b:URL>
    <b:ProductionCompany>US Environmental Protection Agency Office of Air Quality Planning and Standards</b:ProductionCompany>
    <b:RefOrder>116</b:RefOrder>
  </b:Source>
  <b:Source>
    <b:Tag>USE1011</b:Tag>
    <b:SourceType>InternetSite</b:SourceType>
    <b:Guid>{3141B927-510F-46CB-A5F8-1BBA4CC9EF7B}</b:Guid>
    <b:Author>
      <b:Author>
        <b:Corporate>US EPA</b:Corporate>
      </b:Author>
    </b:Author>
    <b:Title>Human Exposure Modeling - Hazardous Air Pollutant Exposure Model (HAPEM)</b:Title>
    <b:Year>2010h</b:Year>
    <b:YearAccessed>2011</b:YearAccessed>
    <b:MonthAccessed>May</b:MonthAccessed>
    <b:DayAccessed>11</b:DayAccessed>
    <b:URL>http://www.epa.gov/ttn/fera/human_hapem.html</b:URL>
    <b:ProductionCompany>US Environmental Protection Agency Office of Air Quality Planning and Standards</b:ProductionCompany>
    <b:RefOrder>112</b:RefOrder>
  </b:Source>
  <b:Source>
    <b:Tag>USE108</b:Tag>
    <b:SourceType>Report</b:SourceType>
    <b:Guid>{E381094D-3ED4-4E7F-A19E-EFCC884B1B25}</b:Guid>
    <b:Author>
      <b:Author>
        <b:Corporate>US EPA</b:Corporate>
      </b:Author>
    </b:Author>
    <b:Title>Our Nation’s Air – Status and Trends Through 2008, EPA-454/R-09-002</b:Title>
    <b:Year>2010j</b:Year>
    <b:Publisher>US Environmental Protection Agency Office of Air Quality Planning and Standards</b:Publisher>
    <b:City>Research Triangle Park, NC</b:City>
    <b:RefOrder>79</b:RefOrder>
  </b:Source>
  <b:Source>
    <b:Tag>USE109</b:Tag>
    <b:SourceType>Report</b:SourceType>
    <b:Guid>{96EA483F-3F12-4337-AEF7-5888A1879B17}</b:Guid>
    <b:Author>
      <b:Author>
        <b:Corporate>US EPA</b:Corporate>
      </b:Author>
    </b:Author>
    <b:Title>Technical Guidance on the Use of MOVES2010 for Emission Inventory Preparation in State Implementation Plans and Transportation Conformity, EPA-420-B-10-023</b:Title>
    <b:Year>2010l</b:Year>
    <b:Publisher>US Environmental Protection Agency Office of Transportation and Air Quality</b:Publisher>
    <b:City>Washington, DC</b:City>
    <b:RefOrder>82</b:RefOrder>
  </b:Source>
  <b:Source>
    <b:Tag>USE102</b:Tag>
    <b:SourceType>InternetSite</b:SourceType>
    <b:Guid>{8AD78831-8DE4-4198-B111-56AA7AA09755}</b:Guid>
    <b:Author>
      <b:Author>
        <b:Corporate>US EPA</b:Corporate>
      </b:Author>
    </b:Author>
    <b:Title>The Clean Air Act Amendments of 1990 List of Hazardous Air Pollutants</b:Title>
    <b:Year>2010m</b:Year>
    <b:YearAccessed>2011</b:YearAccessed>
    <b:MonthAccessed>May</b:MonthAccessed>
    <b:DayAccessed>11</b:DayAccessed>
    <b:URL>http://epa.gov/ttn/atw/orig189.html</b:URL>
    <b:ProductionCompany>US Environmental Protection Agency Office of Air Quality Planning and Standards</b:ProductionCompany>
    <b:RefOrder>70</b:RefOrder>
  </b:Source>
  <b:Source>
    <b:Tag>USE10</b:Tag>
    <b:SourceType>Report</b:SourceType>
    <b:Guid>{FA0F88A1-0EF1-475C-A6B6-B683D473586F}</b:Guid>
    <b:Author>
      <b:Author>
        <b:Corporate>US EPA</b:Corporate>
      </b:Author>
    </b:Author>
    <b:Title>Transportation Conformity Guidance for Quantitative Hot-spot Analyses in PM2.5 and PM10 Nonattainment and Maintenance Areas, EPA-420-B-10-040</b:Title>
    <b:Year>2010n</b:Year>
    <b:Publisher>US Environmental Protection Agency Office of Transportation and Air Quality</b:Publisher>
    <b:City>Washington, DC</b:City>
    <b:RefOrder>8</b:RefOrder>
  </b:Source>
  <b:Source>
    <b:Tag>USE101</b:Tag>
    <b:SourceType>Report</b:SourceType>
    <b:Guid>{5C57C639-234B-4B96-A1A4-0A2B61DBDBAD}</b:Guid>
    <b:Author>
      <b:Author>
        <b:Corporate>US EPA</b:Corporate>
      </b:Author>
    </b:Author>
    <b:Title>Using MOVES in Project-Level Conformity Analyses, EPA-420-B-10-041</b:Title>
    <b:Year>2010o</b:Year>
    <b:Publisher>US Environmental Protection Agency Office of Transportation and Air Quality</b:Publisher>
    <b:City>Washington, DC</b:City>
    <b:RefOrder>9</b:RefOrder>
  </b:Source>
  <b:Source>
    <b:Tag>USE118</b:Tag>
    <b:SourceType>InternetSite</b:SourceType>
    <b:Guid>{C8643E1D-330F-4122-B517-4EA9F8E11508}</b:Guid>
    <b:Author>
      <b:Author>
        <b:Corporate>US EPA</b:Corporate>
      </b:Author>
    </b:Author>
    <b:Title>2005 National-Scale Air Toxics Assessment</b:Title>
    <b:Year>2011a</b:Year>
    <b:Publisher>U</b:Publisher>
    <b:YearAccessed>2011</b:YearAccessed>
    <b:MonthAccessed>May</b:MonthAccessed>
    <b:DayAccessed>10</b:DayAccessed>
    <b:URL>http://www.epa.gov/nata2005/</b:URL>
    <b:ProductionCompany>US Environmental Protection Agency Office of Air Quality Planning and Standards</b:ProductionCompany>
    <b:RefOrder>133</b:RefOrder>
  </b:Source>
  <b:Source>
    <b:Tag>USE115</b:Tag>
    <b:SourceType>InternetSite</b:SourceType>
    <b:Guid>{3DF099B7-FD5E-4865-A925-AF9D513D7CE8}</b:Guid>
    <b:Author>
      <b:Author>
        <b:Corporate>US EPA</b:Corporate>
      </b:Author>
    </b:Author>
    <b:Title>2005 National-Scale Air Toxics Assessment, 2005 Assessment Results</b:Title>
    <b:Year>2011b</b:Year>
    <b:YearAccessed>2011</b:YearAccessed>
    <b:MonthAccessed>March</b:MonthAccessed>
    <b:DayAccessed>23</b:DayAccessed>
    <b:URL>http://www.epa.gov/ttn/atw/nata2005/tables.html</b:URL>
    <b:ProductionCompany>US Environmental Protection Agency Office of Air Quality Planning and Standards</b:ProductionCompany>
    <b:RefOrder>71</b:RefOrder>
  </b:Source>
  <b:Source>
    <b:Tag>USE1112</b:Tag>
    <b:SourceType>InternetSite</b:SourceType>
    <b:Guid>{14C9B982-2504-4775-921E-E9CDD3AD4D47}</b:Guid>
    <b:Author>
      <b:Author>
        <b:Corporate>US EPA</b:Corporate>
      </b:Author>
    </b:Author>
    <b:Title>AERSCREEN</b:Title>
    <b:Year>2011c</b:Year>
    <b:YearAccessed>2011</b:YearAccessed>
    <b:MonthAccessed>May</b:MonthAccessed>
    <b:DayAccessed>13</b:DayAccessed>
    <b:URL>http://www.epa.gov/ttn/scram/dispersion_screening.htm#aerscreen</b:URL>
    <b:RefOrder>91</b:RefOrder>
  </b:Source>
  <b:Source>
    <b:Tag>USE116</b:Tag>
    <b:SourceType>Report</b:SourceType>
    <b:Guid>{141655B1-A453-4732-8103-AD6E02C21235}</b:Guid>
    <b:Author>
      <b:Author>
        <b:Corporate>US EPA</b:Corporate>
      </b:Author>
    </b:Author>
    <b:Title>An Overview of Methods for EPA’s National-Scale Air Toxics Assessment</b:Title>
    <b:Year>2011d</b:Year>
    <b:Publisher>Prepared by ICF International for the US Environmental Protection Agency Office of Air Quality Planning and Standards</b:Publisher>
    <b:City>Research Triangle Park, NC</b:City>
    <b:RefOrder>69</b:RefOrder>
  </b:Source>
  <b:Source>
    <b:Tag>CAL11</b:Tag>
    <b:SourceType>InternetSite</b:SourceType>
    <b:Guid>{DCCDB457-DD1B-4C08-9FDF-390CB34FE2F6}</b:Guid>
    <b:Author>
      <b:Author>
        <b:Corporate>CALTRANS</b:Corporate>
      </b:Author>
    </b:Author>
    <b:Title>CALTRANS, Your Local Office</b:Title>
    <b:Year>2011b</b:Year>
    <b:YearAccessed>2011</b:YearAccessed>
    <b:MonthAccessed>April</b:MonthAccessed>
    <b:DayAccessed>29</b:DayAccessed>
    <b:URL>http://www.dot.ca.gov/localoffice.htm</b:URL>
    <b:ProductionCompany>California Department of Transportation</b:ProductionCompany>
    <b:RefOrder>30</b:RefOrder>
  </b:Source>
  <b:Source>
    <b:Tag>FHW11</b:Tag>
    <b:SourceType>InternetSite</b:SourceType>
    <b:Guid>{5B3F76DD-5DB1-49CC-96F1-8F9D26CFB258}</b:Guid>
    <b:Author>
      <b:Author>
        <b:Corporate>FHWA</b:Corporate>
      </b:Author>
    </b:Author>
    <b:Title>Active and Inactive Environmental Impact Statements (EISs) (NEPA and Project Development)</b:Title>
    <b:Year>2011a</b:Year>
    <b:YearAccessed>2011</b:YearAccessed>
    <b:MonthAccessed>April</b:MonthAccessed>
    <b:DayAccessed>29</b:DayAccessed>
    <b:URL>http://environment.fhwa.dot.gov/projdev/active_eis.asp</b:URL>
    <b:ProductionCompany>Federal Highway Administration</b:ProductionCompany>
    <b:RefOrder>28</b:RefOrder>
  </b:Source>
  <b:Source>
    <b:Tag>FHW111</b:Tag>
    <b:SourceType>InternetSite</b:SourceType>
    <b:Guid>{BCF24D66-D719-4B79-8F97-3FDE5EE068D2}</b:Guid>
    <b:Author>
      <b:Author>
        <b:Corporate>FHWA</b:Corporate>
      </b:Author>
    </b:Author>
    <b:Title>TMIP - Travel Model Improvement Program</b:Title>
    <b:Year>2011b</b:Year>
    <b:YearAccessed>2011</b:YearAccessed>
    <b:MonthAccessed>May</b:MonthAccessed>
    <b:DayAccessed>12</b:DayAccessed>
    <b:URL>http://tmip.fhwa.dot.gov/</b:URL>
    <b:ProductionCompany>Federal Highway Administration</b:ProductionCompany>
    <b:RefOrder>127</b:RefOrder>
  </b:Source>
  <b:Source>
    <b:Tag>Cal</b:Tag>
    <b:SourceType>Case</b:SourceType>
    <b:Guid>{C3BB41DC-F3C9-4270-9D41-DBAD18A432AA}</b:Guid>
    <b:Title>Caldecott Tunnel Fourth Bore Coalition vs. California Department of Transportation, Federal Highway Administration, and DOES 1-20</b:Title>
    <b:CaseNumber>RG-07355832</b:CaseNumber>
    <b:Court>Superior Court of the State of California in and for the County of Alameda</b:Court>
    <b:Year>2007</b:Year>
    <b:Month>Nov.</b:Month>
    <b:Day>13</b:Day>
    <b:RefOrder>46</b:RefOrder>
  </b:Source>
  <b:Source>
    <b:Tag>CAR03</b:Tag>
    <b:SourceType>Report</b:SourceType>
    <b:Guid>{7AB6C4B6-92D7-4B2E-BB30-7B32AA198BE8}</b:Guid>
    <b:Author>
      <b:Author>
        <b:Corporate>CARB</b:Corporate>
      </b:Author>
    </b:Author>
    <b:Title>Air Resources Board Recommended Interim Risk Management Policy for Inhalation-Based Residential Cancer Risk</b:Title>
    <b:Year>2003</b:Year>
    <b:Publisher>California Environmental Protection Agency California Air Resources Board</b:Publisher>
    <b:City>Sacramento, CA</b:City>
    <b:RefOrder>111</b:RefOrder>
  </b:Source>
  <b:Source>
    <b:Tag>CAR11</b:Tag>
    <b:SourceType>InternetSite</b:SourceType>
    <b:Guid>{9E06EC55-2A29-4963-9EF0-3F8FEDBCD14B}</b:Guid>
    <b:Author>
      <b:Author>
        <b:Corporate>CARB</b:Corporate>
      </b:Author>
    </b:Author>
    <b:Title>Airborne Toxic Control Measures</b:Title>
    <b:Year>2011</b:Year>
    <b:YearAccessed>2011</b:YearAccessed>
    <b:MonthAccessed>May</b:MonthAccessed>
    <b:DayAccessed>13</b:DayAccessed>
    <b:URL>http://www.arb.ca.gov/toxics/atcm/atcm.htm</b:URL>
    <b:ProductionCompany>California Environmental Protection Agency Air Resources Board</b:ProductionCompany>
    <b:RefOrder>11</b:RefOrder>
  </b:Source>
  <b:Source>
    <b:Tag>Cim05</b:Tag>
    <b:SourceType>JournalArticle</b:SourceType>
    <b:Guid>{E959C0B7-BDE2-468C-B47A-CF6B76AB94E4}</b:Guid>
    <b:Author>
      <b:Author>
        <b:NameList>
          <b:Person>
            <b:Last>Cimorelli</b:Last>
            <b:First>Alan</b:First>
            <b:Middle>J.</b:Middle>
          </b:Person>
          <b:Person>
            <b:Last>Perry</b:Last>
            <b:First>Steven</b:First>
            <b:Middle>G.</b:Middle>
          </b:Person>
          <b:Person>
            <b:Last>Venkatram</b:Last>
            <b:First>Akula</b:First>
          </b:Person>
          <b:Person>
            <b:Last>Weil</b:Last>
            <b:First>Jeffrey</b:First>
            <b:Middle>C.</b:Middle>
          </b:Person>
          <b:Person>
            <b:Last>Paine</b:Last>
            <b:First>Robert</b:First>
            <b:Middle>J.</b:Middle>
          </b:Person>
          <b:Person>
            <b:Last>Wilson</b:Last>
            <b:First>Robert</b:First>
            <b:Middle>B.</b:Middle>
          </b:Person>
          <b:Person>
            <b:Last>Lee</b:Last>
            <b:First>Russell</b:First>
            <b:Middle>F.</b:Middle>
          </b:Person>
          <b:Person>
            <b:Last>Peters</b:Last>
            <b:First>Warren</b:First>
            <b:Middle>D.</b:Middle>
          </b:Person>
          <b:Person>
            <b:Last>Brode</b:Last>
            <b:First>Roger</b:First>
            <b:Middle>W.</b:Middle>
          </b:Person>
        </b:NameList>
      </b:Author>
    </b:Author>
    <b:Title>AERMOD: A Dispersion Model for Industrial Source Applications. Part I: General Model Formulation and Boundary Layer Characterization</b:Title>
    <b:Year>2005</b:Year>
    <b:JournalName>Journal of Applied Meteorology</b:JournalName>
    <b:Pages>682-693</b:Pages>
    <b:Volume>44</b:Volume>
    <b:Issue>5</b:Issue>
    <b:RefOrder>93</b:RefOrder>
  </b:Source>
  <b:Source>
    <b:Tag>CST11</b:Tag>
    <b:SourceType>InternetSite</b:SourceType>
    <b:Guid>{6AFF9F07-2ACA-4B9C-BAFC-00A3D63A5DB1}</b:Guid>
    <b:Title>WalkSpokane</b:Title>
    <b:Author>
      <b:Author>
        <b:NameList>
          <b:Person>
            <b:Last>CSTP</b:Last>
          </b:Person>
        </b:NameList>
      </b:Author>
    </b:Author>
    <b:YearAccessed>2011</b:YearAccessed>
    <b:MonthAccessed>May</b:MonthAccessed>
    <b:DayAccessed>5</b:DayAccessed>
    <b:URL>http://www.walkspokane.org/images/health_effects_research.pdf</b:URL>
    <b:Year>2010</b:Year>
    <b:RefOrder>51</b:RefOrder>
  </b:Source>
  <b:Source>
    <b:Tag>Env06</b:Tag>
    <b:SourceType>Case</b:SourceType>
    <b:Guid>{AB96E505-7F2A-4189-AAE4-BF94423CCDA2}</b:Guid>
    <b:Title>Environmental Defense Club and Sierra Club vs. U.S. DOT</b:Title>
    <b:CaseNumber>06-cv-2176</b:CaseNumber>
    <b:Court>U.S. District Court of the District of Columbia</b:Court>
    <b:Year>2006</b:Year>
    <b:Month>Dec.</b:Month>
    <b:Day>20</b:Day>
    <b:RefOrder>58</b:RefOrder>
  </b:Source>
  <b:Source>
    <b:Tag>Hil08</b:Tag>
    <b:SourceType>JournalArticle</b:SourceType>
    <b:Guid>{B0CD5CB1-E719-4C97-9B99-346143938420}</b:Guid>
    <b:Author>
      <b:Author>
        <b:NameList>
          <b:Person>
            <b:Last>Hill</b:Last>
            <b:First>Richard</b:First>
          </b:Person>
          <b:Person>
            <b:Last>Jenkinson</b:Last>
            <b:First>Peter</b:First>
          </b:Person>
          <b:Person>
            <b:Last>Lutman</b:Last>
            <b:First>Emma</b:First>
          </b:Person>
        </b:NameList>
      </b:Author>
    </b:Author>
    <b:Title>Inter-Comparison of Gaussian Plume, Street Canyon and CFD Models for Predicting Ambient Concentrations of NOx and NO2 at Urban Road Junctions</b:Title>
    <b:JournalName>Air Pollution Modeling and Its Application XIX</b:JournalName>
    <b:Year>2008</b:Year>
    <b:Pages>657-658</b:Pages>
    <b:RefOrder>107</b:RefOrder>
  </b:Source>
  <b:Source>
    <b:Tag>HEI101</b:Tag>
    <b:SourceType>Report</b:SourceType>
    <b:Guid>{0FA1880F-F5B8-40F2-A46F-6DC2FFC653D7}</b:Guid>
    <b:Author>
      <b:Author>
        <b:Corporate>HEI</b:Corporate>
      </b:Author>
    </b:Author>
    <b:Title>Special Report 17: Traffic-Related Air Pollution: A Critical Review of the Literature on Emissions, Exposure, and Health Effects Report</b:Title>
    <b:Year>2010</b:Year>
    <b:Publisher>Health Effects Institute</b:Publisher>
    <b:City>Boston, MA</b:City>
    <b:RefOrder>66</b:RefOrder>
  </b:Source>
  <b:Source>
    <b:Tag>OEH111</b:Tag>
    <b:SourceType>Report</b:SourceType>
    <b:Guid>{73257D03-BC3D-42E7-972F-12459C61186B}</b:Guid>
    <b:Author>
      <b:Author>
        <b:Corporate>OEHHA</b:Corporate>
      </b:Author>
    </b:Author>
    <b:Title>Air Toxicology and Epidemiology - Hot Spots Guidelines</b:Title>
    <b:Year>2011a</b:Year>
    <b:Publisher>California Environmental Protection Agency Office of Environmental Health Hazard Assessment</b:Publisher>
    <b:City>Sacramento, CA</b:City>
    <b:RefOrder>13</b:RefOrder>
  </b:Source>
  <b:Source>
    <b:Tag>TRB00</b:Tag>
    <b:SourceType>Report</b:SourceType>
    <b:Guid>{E0602A99-72CC-405A-BDD3-D85478A13ADE}</b:Guid>
    <b:Author>
      <b:Author>
        <b:Corporate>TRB</b:Corporate>
      </b:Author>
    </b:Author>
    <b:Title>Highway Capacity Manual 2000</b:Title>
    <b:Year>2000a</b:Year>
    <b:Publisher>National Research Council Transportation Research Board</b:Publisher>
    <b:City>Washington, DC</b:City>
    <b:RefOrder>128</b:RefOrder>
  </b:Source>
  <b:Source>
    <b:Tag>USE95</b:Tag>
    <b:SourceType>InternetSite</b:SourceType>
    <b:Guid>{F03F374C-36A2-4E2B-AB4D-26654A64693B}</b:Guid>
    <b:Author>
      <b:Author>
        <b:Corporate>US EPA</b:Corporate>
      </b:Author>
    </b:Author>
    <b:Title>CAL3QHC/CAL3QHCR</b:Title>
    <b:Year>1995</b:Year>
    <b:YearAccessed>2011</b:YearAccessed>
    <b:MonthAccessed>May</b:MonthAccessed>
    <b:DayAccessed>4</b:DayAccessed>
    <b:URL>http://www.epa.gov/ttn/scram/dispersion_prefrec.htm#cal3qhc</b:URL>
    <b:ProductionCompany>US Environmental Protection Agency Office of Air Quality Planning and Standards</b:ProductionCompany>
    <b:RefOrder>18</b:RefOrder>
  </b:Source>
  <b:Source>
    <b:Tag>USE091</b:Tag>
    <b:SourceType>Report</b:SourceType>
    <b:Guid>{DDC4A820-6537-41C9-90A9-523ACCE07CC6}</b:Guid>
    <b:Author>
      <b:Author>
        <b:Corporate>US EPA</b:Corporate>
      </b:Author>
    </b:Author>
    <b:Title>Draft Motor Vehicle Emission Simulator (MOVES) 2009.  Software Design and Reference Manual, EPA-450-B-09-007</b:Title>
    <b:Year>2009b</b:Year>
    <b:Publisher>US Environmental Protection Agency Office of Transportation and Air Quality</b:Publisher>
    <b:City>Washington, DC</b:City>
    <b:RefOrder>130</b:RefOrder>
  </b:Source>
  <b:Source>
    <b:Tag>USE1010</b:Tag>
    <b:SourceType>InternetSite</b:SourceType>
    <b:Guid>{63119579-287B-48B0-BF55-F68ECC0594D2}</b:Guid>
    <b:Author>
      <b:Author>
        <b:Corporate>US EPA</b:Corporate>
      </b:Author>
    </b:Author>
    <b:Title>NONROAD Model (nonroad engines, equipment, and vehicles)</b:Title>
    <b:Year>2010i</b:Year>
    <b:YearAccessed>2011</b:YearAccessed>
    <b:MonthAccessed>May</b:MonthAccessed>
    <b:DayAccessed>12</b:DayAccessed>
    <b:URL>http://www.epa.gov/oms/nonrdmdl.htm</b:URL>
    <b:ProductionCompany>US Environmental Protection Agency Office of Transportation and Air Quality</b:ProductionCompany>
    <b:RefOrder>129</b:RefOrder>
  </b:Source>
  <b:Source>
    <b:Tag>USE96</b:Tag>
    <b:SourceType>InternetSite</b:SourceType>
    <b:Guid>{7A8BA2D4-A79A-49BB-9213-9D6791CD629E}</b:Guid>
    <b:Author>
      <b:Author>
        <b:Corporate>US EPA</b:Corporate>
      </b:Author>
    </b:Author>
    <b:Title>SCREEN3</b:Title>
    <b:Year>1996</b:Year>
    <b:YearAccessed>2011</b:YearAccessed>
    <b:MonthAccessed>May</b:MonthAccessed>
    <b:DayAccessed>4</b:DayAccessed>
    <b:URL>http://www.epa.gov/ttn/scram/dispersion_screening.htm#screen3</b:URL>
    <b:ProductionCompany>US Environmental Protection Agency Office of Air Quality Planning and Standards</b:ProductionCompany>
    <b:RefOrder>42</b:RefOrder>
  </b:Source>
  <b:Source>
    <b:Tag>USE1013</b:Tag>
    <b:SourceType>InternetSite</b:SourceType>
    <b:Guid>{7F80F7C5-3C74-434C-86F6-997FB3B3E7D7}</b:Guid>
    <b:Author>
      <b:Author>
        <b:Corporate>US EPA</b:Corporate>
      </b:Author>
    </b:Author>
    <b:Title>SHEDS-Multimedia</b:Title>
    <b:Year>2010k</b:Year>
    <b:YearAccessed>2011</b:YearAccessed>
    <b:MonthAccessed>May</b:MonthAccessed>
    <b:DayAccessed>12</b:DayAccessed>
    <b:URL>http://www.epa.gov/heasd/products/sheds_multimedia/sheds_mm.html</b:URL>
    <b:ProductionCompany>US Environmental Protection Agency Office of Research and Development National Exposure Research Laboratory</b:ProductionCompany>
    <b:RefOrder>114</b:RefOrder>
  </b:Source>
  <b:Source>
    <b:Tag>Tou07</b:Tag>
    <b:SourceType>JournalArticle</b:SourceType>
    <b:Guid>{AE541E8C-3444-4277-8122-58B2CA40C9BE}</b:Guid>
    <b:Author>
      <b:Author>
        <b:NameList>
          <b:Person>
            <b:Last>Touma</b:Last>
            <b:First>Jawad</b:First>
            <b:Middle>S.</b:Middle>
          </b:Person>
          <b:Person>
            <b:Last>Isakov</b:Last>
            <b:First>Vlad</b:First>
          </b:Person>
          <b:Person>
            <b:Last>Cimorelli</b:Last>
            <b:First>Alan</b:First>
            <b:Middle>J.</b:Middle>
          </b:Person>
          <b:Person>
            <b:Last>Brode</b:Last>
            <b:First>Roger</b:First>
            <b:Middle>W.</b:Middle>
          </b:Person>
          <b:Person>
            <b:Last>Anderson</b:Last>
            <b:First>Bret</b:First>
          </b:Person>
        </b:NameList>
      </b:Author>
    </b:Author>
    <b:Title>Using Prognostic Model-Generated Meteorological Output in the AERMOD Dispersion Model: An Illustrative Application in Philadelphia, PA</b:Title>
    <b:JournalName>Journal of the Air &amp; Waste Management Association</b:JournalName>
    <b:Year>2007</b:Year>
    <b:Pages>586-595</b:Pages>
    <b:Volume>57</b:Volume>
    <b:Issue>5</b:Issue>
    <b:RefOrder>105</b:RefOrder>
  </b:Source>
  <b:Source>
    <b:Tag>USE01</b:Tag>
    <b:SourceType>Report</b:SourceType>
    <b:Guid>{FC530E7A-D680-4542-86C8-95E3E31A816E}</b:Guid>
    <b:Author>
      <b:Author>
        <b:Corporate>US EPA</b:Corporate>
      </b:Author>
    </b:Author>
    <b:Title>Final Rule -- Control of Emissions of Hazardous Air Pollutants from Mobile Sources, 66 FR 17229</b:Title>
    <b:Year>2001</b:Year>
    <b:Publisher>US Environmental Protection Agency Office of Transportation and Air Quality</b:Publisher>
    <b:City>Washington, DC</b:City>
    <b:RefOrder>1</b:RefOrder>
  </b:Source>
  <b:Source>
    <b:Tag>USE05</b:Tag>
    <b:SourceType>Report</b:SourceType>
    <b:Guid>{B0798E7C-AF14-4989-94CD-2BDCA39EE9FD}</b:Guid>
    <b:Author>
      <b:Author>
        <b:Corporate>US EPA</b:Corporate>
      </b:Author>
    </b:Author>
    <b:Title>Human Health Risk Assessment Protocol for Hazardous Waste Combustion Facilities, EPA530-R-05-006</b:Title>
    <b:Year>2005c</b:Year>
    <b:Publisher>US Environmental Protection Agency Office of Solid Waste</b:Publisher>
    <b:City>Washington, DC</b:City>
    <b:RefOrder>39</b:RefOrder>
  </b:Source>
  <b:Source>
    <b:Tag>Placeholder3</b:Tag>
    <b:SourceType>Report</b:SourceType>
    <b:Guid>{AB384215-25FD-4D45-A40A-6E09B17C09FF}</b:Guid>
    <b:Author>
      <b:Author>
        <b:Corporate>US EPA</b:Corporate>
      </b:Author>
    </b:Author>
    <b:Year>2005b</b:Year>
    <b:Title>Guidelines for Carcinogen Risk Assessment</b:Title>
    <b:Publisher>National Center for Environmental Assessment</b:Publisher>
    <b:City>Washington, DC</b:City>
    <b:Pages>EPA/630/P-03/001b.  NCEA-F-0644b</b:Pages>
    <b:Comments>Available at http://www.epa.gov/cancerguidelines.</b:Comments>
    <b:RefOrder>86</b:RefOrder>
  </b:Source>
  <b:Source>
    <b:Tag>USE086</b:Tag>
    <b:SourceType>Report</b:SourceType>
    <b:Guid>{E04613A1-F235-4620-AC21-53DBAD5F9BED}</b:Guid>
    <b:Author>
      <b:Author>
        <b:Corporate>US EPA</b:Corporate>
      </b:Author>
    </b:Author>
    <b:Title>Risk and Exposure Assessment to Support the Review of the SO2 Primary National Ambient Air Quality Standards: Final Report</b:Title>
    <b:Year>2008f</b:Year>
    <b:Publisher>US Environmental Protection Agency Office of Air Quality Planning and Standards</b:Publisher>
    <b:City>Research Triangle Park, NC</b:City>
    <b:RefOrder>122</b:RefOrder>
  </b:Source>
  <b:Source>
    <b:Tag>Özk07</b:Tag>
    <b:SourceType>JournalArticle</b:SourceType>
    <b:Guid>{EF2E4196-6EF5-4C8B-88C4-23F006886463}</b:Guid>
    <b:Author>
      <b:Author>
        <b:NameList>
          <b:Person>
            <b:Last>Özkaynak</b:Last>
            <b:First>Halûk</b:First>
          </b:Person>
          <b:Person>
            <b:Last>Palma</b:Last>
            <b:First>Ted</b:First>
          </b:Person>
          <b:Person>
            <b:Last>Touma</b:Last>
            <b:First>Jawad</b:First>
            <b:Middle>S.</b:Middle>
          </b:Person>
          <b:Person>
            <b:Last>Thurman</b:Last>
            <b:First>James</b:First>
          </b:Person>
        </b:NameList>
      </b:Author>
    </b:Author>
    <b:Title>Modeling Population Exposures to Outdoor Sources of Hazardous Air Pollutants</b:Title>
    <b:JournalName>Journal of Exposure Science and Environmental Epidemiology</b:JournalName>
    <b:Year>2007</b:Year>
    <b:Pages>45-58</b:Pages>
    <b:Volume>18</b:Volume>
    <b:Issue>1</b:Issue>
    <b:RefOrder>113</b:RefOrder>
  </b:Source>
  <b:Source>
    <b:Tag>USE1014</b:Tag>
    <b:SourceType>InternetSite</b:SourceType>
    <b:Guid>{2601347A-3772-4FB7-84F6-CA54F31AF040}</b:Guid>
    <b:Author>
      <b:Author>
        <b:Corporate>US EPA</b:Corporate>
      </b:Author>
    </b:Author>
    <b:Title>2005 National Emissions Inventory Data &amp; Documentation</b:Title>
    <b:Year>2010e</b:Year>
    <b:YearAccessed>2011</b:YearAccessed>
    <b:MonthAccessed>May</b:MonthAccessed>
    <b:DayAccessed>13</b:DayAccessed>
    <b:URL>http://www.epa.gov/ttn/chief/net/2005inventory.html</b:URL>
    <b:ProductionCompany>US Environmental Protection Agency Office of Air Quality Planning and Standards</b:ProductionCompany>
    <b:RefOrder>72</b:RefOrder>
  </b:Source>
  <b:Source>
    <b:Tag>Car02</b:Tag>
    <b:SourceType>Report</b:SourceType>
    <b:Guid>{3EE1D7D9-17A4-49C1-99E0-8FFB33B9A00D}</b:Guid>
    <b:Author>
      <b:Author>
        <b:NameList>
          <b:Person>
            <b:Last>Carr</b:Last>
            <b:First>E.</b:First>
            <b:Middle>L.</b:Middle>
          </b:Person>
          <b:Person>
            <b:Last>Johnson</b:Last>
            <b:First>R.</b:First>
            <b:Middle>G.</b:Middle>
          </b:Person>
          <b:Person>
            <b:Last>Ireson</b:Last>
            <b:First>R.</b:First>
            <b:Middle>G.</b:Middle>
          </b:Person>
        </b:NameList>
      </b:Author>
    </b:Author>
    <b:Title>HYROAD Model Formulation, SYSAPP-02/074d</b:Title>
    <b:Year>2002</b:Year>
    <b:Publisher>National Cooperative Highway Research Program, for the Transportation Research Board, National Research Council</b:Publisher>
    <b:RefOrder>19</b:RefOrder>
  </b:Source>
  <b:Source>
    <b:Tag>Cit0b</b:Tag>
    <b:SourceType>Case</b:SourceType>
    <b:Guid>{397BD853-39D5-466B-BF13-832EF97FB25F}</b:Guid>
    <b:Title>Citizens for Sensible Transportation Planning vs. U.S. DOT, FHWA; and Ray LaHood</b:Title>
    <b:Year>2010</b:Year>
    <b:Month>April</b:Month>
    <b:Day>13th</b:Day>
    <b:CaseNumber>CV-10-00108-RMP</b:CaseNumber>
    <b:Court>United States District Court Eastern District of Washington</b:Court>
    <b:RefOrder>50</b:RefOrder>
  </b:Source>
  <b:Source>
    <b:Tag>USE1110</b:Tag>
    <b:SourceType>InternetSite</b:SourceType>
    <b:Guid>{37AB6B3E-0B38-4495-AD9D-27EA50ECE27A}</b:Guid>
    <b:Author>
      <b:Author>
        <b:Corporate>US EPA</b:Corporate>
      </b:Author>
    </b:Author>
    <b:Title>CALPUFF Modeling System</b:Title>
    <b:Year>2011f</b:Year>
    <b:YearAccessed>2011</b:YearAccessed>
    <b:MonthAccessed>May</b:MonthAccessed>
    <b:DayAccessed>12</b:DayAccessed>
    <b:URL>http://www.epa.gov/ttn/scram/dispersion_prefrec.htm#calpuff</b:URL>
    <b:ProductionCompany>US Environmental Protection Agency</b:ProductionCompany>
    <b:RefOrder>134</b:RefOrder>
  </b:Source>
  <b:Source>
    <b:Tag>USE113</b:Tag>
    <b:SourceType>InternetSite</b:SourceType>
    <b:Guid>{663B6F6E-C9A1-45D9-899F-0F825E2F8D2C}</b:Guid>
    <b:Author>
      <b:Author>
        <b:Corporate>US EPA</b:Corporate>
      </b:Author>
    </b:Author>
    <b:Title>EPA Pacific Southwest Region 9, EPA Comment Letters for FHWA NEPA Project Documents</b:Title>
    <b:Year>2011g</b:Year>
    <b:YearAccessed>2011</b:YearAccessed>
    <b:MonthAccessed>April</b:MonthAccessed>
    <b:DayAccessed>8</b:DayAccessed>
    <b:URL>http://www.epa.gov/region9/nepa/fed-hwy-adm.html</b:URL>
    <b:ProductionCompany>US Environmental Protection Agency Region 9</b:ProductionCompany>
    <b:RefOrder>29</b:RefOrder>
  </b:Source>
  <b:Source>
    <b:Tag>USE1111</b:Tag>
    <b:SourceType>InternetSite</b:SourceType>
    <b:Guid>{CABA8A96-C2FD-4981-B47A-220CCE9A5332}</b:Guid>
    <b:Author>
      <b:Author>
        <b:Corporate>US EPA</b:Corporate>
      </b:Author>
    </b:Author>
    <b:Title>EPA Risk Assessment, Basic Information</b:Title>
    <b:Year>2011h</b:Year>
    <b:YearAccessed>2011</b:YearAccessed>
    <b:MonthAccessed>May</b:MonthAccessed>
    <b:DayAccessed>13</b:DayAccessed>
    <b:URL>http://www.epa.gov/risk/basicinformation.htm#g</b:URL>
    <b:ProductionCompany>US Environmental Protection Agency</b:ProductionCompany>
    <b:RefOrder>21</b:RefOrder>
  </b:Source>
  <b:Source>
    <b:Tag>USE114</b:Tag>
    <b:SourceType>InternetSite</b:SourceType>
    <b:Guid>{7E7ACD58-6738-48B7-8078-2E2C00E20947}</b:Guid>
    <b:Author>
      <b:Author>
        <b:Corporate>US EPA</b:Corporate>
      </b:Author>
    </b:Author>
    <b:Title>Integrated Risk Information System (IRIS)</b:Title>
    <b:Year>2011i</b:Year>
    <b:YearAccessed>2011</b:YearAccessed>
    <b:MonthAccessed>May</b:MonthAccessed>
    <b:DayAccessed>4</b:DayAccessed>
    <b:URL>http://www.epa.gov/IRIS/</b:URL>
    <b:ProductionCompany>US Environmental Protection Agency</b:ProductionCompany>
    <b:RefOrder>38</b:RefOrder>
  </b:Source>
  <b:Source>
    <b:Tag>USE117</b:Tag>
    <b:SourceType>InternetSite</b:SourceType>
    <b:Guid>{52DDB44F-075A-4C87-83A4-F32F319C870C}</b:Guid>
    <b:Author>
      <b:Author>
        <b:Corporate>US EPA</b:Corporate>
      </b:Author>
    </b:Author>
    <b:Title>Mobile Source Air Toxics</b:Title>
    <b:Year>2011j</b:Year>
    <b:YearAccessed>2011</b:YearAccessed>
    <b:MonthAccessed>February</b:MonthAccessed>
    <b:DayAccessed>28</b:DayAccessed>
    <b:URL>http://www.epa.gov/otaq/toxics.htm</b:URL>
    <b:ProductionCompany>US Environmental Protection Agency Office of Transportation and Air Quality</b:ProductionCompany>
    <b:RefOrder>5</b:RefOrder>
  </b:Source>
  <b:Source>
    <b:Tag>USE11</b:Tag>
    <b:SourceType>InternetSite</b:SourceType>
    <b:Guid>{E961AAAE-84B7-4137-88A5-072A44665166}</b:Guid>
    <b:Author>
      <b:Author>
        <b:Corporate>US EPA</b:Corporate>
      </b:Author>
    </b:Author>
    <b:Title>MOBILE6 Vehicle Emission Modeling Software</b:Title>
    <b:Year>2011k</b:Year>
    <b:YearAccessed>2011</b:YearAccessed>
    <b:MonthAccessed>May</b:MonthAccessed>
    <b:DayAccessed>3</b:DayAccessed>
    <b:URL>http://www.epa.gov/otaq/m6.htm</b:URL>
    <b:ProductionCompany>US Environmental Protection Agency Office of Transportation and Air Quality</b:ProductionCompany>
    <b:RefOrder>17</b:RefOrder>
  </b:Source>
  <b:Source>
    <b:Tag>USE111</b:Tag>
    <b:SourceType>InternetSite</b:SourceType>
    <b:Guid>{3669BE87-EF7D-475B-9D3E-AB6F9E542CF2}</b:Guid>
    <b:Author>
      <b:Author>
        <b:Corporate>US EPA</b:Corporate>
      </b:Author>
    </b:Author>
    <b:Title>MOVES (Motor Vehicle Emission Simulator)</b:Title>
    <b:Year>2011l</b:Year>
    <b:YearAccessed>2011</b:YearAccessed>
    <b:MonthAccessed>May</b:MonthAccessed>
    <b:DayAccessed>8</b:DayAccessed>
    <b:URL>http://www.epa.gov/otaq/models/moves/index.htm</b:URL>
    <b:ProductionCompany>US Environmental Protection Agency Office of Transportation and Air Quality</b:ProductionCompany>
    <b:RefOrder>7</b:RefOrder>
  </b:Source>
  <b:Source>
    <b:Tag>USE112</b:Tag>
    <b:SourceType>InternetSite</b:SourceType>
    <b:Guid>{CCB95774-52C1-498E-A545-C5BD87813F33}</b:Guid>
    <b:Author>
      <b:Author>
        <b:Corporate>US EPA</b:Corporate>
      </b:Author>
    </b:Author>
    <b:Title>Search Environmental Impact Statements (EISs) Since January, 2004 (National Environmental Policy Act)</b:Title>
    <b:Year>2011m</b:Year>
    <b:YearAccessed>2011</b:YearAccessed>
    <b:MonthAccessed>April</b:MonthAccessed>
    <b:DayAccessed>29</b:DayAccessed>
    <b:URL>http://yosemite.epa.gov/oeca/webeis.nsf/AdvSearch?OpenForm</b:URL>
    <b:ProductionCompany>US Environmental Protection Agency</b:ProductionCompany>
    <b:RefOrder>27</b:RefOrder>
  </b:Source>
  <b:Source>
    <b:Tag>Bal08</b:Tag>
    <b:SourceType>JournalArticle</b:SourceType>
    <b:Guid>{72AC5628-53CF-4BA4-A4A3-D9695767DF78}</b:Guid>
    <b:Author>
      <b:Author>
        <b:NameList>
          <b:Person>
            <b:Last>Baldauf</b:Last>
            <b:First>R.</b:First>
          </b:Person>
          <b:Person>
            <b:Last>Thoma</b:Last>
            <b:First>E.</b:First>
          </b:Person>
          <b:Person>
            <b:Last>Khlystov</b:Last>
            <b:First>A.</b:First>
          </b:Person>
          <b:Person>
            <b:Last>Isakov</b:Last>
            <b:First>V.</b:First>
          </b:Person>
          <b:Person>
            <b:Last>Bowker</b:Last>
            <b:First>G.</b:First>
          </b:Person>
          <b:Person>
            <b:Last>Long</b:Last>
            <b:First>T.</b:First>
          </b:Person>
          <b:Person>
            <b:Last>Snow</b:Last>
            <b:First>R.</b:First>
          </b:Person>
        </b:NameList>
      </b:Author>
    </b:Author>
    <b:Title>Impacts of Noise Barriers on Near-Road Air Quality</b:Title>
    <b:JournalName>Atmospheric Environment</b:JournalName>
    <b:Year>2008</b:Year>
    <b:Pages>7502-7507</b:Pages>
    <b:Volume>42</b:Volume>
    <b:Issue>32</b:Issue>
    <b:RefOrder>90</b:RefOrder>
  </b:Source>
  <b:Source>
    <b:Tag>CAL111</b:Tag>
    <b:SourceType>InternetSite</b:SourceType>
    <b:Guid>{8C51D7D2-CB58-4053-9A9F-4D3340F2939C}</b:Guid>
    <b:Author>
      <b:Author>
        <b:Corporate>CALTRANS</b:Corporate>
      </b:Author>
    </b:Author>
    <b:Title>CALINE4 Software</b:Title>
    <b:Year>2011a</b:Year>
    <b:YearAccessed>2011</b:YearAccessed>
    <b:MonthAccessed>May</b:MonthAccessed>
    <b:DayAccessed>12</b:DayAccessed>
    <b:URL>http://www.dot.ca.gov/hq/env/air/pages/calinesw.htm</b:URL>
    <b:ProductionCompany>California Department of Transportation</b:ProductionCompany>
    <b:RefOrder>98</b:RefOrder>
  </b:Source>
  <b:Source>
    <b:Tag>CAR06</b:Tag>
    <b:SourceType>Report</b:SourceType>
    <b:Guid>{7E582D13-548A-4122-BF86-CA87AA0F3F92}</b:Guid>
    <b:Author>
      <b:Author>
        <b:Corporate>CARB</b:Corporate>
      </b:Author>
    </b:Author>
    <b:Title>Redistribution of Heavy-Duty Diesel Truck Vehicle Miles Traveled in California, EMFAC Modeling Change Technical Memo</b:Title>
    <b:Year>2006</b:Year>
    <b:Publisher>California Environmental Protection Agency California Air Resources Board</b:Publisher>
    <b:City>Sacramento, CA</b:City>
    <b:RefOrder>126</b:RefOrder>
  </b:Source>
  <b:Source>
    <b:Tag>CAR10</b:Tag>
    <b:SourceType>InternetSite</b:SourceType>
    <b:Guid>{E9AAB343-F184-4F4B-9F56-0A1609C490F1}</b:Guid>
    <b:Author>
      <b:Author>
        <b:Corporate>CARB</b:Corporate>
      </b:Author>
    </b:Author>
    <b:Title>Hotspots Analysis and Reporting Program</b:Title>
    <b:Year>2010</b:Year>
    <b:YearAccessed>2011</b:YearAccessed>
    <b:MonthAccessed>May</b:MonthAccessed>
    <b:DayAccessed>3</b:DayAccessed>
    <b:URL>http://www.arb.ca.gov/toxics/harp/harp.htm</b:URL>
    <b:ProductionCompany>California Environmental Protection Agency California Air Resources Board</b:ProductionCompany>
    <b:RefOrder>34</b:RefOrder>
  </b:Source>
  <b:Source>
    <b:Tag>Com08</b:Tag>
    <b:SourceType>InternetSite</b:SourceType>
    <b:Guid>{BE611859-4A99-45CB-9EF7-AAB166E7356E}</b:Guid>
    <b:Author>
      <b:Author>
        <b:NameList>
          <b:Person>
            <b:Last>CEDA</b:Last>
          </b:Person>
        </b:NameList>
      </b:Author>
    </b:Author>
    <b:InternetSiteTitle>http://www.fourthbore.org</b:InternetSiteTitle>
    <b:Year>2008</b:Year>
    <b:Month>June</b:Month>
    <b:Day>5</b:Day>
    <b:YearAccessed>2011</b:YearAccessed>
    <b:MonthAccessed>May</b:MonthAccessed>
    <b:DayAccessed>5</b:DayAccessed>
    <b:URL>http://www.fourthbore.org/wp-content/uploads/2008/12/19537.pdf</b:URL>
    <b:Title>CEDA: Settlement with Caltrans regarding Caldecott Tunnel</b:Title>
    <b:ProductionCompany>City of Oakland, CA -- Community &amp; Economicl Development Agency</b:ProductionCompany>
    <b:RefOrder>49</b:RefOrder>
  </b:Source>
  <b:Source>
    <b:Tag>Han01</b:Tag>
    <b:SourceType>JournalArticle</b:SourceType>
    <b:Guid>{6B6B1D78-F6D4-4A7C-8FDE-E740E35DE238}</b:Guid>
    <b:Author>
      <b:Author>
        <b:NameList>
          <b:Person>
            <b:Last>Hanna</b:Last>
            <b:First>Steven</b:First>
            <b:Middle>R.</b:Middle>
          </b:Person>
          <b:Person>
            <b:Last>Egan</b:Last>
            <b:First>Bruce</b:First>
            <b:Middle>A.</b:Middle>
          </b:Person>
          <b:Person>
            <b:Last>Purdum</b:Last>
            <b:First>John</b:First>
          </b:Person>
          <b:Person>
            <b:Last>Wagler</b:Last>
            <b:First>Jen</b:First>
          </b:Person>
        </b:NameList>
      </b:Author>
    </b:Author>
    <b:Title>Evaluation of the ADMS, AERMOD, and ISC3 Dispersion Models with the OPTEX, Duke Forest, Kincaid, Indianapolis and Lovett Field Datasets</b:Title>
    <b:JournalName>International Journal of Environment and Pollution</b:JournalName>
    <b:Year>2001</b:Year>
    <b:Pages>301-314</b:Pages>
    <b:Volume>16</b:Volume>
    <b:Issue>1</b:Issue>
    <b:RefOrder>96</b:RefOrder>
  </b:Source>
  <b:Source>
    <b:Tag>Hel03</b:Tag>
    <b:SourceType>JournalArticle</b:SourceType>
    <b:Guid>{38D1D0CF-3128-465E-BFC0-1041A4B35EC7}</b:Guid>
    <b:Author>
      <b:Author>
        <b:NameList>
          <b:Person>
            <b:Last>Held</b:Last>
            <b:First>Tony</b:First>
          </b:Person>
          <b:Person>
            <b:Last>Chang</b:Last>
            <b:First>Daniel</b:First>
            <b:Middle>P.Y.</b:Middle>
          </b:Person>
          <b:Person>
            <b:Last>Niemeier</b:Last>
            <b:First>Debbie</b:First>
            <b:Middle>A.</b:Middle>
          </b:Person>
        </b:NameList>
      </b:Author>
    </b:Author>
    <b:Title>UCD 2001: An Improved Model to Simulate Pollutant Dispersion from Roadways</b:Title>
    <b:JournalName>Atmospheric Environment</b:JournalName>
    <b:Year>2003</b:Year>
    <b:Pages>5325-5336</b:Pages>
    <b:Volume>37</b:Volume>
    <b:Issue>38</b:Issue>
    <b:RefOrder>99</b:RefOrder>
  </b:Source>
  <b:Source>
    <b:Tag>Hur06</b:Tag>
    <b:SourceType>JournalArticle</b:SourceType>
    <b:Guid>{10343D56-F092-426B-94AC-AC8185301C77}</b:Guid>
    <b:Author>
      <b:Author>
        <b:NameList>
          <b:Person>
            <b:Last>Hurley</b:Last>
            <b:First>P.</b:First>
          </b:Person>
        </b:NameList>
      </b:Author>
    </b:Author>
    <b:Title>An Evaluation and Inter-comparison of AUSPLUME, AERMOD and TAPM for Seven Field Datasets of Point Source Dispersion</b:Title>
    <b:JournalName>Clean Air and Environmental Quality</b:JournalName>
    <b:Year>2006</b:Year>
    <b:Pages>45</b:Pages>
    <b:Volume>40</b:Volume>
    <b:Issue>1</b:Issue>
    <b:RefOrder>95</b:RefOrder>
  </b:Source>
  <b:Source>
    <b:Tag>FHW10</b:Tag>
    <b:SourceType>JournalArticle</b:SourceType>
    <b:Guid>{9D41558E-388D-48A2-A295-54C78BDB17F5}</b:Guid>
    <b:Author>
      <b:Author>
        <b:NameList>
          <b:Person>
            <b:Last>Claggett</b:Last>
            <b:First>Michael</b:First>
          </b:Person>
          <b:Person>
            <b:Last>Miller</b:Last>
            <b:First>Terry</b:First>
            <b:Middle>L.</b:Middle>
          </b:Person>
        </b:NameList>
      </b:Author>
    </b:Author>
    <b:Title>Methodology for Evaluating Mobile Source Air Toxic Emissions: Transportation Project Alternatives</b:Title>
    <b:Year>2006</b:Year>
    <b:JournalName>Transportation Research Record</b:JournalName>
    <b:Pages>32-41</b:Pages>
    <b:Volume>1987</b:Volume>
    <b:RefOrder>16</b:RefOrder>
  </b:Source>
  <b:Source>
    <b:Tag>MDE98</b:Tag>
    <b:SourceType>Report</b:SourceType>
    <b:Guid>{2B1CE0F2-D425-4418-AE04-C6C2277A7715}</b:Guid>
    <b:Author>
      <b:Author>
        <b:Corporate>MDEQ</b:Corporate>
      </b:Author>
    </b:Author>
    <b:Title>Michigan Air Pollution Control Rules - R336.1225 - Health-based Screening Level Requirement for New or Modified Sources of Air Toxics</b:Title>
    <b:Year>1998</b:Year>
    <b:Publisher>Michigan Department of Environmental Quality</b:Publisher>
    <b:City>Lansing, MI</b:City>
    <b:RefOrder>31</b:RefOrder>
  </b:Source>
  <b:Source>
    <b:Tag>NRC831</b:Tag>
    <b:SourceType>Report</b:SourceType>
    <b:Guid>{DA74829C-4673-4A03-BD9F-864EE298AC60}</b:Guid>
    <b:Author>
      <b:Author>
        <b:Corporate>NRC</b:Corporate>
      </b:Author>
    </b:Author>
    <b:Title>Risk Assessment in the Federal Government: Managing the Process</b:Title>
    <b:Year>1983</b:Year>
    <b:Publisher>National Research Council Committee on the Institutional Means for Assessment of Risks to Public Health</b:Publisher>
    <b:City>Washington, DC</b:City>
    <b:RefOrder>65</b:RefOrder>
  </b:Source>
  <b:Source>
    <b:Tag>OEH03</b:Tag>
    <b:SourceType>Report</b:SourceType>
    <b:Guid>{EF1C2AB7-E902-42AB-B126-DCE6DC317F26}</b:Guid>
    <b:Author>
      <b:Author>
        <b:Corporate>OEHHA</b:Corporate>
      </b:Author>
    </b:Author>
    <b:Title>The Air Toxics Hot Spots Program Guidance Manual for Preparation of Health Risk Assessments</b:Title>
    <b:Year>2003</b:Year>
    <b:Publisher>California Environmental Protection Agency Office of Environmental Health Hazard Assessment</b:Publisher>
    <b:City>Oakland, CA</b:City>
    <b:RefOrder>110</b:RefOrder>
  </b:Source>
  <b:Source>
    <b:Tag>OEH11</b:Tag>
    <b:SourceType>InternetSite</b:SourceType>
    <b:Guid>{4A6EC326-B804-427C-9E7D-D1185997B15F}</b:Guid>
    <b:Author>
      <b:Author>
        <b:Corporate>OEHHA</b:Corporate>
      </b:Author>
    </b:Author>
    <b:Title>OEHHA</b:Title>
    <b:Year>2011b</b:Year>
    <b:YearAccessed>2011</b:YearAccessed>
    <b:MonthAccessed>May</b:MonthAccessed>
    <b:DayAccessed>4</b:DayAccessed>
    <b:URL>http://oehha.ca.gov/</b:URL>
    <b:ProductionCompany>California Environmental Protection Agency Office of Environmental Health Hazard Assessment</b:ProductionCompany>
    <b:RefOrder>43</b:RefOrder>
  </b:Source>
  <b:Source>
    <b:Tag>Per05</b:Tag>
    <b:SourceType>JournalArticle</b:SourceType>
    <b:Guid>{F416018E-AC6E-4BE4-BDBB-828715CAC745}</b:Guid>
    <b:Author>
      <b:Author>
        <b:NameList>
          <b:Person>
            <b:Last>Perry</b:Last>
            <b:First>Steven</b:First>
            <b:Middle>G.</b:Middle>
          </b:Person>
          <b:Person>
            <b:Last>Cimorelli</b:Last>
            <b:First>Alan</b:First>
            <b:Middle>J.</b:Middle>
          </b:Person>
          <b:Person>
            <b:Last>Paine</b:Last>
            <b:First>Robert</b:First>
            <b:Middle>J.</b:Middle>
          </b:Person>
          <b:Person>
            <b:Last>Brode</b:Last>
            <b:First>Roger</b:First>
            <b:Middle>W.</b:Middle>
          </b:Person>
          <b:Person>
            <b:Last>Weil</b:Last>
            <b:First>Jeffrey</b:First>
            <b:Middle>C.</b:Middle>
          </b:Person>
          <b:Person>
            <b:Last>Venkatram</b:Last>
            <b:First>Akula</b:First>
          </b:Person>
          <b:Person>
            <b:Last>Wilson</b:Last>
            <b:First>Robert</b:First>
            <b:Middle>B.</b:Middle>
          </b:Person>
          <b:Person>
            <b:Last>Lee</b:Last>
            <b:First>Russell</b:First>
            <b:Middle>F.</b:Middle>
          </b:Person>
          <b:Person>
            <b:Last>Peters</b:Last>
            <b:First>Warren</b:First>
            <b:Middle>D.</b:Middle>
          </b:Person>
        </b:NameList>
      </b:Author>
    </b:Author>
    <b:Title>AERMOD: A Dispersion Model for Industrial Source Applications. Part II: Model Performance Against 17 Field Study Databases</b:Title>
    <b:JournalName>Journal of Applied Meteorology</b:JournalName>
    <b:Year>2005</b:Year>
    <b:Pages>694-708</b:Pages>
    <b:Volume>44</b:Volume>
    <b:Issue>5</b:Issue>
    <b:RefOrder>94</b:RefOrder>
  </b:Source>
  <b:Source>
    <b:Tag>USE119</b:Tag>
    <b:SourceType>InternetSite</b:SourceType>
    <b:Guid>{06C77FD5-0A24-495D-9CEA-DEC3D7387B85}</b:Guid>
    <b:Author>
      <b:Author>
        <b:Corporate>US EPA</b:Corporate>
      </b:Author>
    </b:Author>
    <b:Title>CALINE3</b:Title>
    <b:Year>2011e</b:Year>
    <b:YearAccessed>2011</b:YearAccessed>
    <b:MonthAccessed>May</b:MonthAccessed>
    <b:DayAccessed>12</b:DayAccessed>
    <b:URL>http://www.epa.gov/ttn/scram/dispersion_prefrec.htm#caline3</b:URL>
    <b:ProductionCompany>US Environmental Protection Agency</b:ProductionCompany>
    <b:RefOrder>100</b:RefOrder>
  </b:Source>
</b:Sources>
</file>

<file path=customXml/itemProps1.xml><?xml version="1.0" encoding="utf-8"?>
<ds:datastoreItem xmlns:ds="http://schemas.openxmlformats.org/officeDocument/2006/customXml" ds:itemID="{5802A0D1-CD42-4921-897D-7100AFFE9A33}">
  <ds:schemaRefs>
    <ds:schemaRef ds:uri="http://schemas.microsoft.com/sharepoint/v3/contenttype/forms"/>
  </ds:schemaRefs>
</ds:datastoreItem>
</file>

<file path=customXml/itemProps2.xml><?xml version="1.0" encoding="utf-8"?>
<ds:datastoreItem xmlns:ds="http://schemas.openxmlformats.org/officeDocument/2006/customXml" ds:itemID="{30BE5225-5C0C-435B-B2CC-F40F3255CC52}">
  <ds:schemaRefs>
    <ds:schemaRef ds:uri="http://schemas.microsoft.com/office/2006/metadata/properties"/>
  </ds:schemaRefs>
</ds:datastoreItem>
</file>

<file path=customXml/itemProps3.xml><?xml version="1.0" encoding="utf-8"?>
<ds:datastoreItem xmlns:ds="http://schemas.openxmlformats.org/officeDocument/2006/customXml" ds:itemID="{C0E647A2-68A3-41A1-8C11-77E4FEB435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DB2B940F-212F-446B-BEF5-8ECBCA0C6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ESS_report_template_021813</Template>
  <TotalTime>0</TotalTime>
  <Pages>81</Pages>
  <Words>20714</Words>
  <Characters>118075</Characters>
  <Application>Microsoft Office Word</Application>
  <DocSecurity>0</DocSecurity>
  <Lines>983</Lines>
  <Paragraphs>277</Paragraphs>
  <ScaleCrop>false</ScaleCrop>
  <HeadingPairs>
    <vt:vector size="2" baseType="variant">
      <vt:variant>
        <vt:lpstr>Title</vt:lpstr>
      </vt:variant>
      <vt:variant>
        <vt:i4>1</vt:i4>
      </vt:variant>
    </vt:vector>
  </HeadingPairs>
  <TitlesOfParts>
    <vt:vector size="1" baseType="lpstr">
      <vt:lpstr/>
    </vt:vector>
  </TitlesOfParts>
  <Company>ICF International</Company>
  <LinksUpToDate>false</LinksUpToDate>
  <CharactersWithSpaces>138512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dc:creator>
  <cp:lastModifiedBy>Lou Browning</cp:lastModifiedBy>
  <cp:revision>2</cp:revision>
  <cp:lastPrinted>2016-10-24T15:25:00Z</cp:lastPrinted>
  <dcterms:created xsi:type="dcterms:W3CDTF">2017-05-20T00:51:00Z</dcterms:created>
  <dcterms:modified xsi:type="dcterms:W3CDTF">2017-05-20T00:51:00Z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0x010100980C9629E82B4F43A2BBE6F8FD29931C</vt:lpwstr>
  </property>
</Properties>
</file>