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C" w:rsidRPr="000E7B1C" w:rsidRDefault="000E7B1C" w:rsidP="000E7B1C">
      <w:pPr>
        <w:pStyle w:val="Heading1"/>
      </w:pPr>
      <w:r w:rsidRPr="00F1715E">
        <w:t>3.3 Communication Channels by Sector</w:t>
      </w:r>
    </w:p>
    <w:p w:rsidR="00F1715E" w:rsidRPr="000E7B1C" w:rsidRDefault="00A632D3" w:rsidP="000E7B1C">
      <w:pPr>
        <w:pStyle w:val="Bodytext"/>
      </w:pPr>
      <w:r w:rsidRPr="000E7B1C">
        <w:rPr>
          <w:b/>
        </w:rPr>
        <w:t xml:space="preserve">Purpose: </w:t>
      </w:r>
      <w:r w:rsidRPr="000E7B1C">
        <w:t xml:space="preserve">The Communication Channels by Sector tip sheet lists various methods for distributing messages through network partners. </w:t>
      </w:r>
    </w:p>
    <w:p w:rsidR="00F1715E" w:rsidRPr="000E7B1C" w:rsidRDefault="00A632D3" w:rsidP="000E7B1C">
      <w:pPr>
        <w:pStyle w:val="Bodytext"/>
      </w:pPr>
      <w:r w:rsidRPr="000E7B1C">
        <w:rPr>
          <w:b/>
        </w:rPr>
        <w:t xml:space="preserve">Directions: </w:t>
      </w:r>
      <w:r w:rsidRPr="000E7B1C">
        <w:t>Identify the channels available in the community. Learn how to work with those selected.</w:t>
      </w:r>
    </w:p>
    <w:p w:rsidR="00A632D3" w:rsidRPr="001F0B2E" w:rsidRDefault="00A632D3" w:rsidP="00B90475">
      <w:pPr>
        <w:pStyle w:val="ToolkitHead"/>
        <w:spacing w:after="0" w:line="240" w:lineRule="auto"/>
        <w:rPr>
          <w:rFonts w:ascii="Arial" w:hAnsi="Arial" w:cs="FrutigerLTStd-Roman"/>
          <w:color w:val="auto"/>
          <w:spacing w:val="-2"/>
          <w:sz w:val="22"/>
          <w:szCs w:val="22"/>
        </w:rPr>
      </w:pPr>
    </w:p>
    <w:p w:rsidR="00F1715E" w:rsidRDefault="00F1715E" w:rsidP="00B90475">
      <w:pPr>
        <w:pStyle w:val="NoParagraphStyle"/>
        <w:suppressAutoHyphens/>
        <w:spacing w:line="240" w:lineRule="auto"/>
        <w:rPr>
          <w:rFonts w:ascii="Arial" w:hAnsi="Arial" w:cs="FrutigerLTStd-Black"/>
          <w:b/>
          <w:color w:val="auto"/>
          <w:spacing w:val="-6"/>
          <w:sz w:val="28"/>
        </w:rPr>
        <w:sectPr w:rsidR="00F1715E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632D3" w:rsidRPr="000E7B1C" w:rsidRDefault="00A632D3" w:rsidP="000E7B1C">
      <w:pPr>
        <w:pStyle w:val="Heading2"/>
        <w:keepNext w:val="0"/>
        <w:keepLines w:val="0"/>
        <w:widowControl w:val="0"/>
        <w:autoSpaceDE w:val="0"/>
        <w:autoSpaceDN w:val="0"/>
        <w:adjustRightInd w:val="0"/>
        <w:spacing w:before="0"/>
        <w:rPr>
          <w:rFonts w:ascii="Arial" w:eastAsiaTheme="minorEastAsia" w:hAnsi="Arial" w:cs="FrutigerLTStd-Black"/>
          <w:bCs w:val="0"/>
          <w:color w:val="auto"/>
          <w:sz w:val="28"/>
          <w:szCs w:val="28"/>
        </w:rPr>
      </w:pPr>
      <w:r w:rsidRPr="000E7B1C">
        <w:rPr>
          <w:rFonts w:ascii="Arial" w:eastAsiaTheme="minorEastAsia" w:hAnsi="Arial" w:cs="FrutigerLTStd-Black"/>
          <w:bCs w:val="0"/>
          <w:color w:val="auto"/>
          <w:sz w:val="28"/>
          <w:szCs w:val="28"/>
        </w:rPr>
        <w:lastRenderedPageBreak/>
        <w:t>Emergency Management Communication Channels</w:t>
      </w:r>
    </w:p>
    <w:p w:rsidR="00A632D3" w:rsidRPr="001F0B2E" w:rsidRDefault="00A632D3" w:rsidP="006864C8">
      <w:pPr>
        <w:pStyle w:val="BulletedList"/>
        <w:ind w:left="180" w:hanging="198"/>
      </w:pPr>
      <w:r w:rsidRPr="001F0B2E">
        <w:t>Weather alerts (identify source)</w:t>
      </w:r>
    </w:p>
    <w:p w:rsidR="00A632D3" w:rsidRPr="001F0B2E" w:rsidRDefault="00A632D3" w:rsidP="006864C8">
      <w:pPr>
        <w:pStyle w:val="BulletedList"/>
        <w:ind w:left="180" w:hanging="198"/>
      </w:pPr>
      <w:r w:rsidRPr="001F0B2E">
        <w:t>Emergency Alert System</w:t>
      </w:r>
    </w:p>
    <w:p w:rsidR="00A632D3" w:rsidRPr="001F0B2E" w:rsidRDefault="00A632D3" w:rsidP="006864C8">
      <w:pPr>
        <w:pStyle w:val="BulletedList"/>
        <w:ind w:left="180" w:hanging="198"/>
      </w:pPr>
      <w:r w:rsidRPr="001F0B2E">
        <w:t>Public education on emergency preparedness distributed at community events, schools, on websites, etc.</w:t>
      </w:r>
    </w:p>
    <w:p w:rsidR="00A632D3" w:rsidRPr="001F0B2E" w:rsidRDefault="00A632D3" w:rsidP="006864C8">
      <w:pPr>
        <w:pStyle w:val="BulletedList"/>
        <w:ind w:left="180" w:hanging="198"/>
      </w:pPr>
      <w:r w:rsidRPr="001F0B2E">
        <w:t>Hotlines</w:t>
      </w:r>
    </w:p>
    <w:p w:rsidR="00A632D3" w:rsidRPr="001F0B2E" w:rsidRDefault="00A632D3" w:rsidP="006864C8">
      <w:pPr>
        <w:pStyle w:val="BulletedList"/>
        <w:ind w:left="180" w:hanging="198"/>
      </w:pPr>
      <w:r w:rsidRPr="001F0B2E">
        <w:t>Traditional television, radio, and newspapers</w:t>
      </w:r>
    </w:p>
    <w:p w:rsidR="00A632D3" w:rsidRPr="001F0B2E" w:rsidRDefault="00A632D3" w:rsidP="006864C8">
      <w:pPr>
        <w:pStyle w:val="BulletedList"/>
        <w:ind w:left="180" w:hanging="198"/>
      </w:pPr>
      <w:r w:rsidRPr="001F0B2E">
        <w:t>Websites</w:t>
      </w:r>
    </w:p>
    <w:p w:rsidR="000E7B1C" w:rsidRDefault="000E7B1C" w:rsidP="000E7B1C">
      <w:pPr>
        <w:pStyle w:val="NoParagraphStyle"/>
        <w:tabs>
          <w:tab w:val="left" w:pos="7920"/>
        </w:tabs>
        <w:suppressAutoHyphens/>
        <w:spacing w:line="240" w:lineRule="auto"/>
        <w:rPr>
          <w:rFonts w:ascii="Arial" w:hAnsi="Arial" w:cs="FrutigerLTStd-Black"/>
          <w:b/>
          <w:color w:val="auto"/>
          <w:sz w:val="28"/>
          <w:szCs w:val="28"/>
        </w:rPr>
      </w:pPr>
    </w:p>
    <w:p w:rsidR="00A632D3" w:rsidRPr="000E7B1C" w:rsidRDefault="00A632D3" w:rsidP="000E7B1C">
      <w:pPr>
        <w:pStyle w:val="NoParagraphStyle"/>
        <w:tabs>
          <w:tab w:val="left" w:pos="7920"/>
        </w:tabs>
        <w:suppressAutoHyphens/>
        <w:spacing w:line="240" w:lineRule="auto"/>
        <w:rPr>
          <w:rFonts w:ascii="Arial" w:hAnsi="Arial" w:cs="FrutigerLTStd-Black"/>
          <w:b/>
          <w:color w:val="auto"/>
          <w:sz w:val="28"/>
          <w:szCs w:val="28"/>
        </w:rPr>
      </w:pPr>
      <w:r w:rsidRPr="000E7B1C">
        <w:rPr>
          <w:rFonts w:ascii="Arial" w:hAnsi="Arial" w:cs="FrutigerLTStd-Black"/>
          <w:b/>
          <w:color w:val="auto"/>
          <w:sz w:val="28"/>
          <w:szCs w:val="28"/>
        </w:rPr>
        <w:t xml:space="preserve">Transportation Sector </w:t>
      </w:r>
      <w:r w:rsidR="00F1715E" w:rsidRPr="000E7B1C">
        <w:rPr>
          <w:rFonts w:ascii="Arial" w:hAnsi="Arial" w:cs="FrutigerLTStd-Black"/>
          <w:b/>
          <w:color w:val="auto"/>
          <w:sz w:val="28"/>
          <w:szCs w:val="28"/>
        </w:rPr>
        <w:t>C</w:t>
      </w:r>
      <w:r w:rsidRPr="000E7B1C">
        <w:rPr>
          <w:rFonts w:ascii="Arial" w:hAnsi="Arial" w:cs="FrutigerLTStd-Black"/>
          <w:b/>
          <w:color w:val="auto"/>
          <w:sz w:val="28"/>
          <w:szCs w:val="28"/>
        </w:rPr>
        <w:t>ommunication Channels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Dynamic message sign boards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Fliers, posters on buses, trains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E-mail or text messages to patrons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Website alerts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Driver or station alerts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Paratransit mobility committee meetings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Public meetings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Social media (Twitter, Facebook)</w:t>
      </w:r>
    </w:p>
    <w:p w:rsidR="00A632D3" w:rsidRDefault="00A632D3" w:rsidP="00B90475">
      <w:pPr>
        <w:pStyle w:val="NoParagraphStyle"/>
        <w:tabs>
          <w:tab w:val="left" w:pos="7920"/>
        </w:tabs>
        <w:suppressAutoHyphens/>
        <w:spacing w:line="240" w:lineRule="auto"/>
        <w:ind w:left="360" w:hanging="360"/>
        <w:rPr>
          <w:rFonts w:ascii="Arial" w:hAnsi="Arial" w:cs="FrutigerLTStd-Roman"/>
          <w:color w:val="auto"/>
          <w:spacing w:val="-5"/>
          <w:sz w:val="22"/>
          <w:szCs w:val="22"/>
        </w:rPr>
      </w:pPr>
    </w:p>
    <w:p w:rsidR="00A632D3" w:rsidRPr="000E7B1C" w:rsidRDefault="00A632D3" w:rsidP="00B90475">
      <w:pPr>
        <w:pStyle w:val="NoParagraphStyle"/>
        <w:tabs>
          <w:tab w:val="left" w:pos="7920"/>
        </w:tabs>
        <w:suppressAutoHyphens/>
        <w:spacing w:line="240" w:lineRule="auto"/>
        <w:rPr>
          <w:rFonts w:ascii="Arial" w:hAnsi="Arial" w:cs="FrutigerLTStd-Black"/>
          <w:b/>
          <w:color w:val="auto"/>
          <w:sz w:val="28"/>
          <w:szCs w:val="28"/>
        </w:rPr>
      </w:pPr>
      <w:r w:rsidRPr="000E7B1C">
        <w:rPr>
          <w:rFonts w:ascii="Arial" w:hAnsi="Arial" w:cs="FrutigerLTStd-Black"/>
          <w:b/>
          <w:color w:val="auto"/>
          <w:sz w:val="28"/>
          <w:szCs w:val="28"/>
        </w:rPr>
        <w:lastRenderedPageBreak/>
        <w:t>Public Health Sector Communication</w:t>
      </w:r>
      <w:r w:rsidRPr="00F1715E">
        <w:rPr>
          <w:rFonts w:ascii="Arial" w:hAnsi="Arial" w:cs="FrutigerLTStd-Black"/>
          <w:b/>
          <w:color w:val="auto"/>
          <w:spacing w:val="-6"/>
          <w:sz w:val="28"/>
        </w:rPr>
        <w:t xml:space="preserve"> </w:t>
      </w:r>
      <w:r w:rsidRPr="000E7B1C">
        <w:rPr>
          <w:rFonts w:ascii="Arial" w:hAnsi="Arial" w:cs="FrutigerLTStd-Black"/>
          <w:b/>
          <w:color w:val="auto"/>
          <w:sz w:val="28"/>
          <w:szCs w:val="28"/>
        </w:rPr>
        <w:t>Channels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Caregivers and/or guardians</w:t>
      </w:r>
    </w:p>
    <w:p w:rsidR="00932ECB" w:rsidRPr="006864C8" w:rsidRDefault="00A632D3" w:rsidP="006864C8">
      <w:pPr>
        <w:pStyle w:val="BulletedList"/>
        <w:ind w:left="180" w:hanging="198"/>
      </w:pPr>
      <w:r w:rsidRPr="006864C8">
        <w:t>Day care facilities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Home health care providers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Hospice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Human service providers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Local pharmacies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 xml:space="preserve">Medical clinics, hospitals, emergency rooms, doctors’ offices 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Nursing homes, assisted living facilities, and retirement communities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 xml:space="preserve">Restaurants and other food service providers 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Schools</w:t>
      </w:r>
    </w:p>
    <w:p w:rsidR="00A632D3" w:rsidRPr="001F0B2E" w:rsidRDefault="00A632D3" w:rsidP="00B90475">
      <w:pPr>
        <w:pStyle w:val="NoParagraphStyle"/>
        <w:tabs>
          <w:tab w:val="left" w:pos="7920"/>
        </w:tabs>
        <w:suppressAutoHyphens/>
        <w:spacing w:line="240" w:lineRule="auto"/>
        <w:ind w:left="360" w:hanging="360"/>
        <w:rPr>
          <w:rFonts w:ascii="Arial" w:hAnsi="Arial" w:cs="FrutigerLTStd-Roman"/>
          <w:color w:val="auto"/>
          <w:spacing w:val="-5"/>
          <w:sz w:val="22"/>
          <w:szCs w:val="22"/>
        </w:rPr>
      </w:pPr>
    </w:p>
    <w:p w:rsidR="00A632D3" w:rsidRPr="000E7B1C" w:rsidRDefault="000E7B1C" w:rsidP="00B90475">
      <w:pPr>
        <w:pStyle w:val="NoParagraphStyle"/>
        <w:tabs>
          <w:tab w:val="left" w:pos="7920"/>
        </w:tabs>
        <w:suppressAutoHyphens/>
        <w:spacing w:line="240" w:lineRule="auto"/>
        <w:rPr>
          <w:rFonts w:ascii="Arial" w:hAnsi="Arial" w:cs="FrutigerLTStd-Black"/>
          <w:b/>
          <w:color w:val="auto"/>
          <w:sz w:val="28"/>
          <w:szCs w:val="28"/>
        </w:rPr>
      </w:pPr>
      <w:r>
        <w:rPr>
          <w:rFonts w:ascii="Arial" w:hAnsi="Arial" w:cs="FrutigerLTStd-Black"/>
          <w:b/>
          <w:color w:val="auto"/>
          <w:sz w:val="28"/>
          <w:szCs w:val="28"/>
        </w:rPr>
        <w:br w:type="column"/>
      </w:r>
      <w:r w:rsidR="00A632D3" w:rsidRPr="000E7B1C">
        <w:rPr>
          <w:rFonts w:ascii="Arial" w:hAnsi="Arial" w:cs="FrutigerLTStd-Black"/>
          <w:b/>
          <w:color w:val="auto"/>
          <w:sz w:val="28"/>
          <w:szCs w:val="28"/>
        </w:rPr>
        <w:lastRenderedPageBreak/>
        <w:t>Nongovernmental Organizations Communication Channels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Calling trees or telephone calling lists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Clothing closets, Goodwill stores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Community centers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Day centers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Door-to-door outreach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English as a second language (ESL) classes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Ethnic, racial, or cultural advocacy/support groups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Faith-based organizations’ disaster relief programs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Food pantries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General Education Development (GED) classes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Health clinics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Job training/workforce development programs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Migrant worker networks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Senior centers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Shelters</w:t>
      </w:r>
    </w:p>
    <w:p w:rsidR="00932ECB" w:rsidRPr="006864C8" w:rsidRDefault="00A632D3" w:rsidP="006864C8">
      <w:pPr>
        <w:pStyle w:val="BulletedList"/>
        <w:ind w:left="180" w:hanging="198"/>
      </w:pPr>
      <w:r w:rsidRPr="006864C8">
        <w:t>Trusted neighborhood leaders</w:t>
      </w:r>
    </w:p>
    <w:p w:rsidR="00A632D3" w:rsidRPr="001F0B2E" w:rsidRDefault="00A632D3" w:rsidP="00932ECB">
      <w:pPr>
        <w:pStyle w:val="NoParagraphStyle"/>
        <w:tabs>
          <w:tab w:val="left" w:pos="7920"/>
        </w:tabs>
        <w:suppressAutoHyphens/>
        <w:spacing w:line="240" w:lineRule="auto"/>
        <w:rPr>
          <w:rFonts w:ascii="Arial" w:hAnsi="Arial" w:cs="FrutigerLTStd-Roman"/>
          <w:color w:val="auto"/>
          <w:spacing w:val="-5"/>
          <w:sz w:val="22"/>
          <w:szCs w:val="22"/>
        </w:rPr>
      </w:pPr>
    </w:p>
    <w:p w:rsidR="00A632D3" w:rsidRPr="000E7B1C" w:rsidRDefault="000E7B1C" w:rsidP="00B90475">
      <w:pPr>
        <w:pStyle w:val="NoParagraphStyle"/>
        <w:tabs>
          <w:tab w:val="left" w:pos="7920"/>
        </w:tabs>
        <w:suppressAutoHyphens/>
        <w:spacing w:line="240" w:lineRule="auto"/>
        <w:rPr>
          <w:rFonts w:ascii="Arial" w:hAnsi="Arial" w:cs="FrutigerLTStd-Black"/>
          <w:b/>
          <w:color w:val="auto"/>
          <w:sz w:val="28"/>
          <w:szCs w:val="28"/>
        </w:rPr>
      </w:pPr>
      <w:r>
        <w:rPr>
          <w:rFonts w:ascii="Arial" w:hAnsi="Arial" w:cs="FrutigerLTStd-Black"/>
          <w:b/>
          <w:color w:val="auto"/>
          <w:sz w:val="28"/>
          <w:szCs w:val="28"/>
        </w:rPr>
        <w:br w:type="column"/>
      </w:r>
      <w:r w:rsidR="00A632D3" w:rsidRPr="000E7B1C">
        <w:rPr>
          <w:rFonts w:ascii="Arial" w:hAnsi="Arial" w:cs="FrutigerLTStd-Black"/>
          <w:b/>
          <w:color w:val="auto"/>
          <w:sz w:val="28"/>
          <w:szCs w:val="28"/>
        </w:rPr>
        <w:lastRenderedPageBreak/>
        <w:t>Other Government Agency Communication Channels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Area Agency on Aging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Developmental disability services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ESL classes at schools and colleges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Mental health centers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Human service providers (family services, energy and housing programs, legal aid, home delivered meals)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Independent Living Centers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Libraries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Mail carriers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Public safety (first responders, such as fire, law enforcement, emergency medical services)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 xml:space="preserve">Public </w:t>
      </w:r>
      <w:r w:rsidR="00E97C48" w:rsidRPr="006864C8">
        <w:t>works</w:t>
      </w:r>
      <w:r w:rsidRPr="006864C8">
        <w:t xml:space="preserve"> (public meetings, road crews in rural areas, signage)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Schools, colleges, and universities</w:t>
      </w:r>
    </w:p>
    <w:p w:rsidR="00A632D3" w:rsidRPr="006864C8" w:rsidRDefault="00A632D3" w:rsidP="006864C8">
      <w:pPr>
        <w:pStyle w:val="BulletedList"/>
        <w:ind w:left="180" w:hanging="198"/>
      </w:pPr>
      <w:r w:rsidRPr="006864C8">
        <w:t>Social media (Twitter, Facebook)</w:t>
      </w:r>
    </w:p>
    <w:p w:rsidR="00F1715E" w:rsidRPr="00932ECB" w:rsidRDefault="00A632D3" w:rsidP="006864C8">
      <w:pPr>
        <w:pStyle w:val="BulletedList"/>
        <w:ind w:left="180" w:hanging="198"/>
      </w:pPr>
      <w:r w:rsidRPr="006864C8">
        <w:t>Utilities (bill insert</w:t>
      </w:r>
      <w:r w:rsidR="00932ECB" w:rsidRPr="006864C8">
        <w:t>s, automated messages, websites</w:t>
      </w:r>
    </w:p>
    <w:sectPr w:rsidR="00F1715E" w:rsidRPr="00932ECB" w:rsidSect="00932ECB">
      <w:type w:val="continuous"/>
      <w:pgSz w:w="12240" w:h="15840"/>
      <w:pgMar w:top="1440" w:right="1440" w:bottom="1440" w:left="1440" w:header="720" w:footer="720" w:gutter="0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64" w:rsidRPr="00C1543B" w:rsidRDefault="00CC7864" w:rsidP="00BA3F4F">
      <w:pPr>
        <w:spacing w:after="0"/>
      </w:pPr>
      <w:r>
        <w:separator/>
      </w:r>
    </w:p>
  </w:endnote>
  <w:endnote w:type="continuationSeparator" w:id="0">
    <w:p w:rsidR="00CC7864" w:rsidRPr="00C1543B" w:rsidRDefault="00CC7864" w:rsidP="00BA3F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5E" w:rsidRDefault="008575E3" w:rsidP="00F1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7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15E" w:rsidRDefault="00F17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5E" w:rsidRPr="00B90475" w:rsidRDefault="008575E3" w:rsidP="00F1715E">
    <w:pPr>
      <w:pStyle w:val="Footer"/>
      <w:framePr w:wrap="around" w:vAnchor="text" w:hAnchor="margin" w:xAlign="center" w:y="1"/>
      <w:rPr>
        <w:rStyle w:val="PageNumber"/>
      </w:rPr>
    </w:pPr>
    <w:r w:rsidRPr="00B90475">
      <w:rPr>
        <w:rStyle w:val="PageNumber"/>
        <w:rFonts w:ascii="Arial" w:hAnsi="Arial"/>
        <w:sz w:val="20"/>
      </w:rPr>
      <w:fldChar w:fldCharType="begin"/>
    </w:r>
    <w:r w:rsidR="00F1715E" w:rsidRPr="00B90475">
      <w:rPr>
        <w:rStyle w:val="PageNumber"/>
        <w:rFonts w:ascii="Arial" w:hAnsi="Arial"/>
        <w:sz w:val="20"/>
      </w:rPr>
      <w:instrText xml:space="preserve">PAGE  </w:instrText>
    </w:r>
    <w:r w:rsidRPr="00B90475">
      <w:rPr>
        <w:rStyle w:val="PageNumber"/>
        <w:rFonts w:ascii="Arial" w:hAnsi="Arial"/>
        <w:sz w:val="20"/>
      </w:rPr>
      <w:fldChar w:fldCharType="separate"/>
    </w:r>
    <w:r w:rsidR="006864C8">
      <w:rPr>
        <w:rStyle w:val="PageNumber"/>
        <w:rFonts w:ascii="Arial" w:hAnsi="Arial"/>
        <w:noProof/>
        <w:sz w:val="20"/>
      </w:rPr>
      <w:t>1</w:t>
    </w:r>
    <w:r w:rsidRPr="00B90475">
      <w:rPr>
        <w:rStyle w:val="PageNumber"/>
        <w:rFonts w:ascii="Arial" w:hAnsi="Arial"/>
        <w:sz w:val="20"/>
      </w:rPr>
      <w:fldChar w:fldCharType="end"/>
    </w:r>
  </w:p>
  <w:p w:rsidR="00F1715E" w:rsidRDefault="00F17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64" w:rsidRPr="00C1543B" w:rsidRDefault="00CC7864" w:rsidP="00BA3F4F">
      <w:pPr>
        <w:spacing w:after="0"/>
      </w:pPr>
      <w:r>
        <w:separator/>
      </w:r>
    </w:p>
  </w:footnote>
  <w:footnote w:type="continuationSeparator" w:id="0">
    <w:p w:rsidR="00CC7864" w:rsidRPr="00C1543B" w:rsidRDefault="00CC7864" w:rsidP="00BA3F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C4B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02F9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466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A6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DAD7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C0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C1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0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CA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7C3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5E5FA0"/>
    <w:multiLevelType w:val="hybridMultilevel"/>
    <w:tmpl w:val="895ABA80"/>
    <w:lvl w:ilvl="0" w:tplc="A31A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D4D07"/>
    <w:multiLevelType w:val="hybridMultilevel"/>
    <w:tmpl w:val="A02AE204"/>
    <w:lvl w:ilvl="0" w:tplc="A31A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807ED"/>
    <w:multiLevelType w:val="hybridMultilevel"/>
    <w:tmpl w:val="895ABA80"/>
    <w:lvl w:ilvl="0" w:tplc="A31A8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4C76"/>
    <w:multiLevelType w:val="hybridMultilevel"/>
    <w:tmpl w:val="A852C288"/>
    <w:lvl w:ilvl="0" w:tplc="94A88E10">
      <w:start w:val="1"/>
      <w:numFmt w:val="bullet"/>
      <w:pStyle w:val="BulletedLis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36DA0"/>
    <w:multiLevelType w:val="hybridMultilevel"/>
    <w:tmpl w:val="A02AE204"/>
    <w:lvl w:ilvl="0" w:tplc="A31A8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6A3"/>
    <w:rsid w:val="000443CC"/>
    <w:rsid w:val="000E7B1C"/>
    <w:rsid w:val="000F0686"/>
    <w:rsid w:val="001D2136"/>
    <w:rsid w:val="001F0B2E"/>
    <w:rsid w:val="002F584E"/>
    <w:rsid w:val="00405B17"/>
    <w:rsid w:val="004136A3"/>
    <w:rsid w:val="00470953"/>
    <w:rsid w:val="004770BA"/>
    <w:rsid w:val="004F5E14"/>
    <w:rsid w:val="006864C8"/>
    <w:rsid w:val="008575E3"/>
    <w:rsid w:val="00932ECB"/>
    <w:rsid w:val="00945661"/>
    <w:rsid w:val="00A632D3"/>
    <w:rsid w:val="00A965E9"/>
    <w:rsid w:val="00B60DFB"/>
    <w:rsid w:val="00B90475"/>
    <w:rsid w:val="00BA3F4F"/>
    <w:rsid w:val="00BF1C66"/>
    <w:rsid w:val="00BF56EA"/>
    <w:rsid w:val="00CC7864"/>
    <w:rsid w:val="00E97C48"/>
    <w:rsid w:val="00F17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</w:latentStyles>
  <w:style w:type="paragraph" w:default="1" w:styleId="Normal">
    <w:name w:val="Normal"/>
    <w:qFormat/>
    <w:rsid w:val="00BF1C66"/>
  </w:style>
  <w:style w:type="paragraph" w:styleId="Heading1">
    <w:name w:val="heading 1"/>
    <w:basedOn w:val="Normal"/>
    <w:next w:val="Normal"/>
    <w:link w:val="Heading1Char"/>
    <w:uiPriority w:val="9"/>
    <w:qFormat/>
    <w:rsid w:val="000E7B1C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136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oolkitHead">
    <w:name w:val="ToolkitHead"/>
    <w:basedOn w:val="NoParagraphStyle"/>
    <w:uiPriority w:val="99"/>
    <w:rsid w:val="004136A3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Body">
    <w:name w:val="Body"/>
    <w:basedOn w:val="NoParagraphStyle"/>
    <w:uiPriority w:val="99"/>
    <w:rsid w:val="004136A3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Bullets1">
    <w:name w:val="Bullets 1"/>
    <w:basedOn w:val="NoParagraphStyle"/>
    <w:uiPriority w:val="99"/>
    <w:rsid w:val="004136A3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ToolkitSubhead">
    <w:name w:val="Toolkit Subhead"/>
    <w:basedOn w:val="Normal"/>
    <w:uiPriority w:val="99"/>
    <w:rsid w:val="004136A3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4136A3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paragraph" w:customStyle="1" w:styleId="Subhead2">
    <w:name w:val="Subhead2"/>
    <w:basedOn w:val="NoParagraphStyle"/>
    <w:uiPriority w:val="99"/>
    <w:rsid w:val="00A632D3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3">
    <w:name w:val="Subhead3"/>
    <w:basedOn w:val="Body"/>
    <w:uiPriority w:val="99"/>
    <w:rsid w:val="00A632D3"/>
    <w:pPr>
      <w:spacing w:after="108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904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7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4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47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90475"/>
  </w:style>
  <w:style w:type="character" w:customStyle="1" w:styleId="Heading1Char">
    <w:name w:val="Heading 1 Char"/>
    <w:basedOn w:val="DefaultParagraphFont"/>
    <w:link w:val="Heading1"/>
    <w:uiPriority w:val="9"/>
    <w:rsid w:val="000E7B1C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0E7B1C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edList">
    <w:name w:val="Bulleted List"/>
    <w:basedOn w:val="ListParagraph"/>
    <w:next w:val="Bodytext"/>
    <w:qFormat/>
    <w:rsid w:val="000E7B1C"/>
    <w:pPr>
      <w:widowControl w:val="0"/>
      <w:numPr>
        <w:numId w:val="5"/>
      </w:numPr>
      <w:autoSpaceDE w:val="0"/>
      <w:autoSpaceDN w:val="0"/>
      <w:adjustRightInd w:val="0"/>
      <w:spacing w:before="240" w:after="240"/>
    </w:pPr>
    <w:rPr>
      <w:rFonts w:ascii="Arial" w:hAnsi="Arial" w:cs="FrutigerLTStd-Black"/>
      <w:sz w:val="22"/>
      <w:szCs w:val="22"/>
    </w:rPr>
  </w:style>
  <w:style w:type="paragraph" w:styleId="ListParagraph">
    <w:name w:val="List Paragraph"/>
    <w:basedOn w:val="Normal"/>
    <w:rsid w:val="000E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136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4136A3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Body">
    <w:name w:val="Body"/>
    <w:basedOn w:val="NoParagraphStyle"/>
    <w:uiPriority w:val="99"/>
    <w:rsid w:val="004136A3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Bullets1">
    <w:name w:val="Bullets 1"/>
    <w:basedOn w:val="NoParagraphStyle"/>
    <w:uiPriority w:val="99"/>
    <w:rsid w:val="004136A3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ToolkitSubhead">
    <w:name w:val="Toolkit Subhead"/>
    <w:basedOn w:val="Normal"/>
    <w:uiPriority w:val="99"/>
    <w:rsid w:val="004136A3"/>
    <w:pPr>
      <w:widowControl w:val="0"/>
      <w:suppressAutoHyphens/>
      <w:autoSpaceDE w:val="0"/>
      <w:autoSpaceDN w:val="0"/>
      <w:adjustRightInd w:val="0"/>
      <w:spacing w:after="108" w:line="300" w:lineRule="atLeast"/>
      <w:textAlignment w:val="center"/>
    </w:pPr>
    <w:rPr>
      <w:rFonts w:ascii="FrutigerLTStd-Black" w:hAnsi="FrutigerLTStd-Black" w:cs="FrutigerLTStd-Black"/>
      <w:color w:val="003A76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4136A3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paragraph" w:customStyle="1" w:styleId="Subhead2">
    <w:name w:val="Subhead2"/>
    <w:basedOn w:val="NoParagraphStyle"/>
    <w:uiPriority w:val="99"/>
    <w:rsid w:val="00A632D3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3">
    <w:name w:val="Subhead3"/>
    <w:basedOn w:val="Body"/>
    <w:uiPriority w:val="99"/>
    <w:rsid w:val="00A632D3"/>
    <w:pPr>
      <w:spacing w:after="108"/>
    </w:pPr>
    <w:rPr>
      <w:rFonts w:ascii="FrutigerLTStd-Black" w:hAnsi="FrutigerLTStd-Black" w:cs="FrutigerLTStd-Black"/>
      <w:color w:val="003A76"/>
      <w:spacing w:val="-7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Company>Strandesign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3.3 Communication Channels by Sector</dc:subject>
  <dc:creator>LBG-JMA Team</dc:creator>
  <cp:keywords>Communication Channels; Sector</cp:keywords>
  <dc:description/>
  <cp:lastModifiedBy>Mandell, Deborah</cp:lastModifiedBy>
  <cp:revision>7</cp:revision>
  <dcterms:created xsi:type="dcterms:W3CDTF">2011-02-21T16:02:00Z</dcterms:created>
  <dcterms:modified xsi:type="dcterms:W3CDTF">2011-02-25T17:18:00Z</dcterms:modified>
  <cp:category>Document</cp:category>
  <cp:contentStatus>Final</cp:contentStatus>
</cp:coreProperties>
</file>