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6FCB" w14:textId="77777777" w:rsidR="008345D1" w:rsidRPr="008345D1" w:rsidRDefault="008345D1" w:rsidP="008345D1">
      <w:pPr>
        <w:pStyle w:val="coltext"/>
        <w:tabs>
          <w:tab w:val="clear" w:pos="259"/>
        </w:tabs>
        <w:spacing w:before="0" w:after="0"/>
        <w:ind w:left="-14"/>
        <w:rPr>
          <w:rFonts w:asciiTheme="minorHAnsi" w:hAnsiTheme="minorHAnsi" w:cstheme="minorHAnsi"/>
          <w:sz w:val="44"/>
          <w:szCs w:val="44"/>
          <w:lang w:val="en-US"/>
        </w:rPr>
      </w:pPr>
      <w:r w:rsidRPr="008345D1">
        <w:rPr>
          <w:rFonts w:asciiTheme="minorHAnsi" w:hAnsiTheme="minorHAnsi" w:cstheme="minorHAnsi"/>
          <w:sz w:val="44"/>
          <w:szCs w:val="44"/>
          <w:lang w:val="en-US"/>
        </w:rPr>
        <w:t>Technical Memorandum</w:t>
      </w:r>
    </w:p>
    <w:p w14:paraId="50DE91B1" w14:textId="77777777" w:rsidR="008345D1" w:rsidRPr="008345D1" w:rsidRDefault="008345D1" w:rsidP="008345D1">
      <w:pPr>
        <w:pStyle w:val="coltext"/>
        <w:tabs>
          <w:tab w:val="clear" w:pos="259"/>
        </w:tabs>
        <w:spacing w:before="0" w:after="0"/>
        <w:ind w:left="-14"/>
        <w:rPr>
          <w:rFonts w:asciiTheme="minorHAnsi" w:hAnsiTheme="minorHAnsi" w:cstheme="minorHAnsi"/>
          <w:sz w:val="44"/>
          <w:szCs w:val="44"/>
          <w:lang w:val="en-US"/>
        </w:rPr>
      </w:pPr>
    </w:p>
    <w:tbl>
      <w:tblPr>
        <w:tblW w:w="10055" w:type="dxa"/>
        <w:tblInd w:w="25" w:type="dxa"/>
        <w:tblLayout w:type="fixed"/>
        <w:tblCellMar>
          <w:left w:w="115" w:type="dxa"/>
          <w:right w:w="115" w:type="dxa"/>
        </w:tblCellMar>
        <w:tblLook w:val="0000" w:firstRow="0" w:lastRow="0" w:firstColumn="0" w:lastColumn="0" w:noHBand="0" w:noVBand="0"/>
      </w:tblPr>
      <w:tblGrid>
        <w:gridCol w:w="1415"/>
        <w:gridCol w:w="8640"/>
      </w:tblGrid>
      <w:tr w:rsidR="008345D1" w:rsidRPr="00D026F6" w14:paraId="6DF093DF" w14:textId="77777777" w:rsidTr="00D46A34">
        <w:trPr>
          <w:cantSplit/>
          <w:trHeight w:val="538"/>
        </w:trPr>
        <w:tc>
          <w:tcPr>
            <w:tcW w:w="1415" w:type="dxa"/>
            <w:noWrap/>
          </w:tcPr>
          <w:p w14:paraId="05881011" w14:textId="77777777" w:rsidR="008345D1" w:rsidRPr="00D026F6" w:rsidRDefault="008345D1" w:rsidP="00D46A34">
            <w:pPr>
              <w:rPr>
                <w:rFonts w:asciiTheme="minorHAnsi" w:hAnsiTheme="minorHAnsi" w:cstheme="minorHAnsi"/>
                <w:sz w:val="22"/>
                <w:szCs w:val="22"/>
                <w:lang w:val="en-US"/>
              </w:rPr>
            </w:pPr>
            <w:r w:rsidRPr="00D026F6">
              <w:rPr>
                <w:rFonts w:asciiTheme="minorHAnsi" w:hAnsiTheme="minorHAnsi" w:cstheme="minorHAnsi"/>
                <w:noProof/>
                <w:sz w:val="22"/>
                <w:szCs w:val="22"/>
                <w:lang w:val="en-US"/>
              </w:rPr>
              <w:t>To</w:t>
            </w:r>
          </w:p>
        </w:tc>
        <w:tc>
          <w:tcPr>
            <w:tcW w:w="8640" w:type="dxa"/>
          </w:tcPr>
          <w:p w14:paraId="4FDD0AB5" w14:textId="4F24C41C" w:rsidR="008345D1" w:rsidRPr="00D026F6" w:rsidRDefault="008345D1" w:rsidP="00D46A34">
            <w:pPr>
              <w:pStyle w:val="coltext"/>
              <w:tabs>
                <w:tab w:val="clear" w:pos="259"/>
              </w:tabs>
              <w:spacing w:before="20" w:after="0"/>
              <w:rPr>
                <w:rFonts w:asciiTheme="minorHAnsi" w:hAnsiTheme="minorHAnsi" w:cstheme="minorHAnsi"/>
                <w:sz w:val="22"/>
                <w:szCs w:val="22"/>
                <w:lang w:val="en-US"/>
              </w:rPr>
            </w:pPr>
            <w:r w:rsidRPr="00D026F6">
              <w:rPr>
                <w:rFonts w:asciiTheme="minorHAnsi" w:hAnsiTheme="minorHAnsi" w:cstheme="minorHAnsi"/>
                <w:sz w:val="22"/>
                <w:szCs w:val="22"/>
                <w:lang w:val="en-US"/>
              </w:rPr>
              <w:t xml:space="preserve">Waseem </w:t>
            </w:r>
            <w:proofErr w:type="spellStart"/>
            <w:r w:rsidRPr="00D026F6">
              <w:rPr>
                <w:rFonts w:asciiTheme="minorHAnsi" w:hAnsiTheme="minorHAnsi" w:cstheme="minorHAnsi"/>
                <w:sz w:val="22"/>
                <w:szCs w:val="22"/>
                <w:lang w:val="en-US"/>
              </w:rPr>
              <w:t>Dekalbab</w:t>
            </w:r>
            <w:proofErr w:type="spellEnd"/>
            <w:r w:rsidRPr="00D026F6">
              <w:rPr>
                <w:rFonts w:asciiTheme="minorHAnsi" w:hAnsiTheme="minorHAnsi" w:cstheme="minorHAnsi"/>
                <w:sz w:val="22"/>
                <w:szCs w:val="22"/>
                <w:lang w:val="en-US"/>
              </w:rPr>
              <w:t>, TRB Senior Program Officer</w:t>
            </w:r>
          </w:p>
        </w:tc>
      </w:tr>
      <w:tr w:rsidR="008345D1" w:rsidRPr="00D026F6" w14:paraId="0005A08F" w14:textId="77777777" w:rsidTr="00D46A34">
        <w:trPr>
          <w:cantSplit/>
          <w:trHeight w:val="539"/>
        </w:trPr>
        <w:tc>
          <w:tcPr>
            <w:tcW w:w="1415" w:type="dxa"/>
            <w:noWrap/>
          </w:tcPr>
          <w:p w14:paraId="4165D536" w14:textId="77777777" w:rsidR="008345D1" w:rsidRPr="00D026F6" w:rsidRDefault="008345D1" w:rsidP="00D46A34">
            <w:pPr>
              <w:rPr>
                <w:rFonts w:asciiTheme="minorHAnsi" w:hAnsiTheme="minorHAnsi" w:cstheme="minorHAnsi"/>
                <w:sz w:val="22"/>
                <w:szCs w:val="22"/>
                <w:lang w:val="en-US"/>
              </w:rPr>
            </w:pPr>
            <w:r w:rsidRPr="00D026F6">
              <w:rPr>
                <w:rFonts w:asciiTheme="minorHAnsi" w:hAnsiTheme="minorHAnsi" w:cstheme="minorHAnsi"/>
                <w:noProof/>
                <w:sz w:val="22"/>
                <w:szCs w:val="22"/>
                <w:lang w:val="en-US"/>
              </w:rPr>
              <w:t>From</w:t>
            </w:r>
          </w:p>
        </w:tc>
        <w:tc>
          <w:tcPr>
            <w:tcW w:w="8640" w:type="dxa"/>
          </w:tcPr>
          <w:p w14:paraId="7AB1548D" w14:textId="6D5298B6" w:rsidR="008345D1" w:rsidRPr="00D026F6" w:rsidRDefault="008345D1" w:rsidP="00D46A34">
            <w:pPr>
              <w:pStyle w:val="coltext"/>
              <w:tabs>
                <w:tab w:val="clear" w:pos="259"/>
              </w:tabs>
              <w:spacing w:before="20" w:after="0"/>
              <w:rPr>
                <w:rFonts w:asciiTheme="minorHAnsi" w:hAnsiTheme="minorHAnsi" w:cstheme="minorHAnsi"/>
                <w:sz w:val="22"/>
                <w:szCs w:val="22"/>
                <w:lang w:val="en-US"/>
              </w:rPr>
            </w:pPr>
            <w:r w:rsidRPr="00D026F6">
              <w:rPr>
                <w:rFonts w:asciiTheme="minorHAnsi" w:hAnsiTheme="minorHAnsi" w:cstheme="minorHAnsi"/>
                <w:sz w:val="22"/>
                <w:szCs w:val="22"/>
                <w:lang w:val="en-US"/>
              </w:rPr>
              <w:t xml:space="preserve">Steve Kuciemba, </w:t>
            </w:r>
            <w:r w:rsidR="00FF3A5B" w:rsidRPr="00D026F6">
              <w:rPr>
                <w:rFonts w:asciiTheme="minorHAnsi" w:hAnsiTheme="minorHAnsi" w:cstheme="minorHAnsi"/>
                <w:sz w:val="22"/>
                <w:szCs w:val="22"/>
                <w:lang w:val="en-US"/>
              </w:rPr>
              <w:t>Principal Investigator</w:t>
            </w:r>
            <w:r w:rsidR="00FF3A5B">
              <w:rPr>
                <w:rFonts w:asciiTheme="minorHAnsi" w:hAnsiTheme="minorHAnsi" w:cstheme="minorHAnsi"/>
                <w:sz w:val="22"/>
                <w:szCs w:val="22"/>
                <w:lang w:val="en-US"/>
              </w:rPr>
              <w:t>,</w:t>
            </w:r>
            <w:r w:rsidR="00FF3A5B" w:rsidRPr="00D026F6">
              <w:rPr>
                <w:rFonts w:asciiTheme="minorHAnsi" w:hAnsiTheme="minorHAnsi" w:cstheme="minorHAnsi"/>
                <w:sz w:val="22"/>
                <w:szCs w:val="22"/>
                <w:lang w:val="en-US"/>
              </w:rPr>
              <w:t xml:space="preserve"> </w:t>
            </w:r>
            <w:r w:rsidRPr="00D026F6">
              <w:rPr>
                <w:rFonts w:asciiTheme="minorHAnsi" w:hAnsiTheme="minorHAnsi" w:cstheme="minorHAnsi"/>
                <w:sz w:val="22"/>
                <w:szCs w:val="22"/>
                <w:lang w:val="en-US"/>
              </w:rPr>
              <w:t xml:space="preserve">NCHRP 20-24(128) </w:t>
            </w:r>
          </w:p>
        </w:tc>
      </w:tr>
      <w:tr w:rsidR="008345D1" w:rsidRPr="00D026F6" w14:paraId="3A8A2345" w14:textId="77777777" w:rsidTr="00D46A34">
        <w:trPr>
          <w:cantSplit/>
          <w:trHeight w:val="538"/>
        </w:trPr>
        <w:tc>
          <w:tcPr>
            <w:tcW w:w="1415" w:type="dxa"/>
            <w:noWrap/>
          </w:tcPr>
          <w:p w14:paraId="72ED40D3" w14:textId="77777777" w:rsidR="008345D1" w:rsidRPr="00D026F6" w:rsidRDefault="008345D1" w:rsidP="00D46A34">
            <w:pPr>
              <w:rPr>
                <w:rFonts w:asciiTheme="minorHAnsi" w:hAnsiTheme="minorHAnsi" w:cstheme="minorHAnsi"/>
                <w:sz w:val="22"/>
                <w:szCs w:val="22"/>
                <w:lang w:val="en-US"/>
              </w:rPr>
            </w:pPr>
            <w:r w:rsidRPr="00D026F6">
              <w:rPr>
                <w:rFonts w:asciiTheme="minorHAnsi" w:hAnsiTheme="minorHAnsi" w:cstheme="minorHAnsi"/>
                <w:noProof/>
                <w:sz w:val="22"/>
                <w:szCs w:val="22"/>
                <w:lang w:val="en-US"/>
              </w:rPr>
              <w:t>Subject</w:t>
            </w:r>
          </w:p>
        </w:tc>
        <w:tc>
          <w:tcPr>
            <w:tcW w:w="8640" w:type="dxa"/>
          </w:tcPr>
          <w:p w14:paraId="12DCC54F" w14:textId="59470165" w:rsidR="008345D1" w:rsidRPr="00D026F6" w:rsidRDefault="008345D1" w:rsidP="00D46A34">
            <w:pPr>
              <w:spacing w:before="20"/>
              <w:rPr>
                <w:rFonts w:asciiTheme="minorHAnsi" w:hAnsiTheme="minorHAnsi" w:cstheme="minorHAnsi"/>
                <w:sz w:val="22"/>
                <w:szCs w:val="22"/>
                <w:lang w:val="en-US"/>
              </w:rPr>
            </w:pPr>
            <w:r w:rsidRPr="00D026F6">
              <w:rPr>
                <w:rFonts w:asciiTheme="minorHAnsi" w:hAnsiTheme="minorHAnsi" w:cstheme="minorHAnsi"/>
                <w:sz w:val="22"/>
                <w:szCs w:val="22"/>
                <w:lang w:val="en-US"/>
              </w:rPr>
              <w:t>Implementation of Research Findings, NCHRP 20-</w:t>
            </w:r>
            <w:r w:rsidRPr="00D026F6">
              <w:rPr>
                <w:rFonts w:asciiTheme="minorHAnsi" w:hAnsiTheme="minorHAnsi" w:cstheme="minorHAnsi"/>
                <w:sz w:val="22"/>
                <w:szCs w:val="22"/>
                <w:lang w:val="en-US"/>
              </w:rPr>
              <w:t>24</w:t>
            </w:r>
            <w:r w:rsidRPr="00D026F6">
              <w:rPr>
                <w:rFonts w:asciiTheme="minorHAnsi" w:hAnsiTheme="minorHAnsi" w:cstheme="minorHAnsi"/>
                <w:sz w:val="22"/>
                <w:szCs w:val="22"/>
                <w:lang w:val="en-US"/>
              </w:rPr>
              <w:t>(</w:t>
            </w:r>
            <w:r w:rsidRPr="00D026F6">
              <w:rPr>
                <w:rFonts w:asciiTheme="minorHAnsi" w:hAnsiTheme="minorHAnsi" w:cstheme="minorHAnsi"/>
                <w:sz w:val="22"/>
                <w:szCs w:val="22"/>
                <w:lang w:val="en-US"/>
              </w:rPr>
              <w:t>12</w:t>
            </w:r>
            <w:r w:rsidRPr="00D026F6">
              <w:rPr>
                <w:rFonts w:asciiTheme="minorHAnsi" w:hAnsiTheme="minorHAnsi" w:cstheme="minorHAnsi"/>
                <w:sz w:val="22"/>
                <w:szCs w:val="22"/>
                <w:lang w:val="en-US"/>
              </w:rPr>
              <w:t>8)</w:t>
            </w:r>
          </w:p>
        </w:tc>
      </w:tr>
      <w:tr w:rsidR="008345D1" w:rsidRPr="00D026F6" w14:paraId="4663C161" w14:textId="77777777" w:rsidTr="00D46A34">
        <w:trPr>
          <w:cantSplit/>
          <w:trHeight w:val="538"/>
        </w:trPr>
        <w:tc>
          <w:tcPr>
            <w:tcW w:w="1415" w:type="dxa"/>
            <w:noWrap/>
          </w:tcPr>
          <w:p w14:paraId="6077D10D" w14:textId="77777777" w:rsidR="008345D1" w:rsidRPr="00D026F6" w:rsidRDefault="008345D1" w:rsidP="00D46A34">
            <w:pPr>
              <w:rPr>
                <w:rFonts w:asciiTheme="minorHAnsi" w:hAnsiTheme="minorHAnsi" w:cstheme="minorHAnsi"/>
                <w:sz w:val="22"/>
                <w:szCs w:val="22"/>
                <w:lang w:val="en-US"/>
              </w:rPr>
            </w:pPr>
            <w:r w:rsidRPr="00D026F6">
              <w:rPr>
                <w:rFonts w:asciiTheme="minorHAnsi" w:hAnsiTheme="minorHAnsi" w:cstheme="minorHAnsi"/>
                <w:noProof/>
                <w:sz w:val="22"/>
                <w:szCs w:val="22"/>
                <w:lang w:val="en-US"/>
              </w:rPr>
              <w:t>Date</w:t>
            </w:r>
          </w:p>
        </w:tc>
        <w:tc>
          <w:tcPr>
            <w:tcW w:w="8640" w:type="dxa"/>
          </w:tcPr>
          <w:p w14:paraId="6F9BC865" w14:textId="6B2A94BE" w:rsidR="008345D1" w:rsidRPr="00D026F6" w:rsidRDefault="008345D1" w:rsidP="00D46A34">
            <w:pPr>
              <w:pStyle w:val="coltext"/>
              <w:tabs>
                <w:tab w:val="clear" w:pos="259"/>
              </w:tabs>
              <w:spacing w:before="20" w:after="0"/>
              <w:rPr>
                <w:rFonts w:asciiTheme="minorHAnsi" w:hAnsiTheme="minorHAnsi" w:cstheme="minorHAnsi"/>
                <w:sz w:val="22"/>
                <w:szCs w:val="22"/>
                <w:lang w:val="en-US"/>
              </w:rPr>
            </w:pPr>
            <w:r w:rsidRPr="00D026F6">
              <w:rPr>
                <w:rFonts w:asciiTheme="minorHAnsi" w:hAnsiTheme="minorHAnsi" w:cstheme="minorHAnsi"/>
                <w:sz w:val="22"/>
                <w:szCs w:val="22"/>
                <w:lang w:val="en-US"/>
              </w:rPr>
              <w:t>September</w:t>
            </w:r>
            <w:r w:rsidRPr="00D026F6">
              <w:rPr>
                <w:rFonts w:asciiTheme="minorHAnsi" w:hAnsiTheme="minorHAnsi" w:cstheme="minorHAnsi"/>
                <w:sz w:val="22"/>
                <w:szCs w:val="22"/>
                <w:lang w:val="en-US"/>
              </w:rPr>
              <w:t xml:space="preserve"> 30, </w:t>
            </w:r>
            <w:r w:rsidRPr="00D026F6">
              <w:rPr>
                <w:rFonts w:asciiTheme="minorHAnsi" w:hAnsiTheme="minorHAnsi" w:cstheme="minorHAnsi"/>
                <w:sz w:val="22"/>
                <w:szCs w:val="22"/>
                <w:lang w:val="en-US"/>
              </w:rPr>
              <w:t>2022</w:t>
            </w:r>
          </w:p>
        </w:tc>
      </w:tr>
    </w:tbl>
    <w:p w14:paraId="7BFE7549" w14:textId="77777777" w:rsidR="008345D1" w:rsidRPr="00D026F6" w:rsidRDefault="008345D1" w:rsidP="008345D1">
      <w:pPr>
        <w:rPr>
          <w:rFonts w:asciiTheme="minorHAnsi" w:hAnsiTheme="minorHAnsi" w:cstheme="minorHAnsi"/>
          <w:sz w:val="22"/>
          <w:szCs w:val="22"/>
          <w:lang w:val="en-US"/>
        </w:rPr>
      </w:pPr>
    </w:p>
    <w:p w14:paraId="0086507A" w14:textId="13E22892" w:rsidR="008345D1" w:rsidRPr="00D026F6" w:rsidRDefault="008345D1" w:rsidP="00B95826">
      <w:pPr>
        <w:spacing w:after="160" w:line="259" w:lineRule="auto"/>
        <w:rPr>
          <w:rFonts w:asciiTheme="minorHAnsi" w:hAnsiTheme="minorHAnsi" w:cstheme="minorHAnsi"/>
          <w:sz w:val="22"/>
          <w:szCs w:val="22"/>
          <w:lang w:val="en-US"/>
        </w:rPr>
      </w:pPr>
      <w:r w:rsidRPr="00D026F6">
        <w:rPr>
          <w:rFonts w:asciiTheme="minorHAnsi" w:hAnsiTheme="minorHAnsi" w:cstheme="minorHAnsi"/>
          <w:sz w:val="22"/>
          <w:szCs w:val="22"/>
          <w:lang w:val="en-US"/>
        </w:rPr>
        <w:t xml:space="preserve">This technical memorandum is a companion to the </w:t>
      </w:r>
      <w:r w:rsidR="005A2518" w:rsidRPr="00D026F6">
        <w:rPr>
          <w:rFonts w:asciiTheme="minorHAnsi" w:hAnsiTheme="minorHAnsi" w:cstheme="minorHAnsi"/>
          <w:sz w:val="22"/>
          <w:szCs w:val="22"/>
          <w:lang w:val="en-US"/>
        </w:rPr>
        <w:t>Summary of Observations</w:t>
      </w:r>
      <w:r w:rsidRPr="00D026F6">
        <w:rPr>
          <w:rFonts w:asciiTheme="minorHAnsi" w:hAnsiTheme="minorHAnsi" w:cstheme="minorHAnsi"/>
          <w:sz w:val="22"/>
          <w:szCs w:val="22"/>
          <w:lang w:val="en-US"/>
        </w:rPr>
        <w:t xml:space="preserve"> under NCHRP Project 20-</w:t>
      </w:r>
      <w:r w:rsidR="005A2518" w:rsidRPr="00D026F6">
        <w:rPr>
          <w:rFonts w:asciiTheme="minorHAnsi" w:hAnsiTheme="minorHAnsi" w:cstheme="minorHAnsi"/>
          <w:sz w:val="22"/>
          <w:szCs w:val="22"/>
          <w:lang w:val="en-US"/>
        </w:rPr>
        <w:t>24</w:t>
      </w:r>
      <w:r w:rsidRPr="00D026F6">
        <w:rPr>
          <w:rFonts w:asciiTheme="minorHAnsi" w:hAnsiTheme="minorHAnsi" w:cstheme="minorHAnsi"/>
          <w:sz w:val="22"/>
          <w:szCs w:val="22"/>
          <w:lang w:val="en-US"/>
        </w:rPr>
        <w:t>(</w:t>
      </w:r>
      <w:r w:rsidR="005A2518" w:rsidRPr="00D026F6">
        <w:rPr>
          <w:rFonts w:asciiTheme="minorHAnsi" w:hAnsiTheme="minorHAnsi" w:cstheme="minorHAnsi"/>
          <w:sz w:val="22"/>
          <w:szCs w:val="22"/>
          <w:lang w:val="en-US"/>
        </w:rPr>
        <w:t>12</w:t>
      </w:r>
      <w:r w:rsidRPr="00D026F6">
        <w:rPr>
          <w:rFonts w:asciiTheme="minorHAnsi" w:hAnsiTheme="minorHAnsi" w:cstheme="minorHAnsi"/>
          <w:sz w:val="22"/>
          <w:szCs w:val="22"/>
          <w:lang w:val="en-US"/>
        </w:rPr>
        <w:t>8), “</w:t>
      </w:r>
      <w:r w:rsidR="005A2518" w:rsidRPr="00D026F6">
        <w:rPr>
          <w:rFonts w:asciiTheme="minorHAnsi" w:hAnsiTheme="minorHAnsi" w:cstheme="minorHAnsi"/>
          <w:sz w:val="22"/>
          <w:szCs w:val="22"/>
          <w:lang w:val="en-US"/>
        </w:rPr>
        <w:t>State of the Art Review of Cooperative Automated Transportation Systems</w:t>
      </w:r>
      <w:r w:rsidRPr="00D026F6">
        <w:rPr>
          <w:rFonts w:asciiTheme="minorHAnsi" w:hAnsiTheme="minorHAnsi" w:cstheme="minorHAnsi"/>
          <w:sz w:val="22"/>
          <w:szCs w:val="22"/>
          <w:lang w:val="en-US"/>
        </w:rPr>
        <w:t xml:space="preserve">.” This memo </w:t>
      </w:r>
      <w:r w:rsidR="00B95826" w:rsidRPr="00D026F6">
        <w:rPr>
          <w:rFonts w:asciiTheme="minorHAnsi" w:hAnsiTheme="minorHAnsi" w:cstheme="minorHAnsi"/>
          <w:sz w:val="22"/>
          <w:szCs w:val="22"/>
          <w:lang w:val="en-US"/>
        </w:rPr>
        <w:t>presents general recommended next steps</w:t>
      </w:r>
      <w:r w:rsidRPr="00D026F6">
        <w:rPr>
          <w:rFonts w:asciiTheme="minorHAnsi" w:hAnsiTheme="minorHAnsi" w:cstheme="minorHAnsi"/>
          <w:sz w:val="22"/>
          <w:szCs w:val="22"/>
          <w:lang w:val="en-US"/>
        </w:rPr>
        <w:t xml:space="preserve"> to further this research.</w:t>
      </w:r>
    </w:p>
    <w:p w14:paraId="53139306" w14:textId="01E39BF1" w:rsidR="00B95826" w:rsidRPr="00D026F6" w:rsidRDefault="00B95826" w:rsidP="00B95826">
      <w:pPr>
        <w:spacing w:after="160" w:line="259" w:lineRule="auto"/>
        <w:rPr>
          <w:rFonts w:asciiTheme="minorHAnsi" w:hAnsiTheme="minorHAnsi" w:cstheme="minorHAnsi"/>
          <w:sz w:val="22"/>
          <w:szCs w:val="22"/>
          <w:lang w:val="en-US"/>
        </w:rPr>
      </w:pPr>
      <w:r w:rsidRPr="00D026F6">
        <w:rPr>
          <w:rFonts w:asciiTheme="minorHAnsi" w:hAnsiTheme="minorHAnsi" w:cstheme="minorHAnsi"/>
          <w:sz w:val="22"/>
          <w:szCs w:val="22"/>
          <w:lang w:val="en-US"/>
        </w:rPr>
        <w:t xml:space="preserve">The objective </w:t>
      </w:r>
      <w:r w:rsidRPr="00D026F6">
        <w:rPr>
          <w:rFonts w:asciiTheme="minorHAnsi" w:hAnsiTheme="minorHAnsi" w:cstheme="minorHAnsi"/>
          <w:sz w:val="22"/>
          <w:szCs w:val="22"/>
          <w:lang w:val="en-US"/>
        </w:rPr>
        <w:t xml:space="preserve">of this project </w:t>
      </w:r>
      <w:r w:rsidRPr="00D026F6">
        <w:rPr>
          <w:rFonts w:asciiTheme="minorHAnsi" w:hAnsiTheme="minorHAnsi" w:cstheme="minorHAnsi"/>
          <w:sz w:val="22"/>
          <w:szCs w:val="22"/>
          <w:lang w:val="en-US"/>
        </w:rPr>
        <w:t>was to document and disseminate lessons learned from Cooperative Automated Transportation (CAT) system deployments (both domestic and international) that can have immediate benefit to State DOT executive leaders.</w:t>
      </w:r>
    </w:p>
    <w:p w14:paraId="60BB7F1C" w14:textId="5AE5D6E6" w:rsidR="008345D1" w:rsidRPr="00D026F6" w:rsidRDefault="00B95826" w:rsidP="00B95826">
      <w:pPr>
        <w:spacing w:after="160" w:line="259" w:lineRule="auto"/>
        <w:rPr>
          <w:rFonts w:asciiTheme="minorHAnsi" w:hAnsiTheme="minorHAnsi" w:cstheme="minorHAnsi"/>
          <w:sz w:val="22"/>
          <w:szCs w:val="22"/>
          <w:lang w:val="en-US"/>
        </w:rPr>
      </w:pPr>
      <w:r w:rsidRPr="00D026F6">
        <w:rPr>
          <w:rFonts w:asciiTheme="minorHAnsi" w:hAnsiTheme="minorHAnsi" w:cstheme="minorHAnsi"/>
          <w:sz w:val="22"/>
          <w:szCs w:val="22"/>
          <w:lang w:val="en-US"/>
        </w:rPr>
        <w:t>The observations from these scan tours were intended to help support and promote cooperation between infrastructure owners &amp; operators (IOOs) and the private sector to ensure mutually beneficial outcomes with public safety being the primary goal.</w:t>
      </w:r>
      <w:r w:rsidRPr="00D026F6">
        <w:rPr>
          <w:rFonts w:asciiTheme="minorHAnsi" w:hAnsiTheme="minorHAnsi" w:cstheme="minorHAnsi"/>
          <w:sz w:val="22"/>
          <w:szCs w:val="22"/>
          <w:lang w:val="en-US"/>
        </w:rPr>
        <w:t xml:space="preserve">  Therefore</w:t>
      </w:r>
      <w:r w:rsidR="00D026F6">
        <w:rPr>
          <w:rFonts w:asciiTheme="minorHAnsi" w:hAnsiTheme="minorHAnsi" w:cstheme="minorHAnsi"/>
          <w:sz w:val="22"/>
          <w:szCs w:val="22"/>
          <w:lang w:val="en-US"/>
        </w:rPr>
        <w:t>,</w:t>
      </w:r>
      <w:r w:rsidRPr="00D026F6">
        <w:rPr>
          <w:rFonts w:asciiTheme="minorHAnsi" w:hAnsiTheme="minorHAnsi" w:cstheme="minorHAnsi"/>
          <w:sz w:val="22"/>
          <w:szCs w:val="22"/>
          <w:lang w:val="en-US"/>
        </w:rPr>
        <w:t xml:space="preserve"> the primary audience was State and Local DOT leaders and decision-makers.</w:t>
      </w:r>
    </w:p>
    <w:p w14:paraId="2342F555" w14:textId="3CB9D8BD" w:rsidR="008345D1" w:rsidRPr="00D026F6" w:rsidRDefault="00B95826" w:rsidP="00B95826">
      <w:pPr>
        <w:spacing w:after="160" w:line="259" w:lineRule="auto"/>
        <w:rPr>
          <w:rFonts w:asciiTheme="minorHAnsi" w:hAnsiTheme="minorHAnsi" w:cstheme="minorHAnsi"/>
          <w:sz w:val="22"/>
          <w:szCs w:val="22"/>
          <w:lang w:val="en-US"/>
        </w:rPr>
      </w:pPr>
      <w:r w:rsidRPr="00D026F6">
        <w:rPr>
          <w:rFonts w:asciiTheme="minorHAnsi" w:hAnsiTheme="minorHAnsi" w:cstheme="minorHAnsi"/>
          <w:sz w:val="22"/>
          <w:szCs w:val="22"/>
          <w:lang w:val="en-US"/>
        </w:rPr>
        <w:t>The following next steps are listed for consideration of future steps that might advance the research objectives originally set forth for the project</w:t>
      </w:r>
      <w:r w:rsidR="008345D1" w:rsidRPr="00D026F6">
        <w:rPr>
          <w:rFonts w:asciiTheme="minorHAnsi" w:hAnsiTheme="minorHAnsi" w:cstheme="minorHAnsi"/>
          <w:sz w:val="22"/>
          <w:szCs w:val="22"/>
          <w:lang w:val="en-US"/>
        </w:rPr>
        <w:t>:</w:t>
      </w:r>
    </w:p>
    <w:p w14:paraId="110F0792" w14:textId="0C0EB251" w:rsidR="00B95826" w:rsidRPr="00D026F6" w:rsidRDefault="004D2D23"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Even though the CAT Coalition is in transition, there are many observations from this trip that can and should be shared with them once it is re-started.  Some of the ideas and lessons from organizations both domestically and internationally would be helpful to various stakeholders in the CAT space.</w:t>
      </w:r>
    </w:p>
    <w:p w14:paraId="1927DC97" w14:textId="0F90CA68" w:rsidR="004D2D23" w:rsidRPr="00107A87" w:rsidRDefault="004D2D23"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Some of the government organizations we spoke with had a strong commercialization emphasis (one or two agencies in the US, and one or two agencies internationally).  At the federal level in the US, we would benefit from additional conversation or research concerning industrial strategy being considered to advance the market for CAT in the US.</w:t>
      </w:r>
    </w:p>
    <w:p w14:paraId="2E2D7770" w14:textId="5EF960AE" w:rsidR="004D2D23" w:rsidRPr="00107A87" w:rsidRDefault="00107A87"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sidRPr="00107A87">
        <w:rPr>
          <w:rFonts w:asciiTheme="minorHAnsi" w:hAnsiTheme="minorHAnsi" w:cstheme="minorHAnsi"/>
          <w:sz w:val="22"/>
          <w:szCs w:val="22"/>
          <w:lang w:val="en-US"/>
        </w:rPr>
        <w:t xml:space="preserve">Several panel members felt strongly that we needed to follow-up with </w:t>
      </w:r>
      <w:r w:rsidRPr="00107A87">
        <w:rPr>
          <w:rFonts w:asciiTheme="minorHAnsi" w:hAnsiTheme="minorHAnsi" w:cstheme="minorHAnsi"/>
          <w:sz w:val="22"/>
          <w:szCs w:val="22"/>
          <w:lang w:val="en-US"/>
        </w:rPr>
        <w:t>the behavioral psychology piece</w:t>
      </w:r>
      <w:r w:rsidRPr="00107A87">
        <w:rPr>
          <w:rFonts w:asciiTheme="minorHAnsi" w:hAnsiTheme="minorHAnsi" w:cstheme="minorHAnsi"/>
          <w:sz w:val="22"/>
          <w:szCs w:val="22"/>
          <w:lang w:val="en-US"/>
        </w:rPr>
        <w:t xml:space="preserve">.  More conversations, perhaps a future NCHRP </w:t>
      </w:r>
      <w:r>
        <w:rPr>
          <w:rFonts w:asciiTheme="minorHAnsi" w:hAnsiTheme="minorHAnsi" w:cstheme="minorHAnsi"/>
          <w:sz w:val="22"/>
          <w:szCs w:val="22"/>
          <w:lang w:val="en-US"/>
        </w:rPr>
        <w:t xml:space="preserve">or FHWA </w:t>
      </w:r>
      <w:r w:rsidRPr="00107A87">
        <w:rPr>
          <w:rFonts w:asciiTheme="minorHAnsi" w:hAnsiTheme="minorHAnsi" w:cstheme="minorHAnsi"/>
          <w:sz w:val="22"/>
          <w:szCs w:val="22"/>
          <w:lang w:val="en-US"/>
        </w:rPr>
        <w:t xml:space="preserve">research statement – one member made it clear that whatever we do “it’s not just a 5-question survey, but instead it needs to be comprehensive and designed to inform decision-making.”  </w:t>
      </w:r>
      <w:r w:rsidRPr="00107A87">
        <w:rPr>
          <w:rFonts w:asciiTheme="minorHAnsi" w:hAnsiTheme="minorHAnsi" w:cstheme="minorHAnsi"/>
          <w:sz w:val="22"/>
          <w:szCs w:val="22"/>
          <w:lang w:val="en-US"/>
        </w:rPr>
        <w:t>This is not selling a product we already have a concept for to the public – this is engaging the public about a concept and how it might need to be adjusted/changed.  This is not market research.</w:t>
      </w:r>
    </w:p>
    <w:p w14:paraId="2A848183" w14:textId="7F200480" w:rsidR="00D026F6" w:rsidRPr="00D026F6" w:rsidRDefault="00D026F6"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sidRPr="00D026F6">
        <w:rPr>
          <w:rFonts w:asciiTheme="minorHAnsi" w:hAnsiTheme="minorHAnsi" w:cstheme="minorHAnsi"/>
          <w:sz w:val="22"/>
          <w:szCs w:val="22"/>
          <w:lang w:val="en-US"/>
        </w:rPr>
        <w:t>When reviewing the observations from international government agencies, it is important to acknowledge that t</w:t>
      </w:r>
      <w:r w:rsidRPr="00D026F6">
        <w:rPr>
          <w:rFonts w:asciiTheme="minorHAnsi" w:hAnsiTheme="minorHAnsi" w:cstheme="minorHAnsi"/>
          <w:sz w:val="22"/>
          <w:szCs w:val="22"/>
          <w:lang w:val="en-US"/>
        </w:rPr>
        <w:t xml:space="preserve">he role of the federal govt in the </w:t>
      </w:r>
      <w:r w:rsidRPr="00D026F6">
        <w:rPr>
          <w:rFonts w:asciiTheme="minorHAnsi" w:hAnsiTheme="minorHAnsi" w:cstheme="minorHAnsi"/>
          <w:sz w:val="22"/>
          <w:szCs w:val="22"/>
          <w:lang w:val="en-US"/>
        </w:rPr>
        <w:t xml:space="preserve">US may be very different – and a direct </w:t>
      </w:r>
      <w:r w:rsidRPr="00D026F6">
        <w:rPr>
          <w:rFonts w:asciiTheme="minorHAnsi" w:hAnsiTheme="minorHAnsi" w:cstheme="minorHAnsi"/>
          <w:sz w:val="22"/>
          <w:szCs w:val="22"/>
          <w:lang w:val="en-US"/>
        </w:rPr>
        <w:lastRenderedPageBreak/>
        <w:t>comparison could be problematic.  In fact, some international transport ministries might function m</w:t>
      </w:r>
      <w:r w:rsidRPr="00D026F6">
        <w:rPr>
          <w:rFonts w:asciiTheme="minorHAnsi" w:hAnsiTheme="minorHAnsi" w:cstheme="minorHAnsi"/>
          <w:sz w:val="22"/>
          <w:szCs w:val="22"/>
          <w:lang w:val="en-US"/>
        </w:rPr>
        <w:t xml:space="preserve">ore like a </w:t>
      </w:r>
      <w:r w:rsidRPr="00D026F6">
        <w:rPr>
          <w:rFonts w:asciiTheme="minorHAnsi" w:hAnsiTheme="minorHAnsi" w:cstheme="minorHAnsi"/>
          <w:sz w:val="22"/>
          <w:szCs w:val="22"/>
          <w:lang w:val="en-US"/>
        </w:rPr>
        <w:t>US s</w:t>
      </w:r>
      <w:r w:rsidRPr="00D026F6">
        <w:rPr>
          <w:rFonts w:asciiTheme="minorHAnsi" w:hAnsiTheme="minorHAnsi" w:cstheme="minorHAnsi"/>
          <w:sz w:val="22"/>
          <w:szCs w:val="22"/>
          <w:lang w:val="en-US"/>
        </w:rPr>
        <w:t xml:space="preserve">tate DOT, </w:t>
      </w:r>
      <w:r w:rsidRPr="00D026F6">
        <w:rPr>
          <w:rFonts w:asciiTheme="minorHAnsi" w:hAnsiTheme="minorHAnsi" w:cstheme="minorHAnsi"/>
          <w:sz w:val="22"/>
          <w:szCs w:val="22"/>
          <w:lang w:val="en-US"/>
        </w:rPr>
        <w:t>which should be taken into consideration when discussing potential lessons learned.</w:t>
      </w:r>
      <w:r w:rsidRPr="00D026F6">
        <w:rPr>
          <w:rFonts w:asciiTheme="minorHAnsi" w:hAnsiTheme="minorHAnsi" w:cstheme="minorHAnsi"/>
          <w:sz w:val="22"/>
          <w:szCs w:val="22"/>
        </w:rPr>
        <w:t xml:space="preserve">  In general</w:t>
      </w:r>
      <w:r w:rsidR="004D2D23">
        <w:rPr>
          <w:rFonts w:asciiTheme="minorHAnsi" w:hAnsiTheme="minorHAnsi" w:cstheme="minorHAnsi"/>
          <w:sz w:val="22"/>
          <w:szCs w:val="22"/>
        </w:rPr>
        <w:t>,</w:t>
      </w:r>
      <w:r w:rsidRPr="00D026F6">
        <w:rPr>
          <w:rFonts w:asciiTheme="minorHAnsi" w:hAnsiTheme="minorHAnsi" w:cstheme="minorHAnsi"/>
          <w:sz w:val="22"/>
          <w:szCs w:val="22"/>
        </w:rPr>
        <w:t xml:space="preserve"> we should </w:t>
      </w:r>
      <w:r w:rsidRPr="00D026F6">
        <w:rPr>
          <w:rFonts w:asciiTheme="minorHAnsi" w:hAnsiTheme="minorHAnsi" w:cstheme="minorHAnsi"/>
          <w:sz w:val="22"/>
          <w:szCs w:val="22"/>
          <w:lang w:val="en-US"/>
        </w:rPr>
        <w:t>look at function over there and how that translates into form over here</w:t>
      </w:r>
      <w:r w:rsidR="004D2D23">
        <w:rPr>
          <w:rFonts w:asciiTheme="minorHAnsi" w:hAnsiTheme="minorHAnsi" w:cstheme="minorHAnsi"/>
          <w:sz w:val="22"/>
          <w:szCs w:val="22"/>
          <w:lang w:val="en-US"/>
        </w:rPr>
        <w:t>.</w:t>
      </w:r>
    </w:p>
    <w:p w14:paraId="64A4DD73" w14:textId="524959BA" w:rsidR="00D026F6" w:rsidRPr="00D026F6" w:rsidRDefault="004D2D23"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The concept of sharing information and potentially coordinating across different test beds and testing sights was identified by several panel members as an action to explore for the US.  Recognizing that once again the scale and scope of activities in the US are much more complex, perhaps starting with an </w:t>
      </w:r>
      <w:r w:rsidRPr="004D2D23">
        <w:rPr>
          <w:rFonts w:asciiTheme="minorHAnsi" w:hAnsiTheme="minorHAnsi" w:cstheme="minorHAnsi"/>
          <w:sz w:val="22"/>
          <w:szCs w:val="22"/>
          <w:lang w:val="en-US"/>
        </w:rPr>
        <w:t>awareness of what’s going on is an important starting point</w:t>
      </w:r>
      <w:r>
        <w:rPr>
          <w:rFonts w:asciiTheme="minorHAnsi" w:hAnsiTheme="minorHAnsi" w:cstheme="minorHAnsi"/>
          <w:sz w:val="22"/>
          <w:szCs w:val="22"/>
          <w:lang w:val="en-US"/>
        </w:rPr>
        <w:t>, and that could lead to future collaboration and potentially coordination.</w:t>
      </w:r>
    </w:p>
    <w:p w14:paraId="69D8FF45" w14:textId="1F9F0008" w:rsidR="00D026F6" w:rsidRDefault="004D2D23"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A</w:t>
      </w:r>
      <w:r w:rsidRPr="004D2D23">
        <w:rPr>
          <w:rFonts w:asciiTheme="minorHAnsi" w:hAnsiTheme="minorHAnsi" w:cstheme="minorHAnsi"/>
          <w:sz w:val="22"/>
          <w:szCs w:val="22"/>
          <w:lang w:val="en-US"/>
        </w:rPr>
        <w:t xml:space="preserve"> lot of the private companies </w:t>
      </w:r>
      <w:r>
        <w:rPr>
          <w:rFonts w:asciiTheme="minorHAnsi" w:hAnsiTheme="minorHAnsi" w:cstheme="minorHAnsi"/>
          <w:sz w:val="22"/>
          <w:szCs w:val="22"/>
          <w:lang w:val="en-US"/>
        </w:rPr>
        <w:t xml:space="preserve">in the US that we spoke with </w:t>
      </w:r>
      <w:r w:rsidRPr="004D2D23">
        <w:rPr>
          <w:rFonts w:asciiTheme="minorHAnsi" w:hAnsiTheme="minorHAnsi" w:cstheme="minorHAnsi"/>
          <w:sz w:val="22"/>
          <w:szCs w:val="22"/>
          <w:lang w:val="en-US"/>
        </w:rPr>
        <w:t xml:space="preserve">wanted </w:t>
      </w:r>
      <w:proofErr w:type="gramStart"/>
      <w:r w:rsidRPr="004D2D23">
        <w:rPr>
          <w:rFonts w:asciiTheme="minorHAnsi" w:hAnsiTheme="minorHAnsi" w:cstheme="minorHAnsi"/>
          <w:sz w:val="22"/>
          <w:szCs w:val="22"/>
          <w:lang w:val="en-US"/>
        </w:rPr>
        <w:t>some kind of government</w:t>
      </w:r>
      <w:proofErr w:type="gramEnd"/>
      <w:r w:rsidRPr="004D2D23">
        <w:rPr>
          <w:rFonts w:asciiTheme="minorHAnsi" w:hAnsiTheme="minorHAnsi" w:cstheme="minorHAnsi"/>
          <w:sz w:val="22"/>
          <w:szCs w:val="22"/>
          <w:lang w:val="en-US"/>
        </w:rPr>
        <w:t xml:space="preserve"> role, </w:t>
      </w:r>
      <w:r>
        <w:rPr>
          <w:rFonts w:asciiTheme="minorHAnsi" w:hAnsiTheme="minorHAnsi" w:cstheme="minorHAnsi"/>
          <w:sz w:val="22"/>
          <w:szCs w:val="22"/>
          <w:lang w:val="en-US"/>
        </w:rPr>
        <w:t>but there lacked consistency</w:t>
      </w:r>
      <w:r w:rsidR="00107A87">
        <w:rPr>
          <w:rFonts w:asciiTheme="minorHAnsi" w:hAnsiTheme="minorHAnsi" w:cstheme="minorHAnsi"/>
          <w:sz w:val="22"/>
          <w:szCs w:val="22"/>
          <w:lang w:val="en-US"/>
        </w:rPr>
        <w:t xml:space="preserve"> in what that role should be</w:t>
      </w:r>
      <w:r>
        <w:rPr>
          <w:rFonts w:asciiTheme="minorHAnsi" w:hAnsiTheme="minorHAnsi" w:cstheme="minorHAnsi"/>
          <w:sz w:val="22"/>
          <w:szCs w:val="22"/>
          <w:lang w:val="en-US"/>
        </w:rPr>
        <w:t xml:space="preserve">.  Future conversations and research </w:t>
      </w:r>
      <w:proofErr w:type="gramStart"/>
      <w:r>
        <w:rPr>
          <w:rFonts w:asciiTheme="minorHAnsi" w:hAnsiTheme="minorHAnsi" w:cstheme="minorHAnsi"/>
          <w:sz w:val="22"/>
          <w:szCs w:val="22"/>
          <w:lang w:val="en-US"/>
        </w:rPr>
        <w:t>is</w:t>
      </w:r>
      <w:proofErr w:type="gramEnd"/>
      <w:r>
        <w:rPr>
          <w:rFonts w:asciiTheme="minorHAnsi" w:hAnsiTheme="minorHAnsi" w:cstheme="minorHAnsi"/>
          <w:sz w:val="22"/>
          <w:szCs w:val="22"/>
          <w:lang w:val="en-US"/>
        </w:rPr>
        <w:t xml:space="preserve"> needed </w:t>
      </w:r>
      <w:r w:rsidRPr="004D2D23">
        <w:rPr>
          <w:rFonts w:asciiTheme="minorHAnsi" w:hAnsiTheme="minorHAnsi" w:cstheme="minorHAnsi"/>
          <w:sz w:val="22"/>
          <w:szCs w:val="22"/>
          <w:lang w:val="en-US"/>
        </w:rPr>
        <w:t xml:space="preserve">to tease out </w:t>
      </w:r>
      <w:r>
        <w:rPr>
          <w:rFonts w:asciiTheme="minorHAnsi" w:hAnsiTheme="minorHAnsi" w:cstheme="minorHAnsi"/>
          <w:sz w:val="22"/>
          <w:szCs w:val="22"/>
          <w:lang w:val="en-US"/>
        </w:rPr>
        <w:t xml:space="preserve">exactly </w:t>
      </w:r>
      <w:r w:rsidRPr="004D2D23">
        <w:rPr>
          <w:rFonts w:asciiTheme="minorHAnsi" w:hAnsiTheme="minorHAnsi" w:cstheme="minorHAnsi"/>
          <w:sz w:val="22"/>
          <w:szCs w:val="22"/>
          <w:lang w:val="en-US"/>
        </w:rPr>
        <w:t xml:space="preserve">what that means.  </w:t>
      </w:r>
      <w:r>
        <w:rPr>
          <w:rFonts w:asciiTheme="minorHAnsi" w:hAnsiTheme="minorHAnsi" w:cstheme="minorHAnsi"/>
          <w:sz w:val="22"/>
          <w:szCs w:val="22"/>
          <w:lang w:val="en-US"/>
        </w:rPr>
        <w:t>There was an acknowledgment by some that they</w:t>
      </w:r>
      <w:r w:rsidRPr="004D2D23">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Pr="004D2D23">
        <w:rPr>
          <w:rFonts w:asciiTheme="minorHAnsi" w:hAnsiTheme="minorHAnsi" w:cstheme="minorHAnsi"/>
          <w:sz w:val="22"/>
          <w:szCs w:val="22"/>
          <w:lang w:val="en-US"/>
        </w:rPr>
        <w:t xml:space="preserve">want flexibility until </w:t>
      </w:r>
      <w:r>
        <w:rPr>
          <w:rFonts w:asciiTheme="minorHAnsi" w:hAnsiTheme="minorHAnsi" w:cstheme="minorHAnsi"/>
          <w:sz w:val="22"/>
          <w:szCs w:val="22"/>
          <w:lang w:val="en-US"/>
        </w:rPr>
        <w:t>they feel they’re</w:t>
      </w:r>
      <w:r w:rsidRPr="004D2D23">
        <w:rPr>
          <w:rFonts w:asciiTheme="minorHAnsi" w:hAnsiTheme="minorHAnsi" w:cstheme="minorHAnsi"/>
          <w:sz w:val="22"/>
          <w:szCs w:val="22"/>
          <w:lang w:val="en-US"/>
        </w:rPr>
        <w:t xml:space="preserve"> treated different </w:t>
      </w:r>
      <w:r>
        <w:rPr>
          <w:rFonts w:asciiTheme="minorHAnsi" w:hAnsiTheme="minorHAnsi" w:cstheme="minorHAnsi"/>
          <w:sz w:val="22"/>
          <w:szCs w:val="22"/>
          <w:lang w:val="en-US"/>
        </w:rPr>
        <w:t xml:space="preserve">- </w:t>
      </w:r>
      <w:r w:rsidRPr="004D2D23">
        <w:rPr>
          <w:rFonts w:asciiTheme="minorHAnsi" w:hAnsiTheme="minorHAnsi" w:cstheme="minorHAnsi"/>
          <w:sz w:val="22"/>
          <w:szCs w:val="22"/>
          <w:lang w:val="en-US"/>
        </w:rPr>
        <w:t xml:space="preserve">then </w:t>
      </w:r>
      <w:r>
        <w:rPr>
          <w:rFonts w:asciiTheme="minorHAnsi" w:hAnsiTheme="minorHAnsi" w:cstheme="minorHAnsi"/>
          <w:sz w:val="22"/>
          <w:szCs w:val="22"/>
          <w:lang w:val="en-US"/>
        </w:rPr>
        <w:t>they</w:t>
      </w:r>
      <w:r w:rsidRPr="004D2D23">
        <w:rPr>
          <w:rFonts w:asciiTheme="minorHAnsi" w:hAnsiTheme="minorHAnsi" w:cstheme="minorHAnsi"/>
          <w:sz w:val="22"/>
          <w:szCs w:val="22"/>
          <w:lang w:val="en-US"/>
        </w:rPr>
        <w:t xml:space="preserve"> want consistency</w:t>
      </w:r>
      <w:r>
        <w:rPr>
          <w:rFonts w:asciiTheme="minorHAnsi" w:hAnsiTheme="minorHAnsi" w:cstheme="minorHAnsi"/>
          <w:sz w:val="22"/>
          <w:szCs w:val="22"/>
          <w:lang w:val="en-US"/>
        </w:rPr>
        <w:t>.”  It’s a balancing act.</w:t>
      </w:r>
    </w:p>
    <w:p w14:paraId="79FD786C" w14:textId="6E1D6B7E" w:rsidR="004D2D23" w:rsidRDefault="00107A87"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The panel felt there is value in ongoing scan tours focused on this topic, even though it was time to wind-down this specific project.  The question of </w:t>
      </w:r>
      <w:proofErr w:type="gramStart"/>
      <w:r>
        <w:rPr>
          <w:rFonts w:asciiTheme="minorHAnsi" w:hAnsiTheme="minorHAnsi" w:cstheme="minorHAnsi"/>
          <w:sz w:val="22"/>
          <w:szCs w:val="22"/>
          <w:lang w:val="en-US"/>
        </w:rPr>
        <w:t>whether or not</w:t>
      </w:r>
      <w:proofErr w:type="gramEnd"/>
      <w:r>
        <w:rPr>
          <w:rFonts w:asciiTheme="minorHAnsi" w:hAnsiTheme="minorHAnsi" w:cstheme="minorHAnsi"/>
          <w:sz w:val="22"/>
          <w:szCs w:val="22"/>
          <w:lang w:val="en-US"/>
        </w:rPr>
        <w:t xml:space="preserve"> to form a new panel with a similar construct (primarily State DOT CEOs) versus forming a panel with a broader mix of stakeholders will need to be discussed further before such activities could be initiated.</w:t>
      </w:r>
    </w:p>
    <w:p w14:paraId="5D7D6F78" w14:textId="37DACF56" w:rsidR="00B96978" w:rsidRPr="00B96978" w:rsidRDefault="00B96978" w:rsidP="00107A87">
      <w:pPr>
        <w:spacing w:after="160" w:line="259"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An important element of this implementation plan is also to consider how to best share some of the observations and lessons contained in the summary report.  A </w:t>
      </w:r>
      <w:r w:rsidR="00107A87">
        <w:rPr>
          <w:rFonts w:asciiTheme="minorHAnsi" w:hAnsiTheme="minorHAnsi" w:cstheme="minorHAnsi"/>
          <w:sz w:val="22"/>
          <w:szCs w:val="22"/>
          <w:lang w:val="en-US"/>
        </w:rPr>
        <w:t>PowerPoint</w:t>
      </w:r>
      <w:r>
        <w:rPr>
          <w:rFonts w:asciiTheme="minorHAnsi" w:hAnsiTheme="minorHAnsi" w:cstheme="minorHAnsi"/>
          <w:sz w:val="22"/>
          <w:szCs w:val="22"/>
          <w:lang w:val="en-US"/>
        </w:rPr>
        <w:t xml:space="preserve"> presentation was developed for use at the ITS World Congress and contains the key messages that the panel could rely on for future distribution.</w:t>
      </w:r>
    </w:p>
    <w:p w14:paraId="6B74B90B" w14:textId="77777777" w:rsidR="00107A87" w:rsidRDefault="00107A87"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The panel strongly agreed that s</w:t>
      </w:r>
      <w:r w:rsidR="004D2D23" w:rsidRPr="00B96978">
        <w:rPr>
          <w:rFonts w:asciiTheme="minorHAnsi" w:hAnsiTheme="minorHAnsi" w:cstheme="minorHAnsi"/>
          <w:sz w:val="22"/>
          <w:szCs w:val="22"/>
          <w:lang w:val="en-US"/>
        </w:rPr>
        <w:t>haring a portion of the observations with other associations – both within the transportation space and outside of it – would have great value and should be explored.</w:t>
      </w:r>
      <w:r w:rsidR="00B96978">
        <w:rPr>
          <w:rFonts w:asciiTheme="minorHAnsi" w:hAnsiTheme="minorHAnsi" w:cstheme="minorHAnsi"/>
          <w:sz w:val="22"/>
          <w:szCs w:val="22"/>
          <w:lang w:val="en-US"/>
        </w:rPr>
        <w:t xml:space="preserve"> </w:t>
      </w:r>
    </w:p>
    <w:p w14:paraId="2C1D1E1B" w14:textId="77777777" w:rsidR="00107A87" w:rsidRDefault="00B96978"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sidRPr="00B96978">
        <w:rPr>
          <w:rFonts w:asciiTheme="minorHAnsi" w:hAnsiTheme="minorHAnsi" w:cstheme="minorHAnsi"/>
          <w:sz w:val="22"/>
          <w:szCs w:val="22"/>
          <w:lang w:val="en-US"/>
        </w:rPr>
        <w:t>Having a set of messages ready for the AASHTO Washington Briefing in the early Spring would be a good target to aim for.</w:t>
      </w:r>
      <w:r>
        <w:rPr>
          <w:rFonts w:asciiTheme="minorHAnsi" w:hAnsiTheme="minorHAnsi" w:cstheme="minorHAnsi"/>
          <w:sz w:val="22"/>
          <w:szCs w:val="22"/>
          <w:lang w:val="en-US"/>
        </w:rPr>
        <w:t xml:space="preserve">  There will be </w:t>
      </w:r>
      <w:r w:rsidRPr="00B96978">
        <w:rPr>
          <w:rFonts w:asciiTheme="minorHAnsi" w:hAnsiTheme="minorHAnsi" w:cstheme="minorHAnsi"/>
          <w:sz w:val="22"/>
          <w:szCs w:val="22"/>
          <w:lang w:val="en-US"/>
        </w:rPr>
        <w:t xml:space="preserve">a lot of new CEOs next spring – this effort and transmitting these observations would have good value.  </w:t>
      </w:r>
    </w:p>
    <w:p w14:paraId="17BB77C0" w14:textId="77EBCCCF" w:rsidR="00B96978" w:rsidRDefault="00B96978"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sidRPr="00B96978">
        <w:rPr>
          <w:rFonts w:asciiTheme="minorHAnsi" w:hAnsiTheme="minorHAnsi" w:cstheme="minorHAnsi"/>
          <w:sz w:val="22"/>
          <w:szCs w:val="22"/>
          <w:lang w:val="en-US"/>
        </w:rPr>
        <w:t>CAT Coalition meetings are</w:t>
      </w:r>
      <w:r>
        <w:rPr>
          <w:rFonts w:asciiTheme="minorHAnsi" w:hAnsiTheme="minorHAnsi" w:cstheme="minorHAnsi"/>
          <w:sz w:val="22"/>
          <w:szCs w:val="22"/>
          <w:lang w:val="en-US"/>
        </w:rPr>
        <w:t xml:space="preserve"> also</w:t>
      </w:r>
      <w:r w:rsidRPr="00B96978">
        <w:rPr>
          <w:rFonts w:asciiTheme="minorHAnsi" w:hAnsiTheme="minorHAnsi" w:cstheme="minorHAnsi"/>
          <w:sz w:val="22"/>
          <w:szCs w:val="22"/>
          <w:lang w:val="en-US"/>
        </w:rPr>
        <w:t xml:space="preserve"> good for sharing information</w:t>
      </w:r>
      <w:r>
        <w:rPr>
          <w:rFonts w:asciiTheme="minorHAnsi" w:hAnsiTheme="minorHAnsi" w:cstheme="minorHAnsi"/>
          <w:sz w:val="22"/>
          <w:szCs w:val="22"/>
          <w:lang w:val="en-US"/>
        </w:rPr>
        <w:t>.</w:t>
      </w:r>
    </w:p>
    <w:p w14:paraId="484B2B2D" w14:textId="0F26959C" w:rsidR="00B96978" w:rsidRPr="00B96978" w:rsidRDefault="00B96978" w:rsidP="00107A87">
      <w:pPr>
        <w:pStyle w:val="ListParagraph"/>
        <w:numPr>
          <w:ilvl w:val="0"/>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Throughout the course of the project. we identified the following list of groups as potential targets for information sharing:</w:t>
      </w:r>
    </w:p>
    <w:p w14:paraId="15AB5806" w14:textId="1BF605DA" w:rsidR="004D2D23" w:rsidRDefault="004D2D23" w:rsidP="00107A87">
      <w:pPr>
        <w:pStyle w:val="ListParagraph"/>
        <w:numPr>
          <w:ilvl w:val="1"/>
          <w:numId w:val="1"/>
        </w:numPr>
        <w:spacing w:after="160" w:line="259" w:lineRule="auto"/>
        <w:contextualSpacing w:val="0"/>
        <w:rPr>
          <w:rFonts w:asciiTheme="minorHAnsi" w:hAnsiTheme="minorHAnsi" w:cstheme="minorHAnsi"/>
          <w:sz w:val="22"/>
          <w:szCs w:val="22"/>
          <w:lang w:val="en-US"/>
        </w:rPr>
      </w:pPr>
      <w:r w:rsidRPr="004D2D23">
        <w:rPr>
          <w:rFonts w:asciiTheme="minorHAnsi" w:hAnsiTheme="minorHAnsi" w:cstheme="minorHAnsi"/>
          <w:sz w:val="22"/>
          <w:szCs w:val="22"/>
          <w:lang w:val="en-US"/>
        </w:rPr>
        <w:t xml:space="preserve">AASHTO CTSO, CAV </w:t>
      </w:r>
      <w:r w:rsidR="00B96978">
        <w:rPr>
          <w:rFonts w:asciiTheme="minorHAnsi" w:hAnsiTheme="minorHAnsi" w:cstheme="minorHAnsi"/>
          <w:sz w:val="22"/>
          <w:szCs w:val="22"/>
          <w:lang w:val="en-US"/>
        </w:rPr>
        <w:t>I</w:t>
      </w:r>
      <w:r w:rsidRPr="004D2D23">
        <w:rPr>
          <w:rFonts w:asciiTheme="minorHAnsi" w:hAnsiTheme="minorHAnsi" w:cstheme="minorHAnsi"/>
          <w:sz w:val="22"/>
          <w:szCs w:val="22"/>
          <w:lang w:val="en-US"/>
        </w:rPr>
        <w:t>nter</w:t>
      </w:r>
      <w:r w:rsidR="00B96978">
        <w:rPr>
          <w:rFonts w:asciiTheme="minorHAnsi" w:hAnsiTheme="minorHAnsi" w:cstheme="minorHAnsi"/>
          <w:sz w:val="22"/>
          <w:szCs w:val="22"/>
          <w:lang w:val="en-US"/>
        </w:rPr>
        <w:t>-C</w:t>
      </w:r>
      <w:r w:rsidRPr="004D2D23">
        <w:rPr>
          <w:rFonts w:asciiTheme="minorHAnsi" w:hAnsiTheme="minorHAnsi" w:cstheme="minorHAnsi"/>
          <w:sz w:val="22"/>
          <w:szCs w:val="22"/>
          <w:lang w:val="en-US"/>
        </w:rPr>
        <w:t xml:space="preserve">ommittee </w:t>
      </w:r>
      <w:r w:rsidR="00B96978">
        <w:rPr>
          <w:rFonts w:asciiTheme="minorHAnsi" w:hAnsiTheme="minorHAnsi" w:cstheme="minorHAnsi"/>
          <w:sz w:val="22"/>
          <w:szCs w:val="22"/>
          <w:lang w:val="en-US"/>
        </w:rPr>
        <w:t>W</w:t>
      </w:r>
      <w:r w:rsidRPr="004D2D23">
        <w:rPr>
          <w:rFonts w:asciiTheme="minorHAnsi" w:hAnsiTheme="minorHAnsi" w:cstheme="minorHAnsi"/>
          <w:sz w:val="22"/>
          <w:szCs w:val="22"/>
          <w:lang w:val="en-US"/>
        </w:rPr>
        <w:t xml:space="preserve">orking </w:t>
      </w:r>
      <w:r w:rsidR="00B96978">
        <w:rPr>
          <w:rFonts w:asciiTheme="minorHAnsi" w:hAnsiTheme="minorHAnsi" w:cstheme="minorHAnsi"/>
          <w:sz w:val="22"/>
          <w:szCs w:val="22"/>
          <w:lang w:val="en-US"/>
        </w:rPr>
        <w:t>G</w:t>
      </w:r>
      <w:r w:rsidRPr="004D2D23">
        <w:rPr>
          <w:rFonts w:asciiTheme="minorHAnsi" w:hAnsiTheme="minorHAnsi" w:cstheme="minorHAnsi"/>
          <w:sz w:val="22"/>
          <w:szCs w:val="22"/>
          <w:lang w:val="en-US"/>
        </w:rPr>
        <w:t>roup, various AASHTO committees, State CAV Community of Practice, guidance for AASHTO CAV Policy Principals</w:t>
      </w:r>
    </w:p>
    <w:p w14:paraId="03C519C2" w14:textId="0DDC870C" w:rsidR="00B96978" w:rsidRDefault="00B96978" w:rsidP="00107A87">
      <w:pPr>
        <w:pStyle w:val="ListParagraph"/>
        <w:numPr>
          <w:ilvl w:val="1"/>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ITE, ITS America, ATSSA, ARTBA, and other key industry associations that are paying attention to the CAV space</w:t>
      </w:r>
    </w:p>
    <w:p w14:paraId="603587D6" w14:textId="6758C89B" w:rsidR="00B96978" w:rsidRDefault="00B96978" w:rsidP="00107A87">
      <w:pPr>
        <w:pStyle w:val="ListParagraph"/>
        <w:numPr>
          <w:ilvl w:val="1"/>
          <w:numId w:val="1"/>
        </w:numPr>
        <w:spacing w:after="160" w:line="259" w:lineRule="auto"/>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Non-traditional stakeholder groups that we’ve already met with – like the </w:t>
      </w:r>
      <w:r w:rsidRPr="00B96978">
        <w:rPr>
          <w:rFonts w:asciiTheme="minorHAnsi" w:hAnsiTheme="minorHAnsi" w:cstheme="minorHAnsi"/>
          <w:sz w:val="22"/>
          <w:szCs w:val="22"/>
          <w:lang w:val="en-US"/>
        </w:rPr>
        <w:t>National Governor’s Association (NGA) and the National council of State Legislators</w:t>
      </w:r>
    </w:p>
    <w:p w14:paraId="4EA28611" w14:textId="40A54DF5" w:rsidR="00B96978" w:rsidRPr="00B96978" w:rsidRDefault="00B96978" w:rsidP="00107A87">
      <w:pPr>
        <w:pStyle w:val="ListParagraph"/>
        <w:numPr>
          <w:ilvl w:val="1"/>
          <w:numId w:val="1"/>
        </w:numPr>
        <w:spacing w:after="160" w:line="259" w:lineRule="auto"/>
        <w:contextualSpacing w:val="0"/>
        <w:rPr>
          <w:rFonts w:asciiTheme="minorHAnsi" w:hAnsiTheme="minorHAnsi" w:cstheme="minorHAnsi"/>
          <w:sz w:val="22"/>
          <w:szCs w:val="22"/>
          <w:lang w:val="en-US"/>
        </w:rPr>
      </w:pPr>
      <w:r w:rsidRPr="00B96978">
        <w:rPr>
          <w:rFonts w:asciiTheme="minorHAnsi" w:hAnsiTheme="minorHAnsi" w:cstheme="minorHAnsi"/>
          <w:sz w:val="22"/>
          <w:szCs w:val="22"/>
          <w:lang w:val="en-US"/>
        </w:rPr>
        <w:lastRenderedPageBreak/>
        <w:t>Non-</w:t>
      </w:r>
      <w:r>
        <w:rPr>
          <w:rFonts w:asciiTheme="minorHAnsi" w:hAnsiTheme="minorHAnsi" w:cstheme="minorHAnsi"/>
          <w:sz w:val="22"/>
          <w:szCs w:val="22"/>
          <w:lang w:val="en-US"/>
        </w:rPr>
        <w:t>traditional stakeholder</w:t>
      </w:r>
      <w:r w:rsidRPr="00B96978">
        <w:rPr>
          <w:rFonts w:asciiTheme="minorHAnsi" w:hAnsiTheme="minorHAnsi" w:cstheme="minorHAnsi"/>
          <w:sz w:val="22"/>
          <w:szCs w:val="22"/>
          <w:lang w:val="en-US"/>
        </w:rPr>
        <w:t xml:space="preserve"> groups that we haven’t met with yet – like </w:t>
      </w:r>
      <w:r w:rsidRPr="00B96978">
        <w:rPr>
          <w:rFonts w:asciiTheme="minorHAnsi" w:hAnsiTheme="minorHAnsi" w:cstheme="minorHAnsi"/>
          <w:sz w:val="22"/>
          <w:szCs w:val="22"/>
          <w:lang w:val="en-US"/>
        </w:rPr>
        <w:t>Uniform Law Commission</w:t>
      </w:r>
      <w:r w:rsidRPr="00B96978">
        <w:rPr>
          <w:rFonts w:asciiTheme="minorHAnsi" w:hAnsiTheme="minorHAnsi" w:cstheme="minorHAnsi"/>
          <w:sz w:val="22"/>
          <w:szCs w:val="22"/>
          <w:lang w:val="en-US"/>
        </w:rPr>
        <w:t>, N</w:t>
      </w:r>
      <w:r w:rsidRPr="00B96978">
        <w:rPr>
          <w:rFonts w:asciiTheme="minorHAnsi" w:hAnsiTheme="minorHAnsi" w:cstheme="minorHAnsi"/>
          <w:sz w:val="22"/>
          <w:szCs w:val="22"/>
          <w:lang w:val="en-US"/>
        </w:rPr>
        <w:t>ational Association of Regional Councils</w:t>
      </w:r>
      <w:r w:rsidRPr="00B96978">
        <w:rPr>
          <w:rFonts w:asciiTheme="minorHAnsi" w:hAnsiTheme="minorHAnsi" w:cstheme="minorHAnsi"/>
          <w:sz w:val="22"/>
          <w:szCs w:val="22"/>
          <w:lang w:val="en-US"/>
        </w:rPr>
        <w:t xml:space="preserve"> (</w:t>
      </w:r>
      <w:r w:rsidRPr="00B96978">
        <w:rPr>
          <w:rFonts w:asciiTheme="minorHAnsi" w:hAnsiTheme="minorHAnsi" w:cstheme="minorHAnsi"/>
          <w:sz w:val="22"/>
          <w:szCs w:val="22"/>
          <w:lang w:val="en-US"/>
        </w:rPr>
        <w:t>NARC</w:t>
      </w:r>
      <w:r w:rsidRPr="00B96978">
        <w:rPr>
          <w:rFonts w:asciiTheme="minorHAnsi" w:hAnsiTheme="minorHAnsi" w:cstheme="minorHAnsi"/>
          <w:sz w:val="22"/>
          <w:szCs w:val="22"/>
          <w:lang w:val="en-US"/>
        </w:rPr>
        <w:t xml:space="preserve">), </w:t>
      </w:r>
      <w:r w:rsidRPr="00B96978">
        <w:rPr>
          <w:rFonts w:asciiTheme="minorHAnsi" w:hAnsiTheme="minorHAnsi" w:cstheme="minorHAnsi"/>
          <w:sz w:val="22"/>
          <w:szCs w:val="22"/>
          <w:lang w:val="en-US"/>
        </w:rPr>
        <w:t>American Truck</w:t>
      </w:r>
      <w:r w:rsidRPr="00B96978">
        <w:rPr>
          <w:rFonts w:asciiTheme="minorHAnsi" w:hAnsiTheme="minorHAnsi" w:cstheme="minorHAnsi"/>
          <w:sz w:val="22"/>
          <w:szCs w:val="22"/>
          <w:lang w:val="en-US"/>
        </w:rPr>
        <w:t>ing</w:t>
      </w:r>
      <w:r w:rsidRPr="00B96978">
        <w:rPr>
          <w:rFonts w:asciiTheme="minorHAnsi" w:hAnsiTheme="minorHAnsi" w:cstheme="minorHAnsi"/>
          <w:sz w:val="22"/>
          <w:szCs w:val="22"/>
          <w:lang w:val="en-US"/>
        </w:rPr>
        <w:t xml:space="preserve"> Association</w:t>
      </w:r>
      <w:r w:rsidRPr="00B96978">
        <w:rPr>
          <w:rFonts w:asciiTheme="minorHAnsi" w:hAnsiTheme="minorHAnsi" w:cstheme="minorHAnsi"/>
          <w:sz w:val="22"/>
          <w:szCs w:val="22"/>
          <w:lang w:val="en-US"/>
        </w:rPr>
        <w:t xml:space="preserve"> (ATA), </w:t>
      </w:r>
      <w:r w:rsidRPr="00B96978">
        <w:rPr>
          <w:rFonts w:asciiTheme="minorHAnsi" w:hAnsiTheme="minorHAnsi" w:cstheme="minorHAnsi"/>
          <w:sz w:val="22"/>
          <w:szCs w:val="22"/>
          <w:lang w:val="en-US"/>
        </w:rPr>
        <w:t>American Public Works Association</w:t>
      </w:r>
      <w:r w:rsidRPr="00B96978">
        <w:rPr>
          <w:rFonts w:asciiTheme="minorHAnsi" w:hAnsiTheme="minorHAnsi" w:cstheme="minorHAnsi"/>
          <w:sz w:val="22"/>
          <w:szCs w:val="22"/>
          <w:lang w:val="en-US"/>
        </w:rPr>
        <w:t xml:space="preserve"> (APWA), </w:t>
      </w:r>
      <w:r w:rsidRPr="00B96978">
        <w:rPr>
          <w:rFonts w:asciiTheme="minorHAnsi" w:hAnsiTheme="minorHAnsi" w:cstheme="minorHAnsi"/>
          <w:sz w:val="22"/>
          <w:szCs w:val="22"/>
          <w:lang w:val="en-US"/>
        </w:rPr>
        <w:t>Association of Metropolitan Planning Organizations</w:t>
      </w:r>
      <w:r w:rsidRPr="00B96978">
        <w:rPr>
          <w:rFonts w:asciiTheme="minorHAnsi" w:hAnsiTheme="minorHAnsi" w:cstheme="minorHAnsi"/>
          <w:sz w:val="22"/>
          <w:szCs w:val="22"/>
          <w:lang w:val="en-US"/>
        </w:rPr>
        <w:t xml:space="preserve"> (AMPO), and </w:t>
      </w:r>
      <w:r>
        <w:rPr>
          <w:rFonts w:asciiTheme="minorHAnsi" w:hAnsiTheme="minorHAnsi" w:cstheme="minorHAnsi"/>
          <w:sz w:val="22"/>
          <w:szCs w:val="22"/>
          <w:lang w:val="en-US"/>
        </w:rPr>
        <w:t>A</w:t>
      </w:r>
      <w:r w:rsidRPr="00B96978">
        <w:rPr>
          <w:rFonts w:asciiTheme="minorHAnsi" w:hAnsiTheme="minorHAnsi" w:cstheme="minorHAnsi"/>
          <w:sz w:val="22"/>
          <w:szCs w:val="22"/>
          <w:lang w:val="en-US"/>
        </w:rPr>
        <w:t xml:space="preserve">merican Association of Motor Vehicle Administrators </w:t>
      </w:r>
      <w:r>
        <w:rPr>
          <w:rFonts w:asciiTheme="minorHAnsi" w:hAnsiTheme="minorHAnsi" w:cstheme="minorHAnsi"/>
          <w:sz w:val="22"/>
          <w:szCs w:val="22"/>
          <w:lang w:val="en-US"/>
        </w:rPr>
        <w:t>(AAMVA).</w:t>
      </w:r>
    </w:p>
    <w:p w14:paraId="536E782F" w14:textId="7057CA9D" w:rsidR="00154CFC" w:rsidRPr="00D026F6" w:rsidRDefault="00107A87" w:rsidP="00B95826">
      <w:pPr>
        <w:spacing w:after="160" w:line="259" w:lineRule="auto"/>
        <w:rPr>
          <w:rFonts w:asciiTheme="minorHAnsi" w:hAnsiTheme="minorHAnsi" w:cstheme="minorHAnsi"/>
          <w:sz w:val="22"/>
          <w:szCs w:val="22"/>
        </w:rPr>
      </w:pPr>
      <w:r>
        <w:rPr>
          <w:rFonts w:asciiTheme="minorHAnsi" w:hAnsiTheme="minorHAnsi" w:cstheme="minorHAnsi"/>
          <w:sz w:val="22"/>
          <w:szCs w:val="22"/>
          <w:lang w:val="en-US"/>
        </w:rPr>
        <w:t>The evolution of Cooperative Automated Transportation will continue in the US and abroad, as will other key transportation innovations such as the transition from internal combustion engines to electric vehicles, an increase in mobility as a service and mobility on demand, and a long-standing need to address infrastructure funding by means other than a gasoline tax.  How CAT fits into all these innovations will remain an important conversation in the years ahead, and the observations from this Scan project will therefore be an important resource for many stakeholder audiences in the years ahead.</w:t>
      </w:r>
    </w:p>
    <w:sectPr w:rsidR="00154CFC" w:rsidRPr="00D0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45A"/>
    <w:multiLevelType w:val="hybridMultilevel"/>
    <w:tmpl w:val="F386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D1"/>
    <w:rsid w:val="00107A87"/>
    <w:rsid w:val="00134A6F"/>
    <w:rsid w:val="00154CFC"/>
    <w:rsid w:val="004D2D23"/>
    <w:rsid w:val="005A2518"/>
    <w:rsid w:val="008345D1"/>
    <w:rsid w:val="00B95826"/>
    <w:rsid w:val="00B96978"/>
    <w:rsid w:val="00D026F6"/>
    <w:rsid w:val="00F66D07"/>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FF5A"/>
  <w15:chartTrackingRefBased/>
  <w15:docId w15:val="{697AB6E0-950C-4F39-9EFB-EAD1BFB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345D1"/>
    <w:pPr>
      <w:spacing w:after="0" w:line="240" w:lineRule="auto"/>
    </w:pPr>
    <w:rPr>
      <w:rFonts w:ascii="Book Antiqua" w:eastAsia="Times New Roman" w:hAnsi="Book Antiqu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text">
    <w:name w:val="col text"/>
    <w:aliases w:val="9 col text,ct"/>
    <w:basedOn w:val="Normal"/>
    <w:rsid w:val="008345D1"/>
    <w:pPr>
      <w:tabs>
        <w:tab w:val="left" w:pos="259"/>
      </w:tabs>
      <w:spacing w:before="80" w:after="80"/>
    </w:pPr>
  </w:style>
  <w:style w:type="paragraph" w:styleId="ListParagraph">
    <w:name w:val="List Paragraph"/>
    <w:basedOn w:val="Normal"/>
    <w:uiPriority w:val="34"/>
    <w:qFormat/>
    <w:rsid w:val="0083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Kuciemba, Steve</dc:creator>
  <cp:keywords/>
  <dc:description/>
  <cp:lastModifiedBy>Kuciemba, Steve</cp:lastModifiedBy>
  <cp:revision>4</cp:revision>
  <dcterms:created xsi:type="dcterms:W3CDTF">2022-09-30T19:43:00Z</dcterms:created>
  <dcterms:modified xsi:type="dcterms:W3CDTF">2022-09-30T20:54:00Z</dcterms:modified>
</cp:coreProperties>
</file>