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C" w:rsidRDefault="00ED79AC" w:rsidP="00ED79AC">
      <w:pPr>
        <w:pStyle w:val="Heading1"/>
      </w:pPr>
      <w:bookmarkStart w:id="0" w:name="_Toc35870499"/>
      <w:bookmarkStart w:id="1" w:name="_GoBack"/>
      <w:bookmarkEnd w:id="1"/>
      <w:r w:rsidRPr="00BE5476">
        <w:t xml:space="preserve">APPENDIX </w:t>
      </w:r>
      <w:r>
        <w:t>K</w:t>
      </w:r>
      <w:r w:rsidRPr="00BE5476">
        <w:t xml:space="preserve"> – SAMPLE BADGING TRAINING CHECKLIST </w:t>
      </w:r>
    </w:p>
    <w:p w:rsidR="00ED79AC" w:rsidRDefault="00ED79AC" w:rsidP="00ED79AC">
      <w:pPr>
        <w:pStyle w:val="Heading2"/>
      </w:pPr>
    </w:p>
    <w:p w:rsidR="00ED79AC" w:rsidRPr="00CE1C8D" w:rsidRDefault="00ED79AC" w:rsidP="00ED79AC">
      <w:r w:rsidRPr="00CE1C8D">
        <w:t>(</w:t>
      </w:r>
      <w:r>
        <w:t xml:space="preserve">Courtesy of </w:t>
      </w:r>
      <w:r w:rsidRPr="00363D4C">
        <w:t>Greenville</w:t>
      </w:r>
      <w:r>
        <w:t>–</w:t>
      </w:r>
      <w:r w:rsidRPr="00363D4C">
        <w:t>Spartanburg Airport District</w:t>
      </w:r>
      <w:r w:rsidRPr="00CE1C8D">
        <w:t>)</w:t>
      </w:r>
      <w:bookmarkEnd w:id="0"/>
    </w:p>
    <w:p w:rsidR="00ED79AC" w:rsidRDefault="00ED79AC" w:rsidP="00ED79AC"/>
    <w:tbl>
      <w:tblPr>
        <w:tblStyle w:val="TableGrid"/>
        <w:tblW w:w="4841" w:type="pct"/>
        <w:jc w:val="center"/>
        <w:tblLook w:val="04A0" w:firstRow="1" w:lastRow="0" w:firstColumn="1" w:lastColumn="0" w:noHBand="0" w:noVBand="1"/>
      </w:tblPr>
      <w:tblGrid>
        <w:gridCol w:w="4702"/>
        <w:gridCol w:w="1582"/>
        <w:gridCol w:w="1407"/>
        <w:gridCol w:w="1362"/>
      </w:tblGrid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  <w:bookmarkStart w:id="2" w:name="_Hlk35965831"/>
            <w:r>
              <w:t>Description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  <w:r>
              <w:t>Date Completed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  <w:r>
              <w:t>Trainer Initials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  <w:r>
              <w:t>Trainee Initials</w:t>
            </w: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rPr>
                <w:b/>
              </w:rPr>
              <w:t>1. Logins/Passwords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1.1. Telos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1.2. Continuum PC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1.3. Fingerprint PC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5716"/>
              </w:tabs>
              <w:rPr>
                <w:b/>
              </w:rPr>
            </w:pPr>
            <w:r>
              <w:rPr>
                <w:b/>
              </w:rPr>
              <w:t>2. Badging Manual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5716"/>
              </w:tabs>
            </w:pPr>
            <w:r>
              <w:t>2.1. Show location of manual (O Drive) – review manual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5716"/>
              </w:tabs>
            </w:pPr>
            <w:r>
              <w:t>2.2. Cover badging process and fees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5716"/>
              </w:tabs>
              <w:rPr>
                <w:b/>
              </w:rPr>
            </w:pPr>
            <w:r>
              <w:rPr>
                <w:b/>
              </w:rPr>
              <w:t>3. Appointment Calendar – Website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3.1. Explain calendar/registration process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623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3.2. Share private calendar link – viewing appointments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rPr>
                <w:b/>
              </w:rPr>
              <w:t>4. Location of Badging Supplies/Office and Computer Fam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4.1. Location of badging keys to include location of key in AOC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4.2. Badge media – discuss badge types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4.3. Paperwork l location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4.3.1. Hard copies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4.3.2. Electronic file location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4.4. O Drive familiarization – badging folder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4.5. Badging supplies location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rPr>
                <w:b/>
              </w:rPr>
              <w:t>5. Billing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5.1. Costs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5.2. Bills vs. direct payment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lastRenderedPageBreak/>
              <w:t>5.2.1. Excel billing list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5.2.2. Credit card machine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5.3. General payment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5.3.1. Cash/check/credit card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5.3.2. Accounting envelope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5.3.3. Receipt booklet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5.3.4. Selling accessories –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rPr>
                <w:b/>
              </w:rPr>
              <w:t>6. Badging Process – 1</w:t>
            </w:r>
            <w:r w:rsidRPr="00F85C04">
              <w:rPr>
                <w:b/>
              </w:rPr>
              <w:t>st</w:t>
            </w:r>
            <w:r>
              <w:rPr>
                <w:b/>
              </w:rPr>
              <w:t xml:space="preserve"> Appointment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6.1. Initial appointment – overview checklist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6.1.1. Application – Section 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6.1.2. Application – Section 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659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6.1.2.1. Highlight middle name requirement and importance of disqualifying crimes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6.2. Forms of identification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6.2.1. Born outside the US/Non-US citizen requirements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524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 Telos – overview site (send site link)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90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6.3.1. Demonstrate steps for Full-package, Fingerprint Only, STA Only, and previously fingerprinted enrollments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6.3.1.1 Show different vetting types – Full, STA Only, etc.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6.3.2. Explain Active vs. Not Active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6.3.3. Explain upgrade sub-program, reason for using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6.3.4. Overview upgrade biographic vs. biometric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6.3.5. Explain manual name check procedures and reason for using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 xml:space="preserve">6.4. Discuss/overview back of application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 xml:space="preserve">6.5. Demonstrate proficiency in processing applicants (Telos enrollment, billing, etc.)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7. Checking STA/CHRC Results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7.1. STA – show different ways to search applicant results in Telos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7.1.1. Discuss green check mark vs. red X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7.1.2. Discuss “do not issue”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7.1.3. Show what number to extract from approval sheet and where to document on the application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7.2. CHRC – explain difference between No Record and Record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7.2.1. No Record – print overview sheet and document on back of application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7.2.2. Record – print record detail and document on back of application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 xml:space="preserve">7.2.3. Record – PD required to approve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8. STA/CHRC Results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8.1. Explain who to notify when clearances are back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8.2. Discuss importance of documenting correspondence on back of application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8.3. Notify signatory vs. applicant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8.4. Request for deposition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9. Badging Process – 2</w:t>
            </w:r>
            <w:r w:rsidRPr="00F85C04">
              <w:rPr>
                <w:b/>
              </w:rPr>
              <w:t>nd</w:t>
            </w:r>
            <w:r>
              <w:rPr>
                <w:b/>
              </w:rPr>
              <w:t xml:space="preserve"> Appointment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9.1. Overview checklist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 xml:space="preserve">9.2. Continuum – demonstrate (see checklist) how to create a profile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9.2.1 Explain site code (lack of = result)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9.3. Parking hang tag – show where to input and how to process a hang tag – binder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9.4. Telos – updating badge info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9.4.1. RAP back – discuss RAP back procedures, how to enroll in RAP back, who (companies) gets enrolled, if not enrolled must be re-fingerprinted/electronic re-submit)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9.5. Application – completion and filing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9.6. Demonstrate proficiency in processing applicants (continuum enrollment, printing a badge, Telos, application, filing, etc.)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10. Badge Renewal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10.1. Overview checklist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10.2. Application – Section 1 (discuss when an application is required and when one is not)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10.3. Application – Section 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10.4. Discuss when an application is required and when one is not – badge damage, etc., and required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10.5. Identification – checking current IDs on file, update as necessary – MUST be unexpired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10.6. Privacy Act Notice – provide another copy – IF submitting fingerprints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10.7. Continuum – update contact info, input new badge info, change expiration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10.8. Telos/fingerprint renewal/RAP back – overview fingerprint requirements; demonstrate how to electronic re-submit; demonstrate how to enroll in RAP back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10.9. Billing – overview billing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10.10 Application and filing – complete back of renewal application – file in Awaiting CHRC (Public/TSA exempt)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10.11. Discuss and demonstrate lost/stolen procedures to include billing (returned in 24 hours, etc.)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10.12. Demonstrate proficiency in processing applicants for renewal appointments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  <w:rPr>
                <w:u w:val="single"/>
              </w:rPr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Pr="00CD2535" w:rsidRDefault="00ED79AC" w:rsidP="006B7795">
            <w:pPr>
              <w:tabs>
                <w:tab w:val="left" w:pos="6120"/>
              </w:tabs>
              <w:ind w:left="27" w:hanging="27"/>
            </w:pPr>
            <w:r w:rsidRPr="00CD2535">
              <w:rPr>
                <w:b/>
              </w:rPr>
              <w:t>11. Signatory Training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Pr="00CD2535" w:rsidRDefault="00ED79AC" w:rsidP="006B7795">
            <w:pPr>
              <w:tabs>
                <w:tab w:val="left" w:pos="6120"/>
              </w:tabs>
            </w:pPr>
            <w:r w:rsidRPr="00CD2535">
              <w:t>11.1. GSP badging manual – cover responsibilities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11.2. Signatory binder/paperwork/spreadsheet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11.3. Signatory computer training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11.4. Signatory – current Excel spreadsheet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ind w:firstLine="27"/>
            </w:pPr>
            <w:r>
              <w:rPr>
                <w:b/>
              </w:rPr>
              <w:t>12. Resignation/Termination of Employee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12.1 Overview termination procedures and requirements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12.1.1. Termination paperwork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12.2. Demonstrate how to revoke from Telos and delete from Continuum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12.2.1. Disabling badges vs. deleting badges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12.3. Discuss 180 filing requirement and procedures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12.4 Discuss “Did not issue” procedures – what to do with the application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12.5. Demonstrate proficiency in processing terminations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13. Airport Security Program Review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13.1. Review ASP and discuss Badging Office responsibilities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13.2. Overview badge types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14. Security Directive Overview and Responsibilities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14.1. Review SD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 xml:space="preserve">14.2. Discuss record retention and badge issue time constraints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15. FIS Paperwork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15.1. Discuss process and how to enter information into Continuum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16. AOA Paperwork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16.1. Discuss AOA vehicle sticker process and overview paperwork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17. Fingerprint Cards – Crossmatch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17.1. Overview checklist/SOP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17.2. Demonstrates proficiency in processing fingerprint cards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18. Misc.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18.1. Loading/replacing badge printed laminate and film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tr w:rsidR="00ED79AC" w:rsidTr="006B7795">
        <w:trPr>
          <w:trHeight w:val="432"/>
          <w:jc w:val="center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AC" w:rsidRDefault="00ED79AC" w:rsidP="006B7795">
            <w:pPr>
              <w:tabs>
                <w:tab w:val="left" w:pos="6120"/>
              </w:tabs>
            </w:pPr>
            <w:r>
              <w:t>18.2. 911 and 611 department codes – PD/OPS/FD = 911 and FAC = 611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AC" w:rsidRDefault="00ED79AC" w:rsidP="006B7795">
            <w:pPr>
              <w:tabs>
                <w:tab w:val="left" w:pos="6120"/>
              </w:tabs>
              <w:jc w:val="center"/>
            </w:pPr>
          </w:p>
        </w:tc>
      </w:tr>
      <w:bookmarkEnd w:id="2"/>
    </w:tbl>
    <w:p w:rsidR="00ED79AC" w:rsidRDefault="00ED79AC" w:rsidP="00ED79AC">
      <w:pPr>
        <w:tabs>
          <w:tab w:val="left" w:pos="6120"/>
        </w:tabs>
        <w:rPr>
          <w:u w:val="single"/>
        </w:rPr>
      </w:pPr>
    </w:p>
    <w:p w:rsidR="00FD5D0A" w:rsidRDefault="00BC630C"/>
    <w:sectPr w:rsidR="00FD5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AC" w:rsidRDefault="00ED79AC" w:rsidP="00ED79AC">
      <w:pPr>
        <w:spacing w:after="0" w:line="240" w:lineRule="auto"/>
      </w:pPr>
      <w:r>
        <w:separator/>
      </w:r>
    </w:p>
  </w:endnote>
  <w:endnote w:type="continuationSeparator" w:id="0">
    <w:p w:rsidR="00ED79AC" w:rsidRDefault="00ED79AC" w:rsidP="00ED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AC" w:rsidRDefault="00ED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80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9AC" w:rsidRDefault="00ED7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AC" w:rsidRDefault="00ED7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AC" w:rsidRDefault="00ED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AC" w:rsidRDefault="00ED79AC" w:rsidP="00ED79AC">
      <w:pPr>
        <w:spacing w:after="0" w:line="240" w:lineRule="auto"/>
      </w:pPr>
      <w:r>
        <w:separator/>
      </w:r>
    </w:p>
  </w:footnote>
  <w:footnote w:type="continuationSeparator" w:id="0">
    <w:p w:rsidR="00ED79AC" w:rsidRDefault="00ED79AC" w:rsidP="00ED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AC" w:rsidRDefault="00ED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AC" w:rsidRDefault="00ED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AC" w:rsidRDefault="00ED7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AC"/>
    <w:rsid w:val="00222B34"/>
    <w:rsid w:val="003438A2"/>
    <w:rsid w:val="00357143"/>
    <w:rsid w:val="005E276A"/>
    <w:rsid w:val="008022FB"/>
    <w:rsid w:val="00AC2224"/>
    <w:rsid w:val="00B06772"/>
    <w:rsid w:val="00B14D77"/>
    <w:rsid w:val="00B2090C"/>
    <w:rsid w:val="00BC630C"/>
    <w:rsid w:val="00EB00D4"/>
    <w:rsid w:val="00ED79AC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1465-01EC-45AF-B308-3F45D6C3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AC"/>
  </w:style>
  <w:style w:type="paragraph" w:styleId="Heading1">
    <w:name w:val="heading 1"/>
    <w:basedOn w:val="Normal"/>
    <w:next w:val="Normal"/>
    <w:link w:val="Heading1Char"/>
    <w:uiPriority w:val="9"/>
    <w:qFormat/>
    <w:rsid w:val="00ED79AC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9A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9A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9A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D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AC"/>
  </w:style>
  <w:style w:type="paragraph" w:styleId="Footer">
    <w:name w:val="footer"/>
    <w:basedOn w:val="Normal"/>
    <w:link w:val="FooterChar"/>
    <w:uiPriority w:val="99"/>
    <w:unhideWhenUsed/>
    <w:rsid w:val="00ED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Doug</dc:creator>
  <cp:keywords/>
  <dc:description/>
  <cp:lastModifiedBy>Mackie, Paul</cp:lastModifiedBy>
  <cp:revision>2</cp:revision>
  <dcterms:created xsi:type="dcterms:W3CDTF">2020-10-01T23:48:00Z</dcterms:created>
  <dcterms:modified xsi:type="dcterms:W3CDTF">2020-10-01T23:48:00Z</dcterms:modified>
</cp:coreProperties>
</file>