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64202" w14:textId="0713C6F5" w:rsidR="00305D2F" w:rsidRDefault="00FF73E2">
      <w:pPr>
        <w:spacing w:before="59"/>
        <w:ind w:left="1629" w:right="1590"/>
        <w:jc w:val="center"/>
        <w:rPr>
          <w:rFonts w:ascii="Times New Roman"/>
          <w:b/>
          <w:sz w:val="52"/>
        </w:rPr>
      </w:pPr>
      <w:bookmarkStart w:id="0" w:name="Guidance_Cover.pdf"/>
      <w:bookmarkEnd w:id="0"/>
      <w:r>
        <w:rPr>
          <w:rFonts w:ascii="Times New Roman"/>
          <w:b/>
          <w:sz w:val="52"/>
        </w:rPr>
        <w:t>Guid</w:t>
      </w:r>
      <w:r w:rsidR="0047761A">
        <w:rPr>
          <w:rFonts w:ascii="Times New Roman"/>
          <w:b/>
          <w:sz w:val="52"/>
        </w:rPr>
        <w:t>elines</w:t>
      </w:r>
      <w:r>
        <w:rPr>
          <w:rFonts w:ascii="Times New Roman"/>
          <w:b/>
          <w:sz w:val="52"/>
        </w:rPr>
        <w:t xml:space="preserve"> Document</w:t>
      </w:r>
    </w:p>
    <w:p w14:paraId="0DD64203" w14:textId="77777777" w:rsidR="00305D2F" w:rsidRDefault="00305D2F">
      <w:pPr>
        <w:pStyle w:val="BodyText"/>
        <w:rPr>
          <w:rFonts w:ascii="Times New Roman"/>
          <w:b/>
          <w:sz w:val="64"/>
        </w:rPr>
      </w:pPr>
    </w:p>
    <w:p w14:paraId="0DD64204" w14:textId="77777777" w:rsidR="00305D2F" w:rsidRDefault="00FF73E2">
      <w:pPr>
        <w:pStyle w:val="Heading2"/>
      </w:pPr>
      <w:r>
        <w:t>to the</w:t>
      </w:r>
    </w:p>
    <w:p w14:paraId="0DD64205" w14:textId="77777777" w:rsidR="00305D2F" w:rsidRDefault="00305D2F">
      <w:pPr>
        <w:pStyle w:val="BodyText"/>
        <w:rPr>
          <w:rFonts w:ascii="Times New Roman"/>
          <w:b/>
          <w:sz w:val="32"/>
        </w:rPr>
      </w:pPr>
    </w:p>
    <w:p w14:paraId="0DD64206" w14:textId="77777777" w:rsidR="00305D2F" w:rsidRDefault="00FF73E2">
      <w:pPr>
        <w:ind w:left="1629" w:right="1591"/>
        <w:jc w:val="center"/>
        <w:rPr>
          <w:rFonts w:ascii="Times New Roman"/>
          <w:b/>
          <w:sz w:val="32"/>
        </w:rPr>
      </w:pPr>
      <w:r>
        <w:rPr>
          <w:rFonts w:ascii="Times New Roman"/>
          <w:b/>
          <w:sz w:val="32"/>
        </w:rPr>
        <w:t>NATIONAL COOPERATIVE HIGHWAY RESEARCH PROGRAM</w:t>
      </w:r>
    </w:p>
    <w:p w14:paraId="0DD64207" w14:textId="77777777" w:rsidR="00305D2F" w:rsidRDefault="00305D2F">
      <w:pPr>
        <w:pStyle w:val="BodyText"/>
        <w:rPr>
          <w:rFonts w:ascii="Times New Roman"/>
          <w:b/>
          <w:sz w:val="34"/>
        </w:rPr>
      </w:pPr>
    </w:p>
    <w:p w14:paraId="0DD64208" w14:textId="77777777" w:rsidR="00305D2F" w:rsidRDefault="00305D2F">
      <w:pPr>
        <w:pStyle w:val="BodyText"/>
        <w:rPr>
          <w:rFonts w:ascii="Times New Roman"/>
          <w:b/>
          <w:sz w:val="30"/>
        </w:rPr>
      </w:pPr>
    </w:p>
    <w:p w14:paraId="0DD64209" w14:textId="77777777" w:rsidR="00305D2F" w:rsidRDefault="00FF73E2">
      <w:pPr>
        <w:ind w:left="1628" w:right="1591"/>
        <w:jc w:val="center"/>
        <w:rPr>
          <w:rFonts w:ascii="Times New Roman"/>
          <w:sz w:val="32"/>
        </w:rPr>
      </w:pPr>
      <w:r>
        <w:rPr>
          <w:rFonts w:ascii="Times New Roman"/>
          <w:sz w:val="32"/>
        </w:rPr>
        <w:t>On</w:t>
      </w:r>
    </w:p>
    <w:p w14:paraId="0DD6420A" w14:textId="77777777" w:rsidR="00305D2F" w:rsidRDefault="00305D2F">
      <w:pPr>
        <w:pStyle w:val="BodyText"/>
        <w:spacing w:before="1"/>
        <w:rPr>
          <w:rFonts w:ascii="Times New Roman"/>
          <w:sz w:val="32"/>
        </w:rPr>
      </w:pPr>
    </w:p>
    <w:p w14:paraId="0DD6420B" w14:textId="77777777" w:rsidR="00305D2F" w:rsidRDefault="00FF73E2">
      <w:pPr>
        <w:pStyle w:val="Heading1"/>
      </w:pPr>
      <w:r>
        <w:t>NCHRP Project 03-132</w:t>
      </w:r>
    </w:p>
    <w:p w14:paraId="0DD6420C" w14:textId="77777777" w:rsidR="00305D2F" w:rsidRDefault="00305D2F">
      <w:pPr>
        <w:pStyle w:val="BodyText"/>
        <w:spacing w:before="10"/>
        <w:rPr>
          <w:rFonts w:ascii="Times New Roman"/>
          <w:sz w:val="39"/>
        </w:rPr>
      </w:pPr>
    </w:p>
    <w:p w14:paraId="0DD6420D" w14:textId="53C35EBC" w:rsidR="00305D2F" w:rsidRDefault="0047761A">
      <w:pPr>
        <w:spacing w:before="1"/>
        <w:ind w:left="983" w:right="944" w:firstLine="1"/>
        <w:jc w:val="center"/>
        <w:rPr>
          <w:rFonts w:ascii="Times New Roman"/>
          <w:b/>
          <w:i/>
          <w:sz w:val="40"/>
        </w:rPr>
      </w:pPr>
      <w:r w:rsidRPr="0047761A">
        <w:rPr>
          <w:rFonts w:ascii="Times New Roman"/>
          <w:b/>
          <w:i/>
          <w:sz w:val="40"/>
        </w:rPr>
        <w:t>SAFE AND EFFECTIVE TEMPORARY TRAFFIC CONTROL FOR MOBILE OPERATIONS ON TWO-LANE ROADWAYS</w:t>
      </w:r>
    </w:p>
    <w:p w14:paraId="0DD6420E" w14:textId="77777777" w:rsidR="00305D2F" w:rsidRDefault="00305D2F">
      <w:pPr>
        <w:pStyle w:val="BodyText"/>
        <w:rPr>
          <w:rFonts w:ascii="Times New Roman"/>
          <w:b/>
          <w:i/>
          <w:sz w:val="20"/>
        </w:rPr>
      </w:pPr>
    </w:p>
    <w:p w14:paraId="0DD6420F" w14:textId="77777777" w:rsidR="00305D2F" w:rsidRDefault="00305D2F">
      <w:pPr>
        <w:pStyle w:val="BodyText"/>
        <w:rPr>
          <w:rFonts w:ascii="Times New Roman"/>
          <w:b/>
          <w:i/>
          <w:sz w:val="20"/>
        </w:rPr>
      </w:pPr>
    </w:p>
    <w:p w14:paraId="0DD64210" w14:textId="4F2DDDC4" w:rsidR="00305D2F" w:rsidRDefault="00966A54">
      <w:pPr>
        <w:pStyle w:val="BodyText"/>
        <w:spacing w:before="6"/>
        <w:rPr>
          <w:rFonts w:ascii="Times New Roman"/>
          <w:b/>
          <w:i/>
          <w:sz w:val="20"/>
        </w:rPr>
      </w:pPr>
      <w:r>
        <w:rPr>
          <w:noProof/>
        </w:rPr>
        <mc:AlternateContent>
          <mc:Choice Requires="wps">
            <w:drawing>
              <wp:anchor distT="0" distB="0" distL="0" distR="0" simplePos="0" relativeHeight="251658240" behindDoc="1" locked="0" layoutInCell="1" allowOverlap="1" wp14:anchorId="0DD64244" wp14:editId="11B7B1D4">
                <wp:simplePos x="0" y="0"/>
                <wp:positionH relativeFrom="page">
                  <wp:posOffset>1554480</wp:posOffset>
                </wp:positionH>
                <wp:positionV relativeFrom="paragraph">
                  <wp:posOffset>179705</wp:posOffset>
                </wp:positionV>
                <wp:extent cx="4572000" cy="1236345"/>
                <wp:effectExtent l="0" t="0" r="0" b="0"/>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363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6424E" w14:textId="77777777" w:rsidR="00305D2F" w:rsidRDefault="00FF73E2">
                            <w:pPr>
                              <w:spacing w:before="1"/>
                              <w:ind w:left="1775" w:right="1776"/>
                              <w:jc w:val="center"/>
                              <w:rPr>
                                <w:rFonts w:ascii="Times New Roman"/>
                                <w:b/>
                                <w:sz w:val="28"/>
                              </w:rPr>
                            </w:pPr>
                            <w:r>
                              <w:rPr>
                                <w:rFonts w:ascii="Times New Roman"/>
                                <w:b/>
                                <w:sz w:val="28"/>
                                <w:u w:val="thick"/>
                              </w:rPr>
                              <w:t>LIMITED USE DOCUMENT</w:t>
                            </w:r>
                          </w:p>
                          <w:p w14:paraId="0DD6424F" w14:textId="77777777" w:rsidR="00305D2F" w:rsidRDefault="00305D2F">
                            <w:pPr>
                              <w:pStyle w:val="BodyText"/>
                              <w:spacing w:before="11"/>
                              <w:rPr>
                                <w:rFonts w:ascii="Times New Roman"/>
                                <w:b/>
                                <w:sz w:val="27"/>
                              </w:rPr>
                            </w:pPr>
                          </w:p>
                          <w:p w14:paraId="0DD64250" w14:textId="6A9597A5" w:rsidR="00305D2F" w:rsidRDefault="00FF73E2">
                            <w:pPr>
                              <w:ind w:left="182" w:right="181" w:hanging="4"/>
                              <w:jc w:val="center"/>
                              <w:rPr>
                                <w:rFonts w:ascii="Times New Roman"/>
                                <w:b/>
                                <w:sz w:val="28"/>
                              </w:rPr>
                            </w:pPr>
                            <w:r>
                              <w:rPr>
                                <w:rFonts w:ascii="Times New Roman"/>
                                <w:b/>
                                <w:sz w:val="28"/>
                              </w:rPr>
                              <w:t xml:space="preserve">This </w:t>
                            </w:r>
                            <w:r w:rsidR="009D60C2">
                              <w:rPr>
                                <w:rFonts w:ascii="Times New Roman"/>
                                <w:b/>
                                <w:sz w:val="28"/>
                              </w:rPr>
                              <w:t>guidelines</w:t>
                            </w:r>
                            <w:r>
                              <w:rPr>
                                <w:rFonts w:ascii="Times New Roman"/>
                                <w:b/>
                                <w:sz w:val="28"/>
                              </w:rPr>
                              <w:t xml:space="preserve"> document is furnished only for review by members of the NCHRP project panel and is regarded as fully privileged. Dissemination of information included herein must be approved by the NCHRP.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64244" id="_x0000_t202" coordsize="21600,21600" o:spt="202" path="m,l,21600r21600,l21600,xe">
                <v:stroke joinstyle="miter"/>
                <v:path gradientshapeok="t" o:connecttype="rect"/>
              </v:shapetype>
              <v:shape id="Text Box 4" o:spid="_x0000_s1026" type="#_x0000_t202" style="position:absolute;margin-left:122.4pt;margin-top:14.15pt;width:5in;height:97.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" filled="f" strokeweight=".72pt">
                <v:textbox inset="0,0,0,0">
                  <w:txbxContent>
                    <w:p w14:paraId="0DD6424E" w14:textId="77777777" w:rsidR="00305D2F" w:rsidRDefault="00FF73E2">
                      <w:pPr>
                        <w:spacing w:before="1"/>
                        <w:ind w:left="1775" w:right="1776"/>
                        <w:jc w:val="center"/>
                        <w:rPr>
                          <w:rFonts w:ascii="Times New Roman"/>
                          <w:b/>
                          <w:sz w:val="28"/>
                        </w:rPr>
                      </w:pPr>
                      <w:r>
                        <w:rPr>
                          <w:rFonts w:ascii="Times New Roman"/>
                          <w:b/>
                          <w:sz w:val="28"/>
                          <w:u w:val="thick"/>
                        </w:rPr>
                        <w:t>LIMITED USE DOCUMENT</w:t>
                      </w:r>
                    </w:p>
                    <w:p w14:paraId="0DD6424F" w14:textId="77777777" w:rsidR="00305D2F" w:rsidRDefault="00305D2F">
                      <w:pPr>
                        <w:pStyle w:val="BodyText"/>
                        <w:spacing w:before="11"/>
                        <w:rPr>
                          <w:rFonts w:ascii="Times New Roman"/>
                          <w:b/>
                          <w:sz w:val="27"/>
                        </w:rPr>
                      </w:pPr>
                    </w:p>
                    <w:p w14:paraId="0DD64250" w14:textId="6A9597A5" w:rsidR="00305D2F" w:rsidRDefault="00FF73E2">
                      <w:pPr>
                        <w:ind w:left="182" w:right="181" w:hanging="4"/>
                        <w:jc w:val="center"/>
                        <w:rPr>
                          <w:rFonts w:ascii="Times New Roman"/>
                          <w:b/>
                          <w:sz w:val="28"/>
                        </w:rPr>
                      </w:pPr>
                      <w:r>
                        <w:rPr>
                          <w:rFonts w:ascii="Times New Roman"/>
                          <w:b/>
                          <w:sz w:val="28"/>
                        </w:rPr>
                        <w:t xml:space="preserve">This </w:t>
                      </w:r>
                      <w:r w:rsidR="009D60C2">
                        <w:rPr>
                          <w:rFonts w:ascii="Times New Roman"/>
                          <w:b/>
                          <w:sz w:val="28"/>
                        </w:rPr>
                        <w:t>guidelines</w:t>
                      </w:r>
                      <w:r>
                        <w:rPr>
                          <w:rFonts w:ascii="Times New Roman"/>
                          <w:b/>
                          <w:sz w:val="28"/>
                        </w:rPr>
                        <w:t xml:space="preserve"> document is furnished only for review by members of the NCHRP project panel and is regarded as fully privileged. Dissemination of information included herein must be approved by the NCHRP.</w:t>
                      </w:r>
                    </w:p>
                  </w:txbxContent>
                </v:textbox>
                <w10:wrap type="topAndBottom" anchorx="page"/>
              </v:shape>
            </w:pict>
          </mc:Fallback>
        </mc:AlternateContent>
      </w:r>
    </w:p>
    <w:p w14:paraId="0DD64211" w14:textId="77777777" w:rsidR="00305D2F" w:rsidRDefault="00305D2F">
      <w:pPr>
        <w:pStyle w:val="BodyText"/>
        <w:spacing w:before="3"/>
        <w:rPr>
          <w:rFonts w:ascii="Times New Roman"/>
          <w:b/>
          <w:i/>
          <w:sz w:val="22"/>
        </w:rPr>
      </w:pPr>
    </w:p>
    <w:p w14:paraId="0DD64212" w14:textId="77777777" w:rsidR="00305D2F" w:rsidRDefault="00FF73E2">
      <w:pPr>
        <w:pStyle w:val="Heading1"/>
        <w:spacing w:before="83"/>
      </w:pPr>
      <w:r>
        <w:t>Submitted by:</w:t>
      </w:r>
    </w:p>
    <w:p w14:paraId="0DD64213" w14:textId="77777777" w:rsidR="00305D2F" w:rsidRDefault="00305D2F">
      <w:pPr>
        <w:pStyle w:val="BodyText"/>
        <w:spacing w:before="11"/>
        <w:rPr>
          <w:rFonts w:ascii="Times New Roman"/>
          <w:sz w:val="39"/>
        </w:rPr>
      </w:pPr>
    </w:p>
    <w:p w14:paraId="0DD64214" w14:textId="4B29208C" w:rsidR="00305D2F" w:rsidRDefault="00FF73E2">
      <w:pPr>
        <w:ind w:left="1628" w:right="1591"/>
        <w:jc w:val="center"/>
        <w:rPr>
          <w:rFonts w:ascii="Times New Roman"/>
          <w:sz w:val="40"/>
        </w:rPr>
      </w:pPr>
      <w:r>
        <w:rPr>
          <w:rFonts w:ascii="Times New Roman"/>
          <w:sz w:val="40"/>
        </w:rPr>
        <w:t xml:space="preserve">LuAnn </w:t>
      </w:r>
      <w:proofErr w:type="spellStart"/>
      <w:r>
        <w:rPr>
          <w:rFonts w:ascii="Times New Roman"/>
          <w:sz w:val="40"/>
        </w:rPr>
        <w:t>Theiss</w:t>
      </w:r>
      <w:proofErr w:type="spellEnd"/>
      <w:r>
        <w:rPr>
          <w:rFonts w:ascii="Times New Roman"/>
          <w:sz w:val="40"/>
        </w:rPr>
        <w:t xml:space="preserve"> and Gerald L. Ullman, TTI</w:t>
      </w:r>
    </w:p>
    <w:p w14:paraId="03D26D82" w14:textId="1C661EE6" w:rsidR="001E10F4" w:rsidRDefault="001E10F4">
      <w:pPr>
        <w:ind w:left="1628" w:right="1591"/>
        <w:jc w:val="center"/>
        <w:rPr>
          <w:rFonts w:ascii="Times New Roman"/>
          <w:sz w:val="40"/>
        </w:rPr>
      </w:pPr>
      <w:r>
        <w:rPr>
          <w:rFonts w:ascii="Times New Roman"/>
          <w:sz w:val="40"/>
        </w:rPr>
        <w:t xml:space="preserve">Jon </w:t>
      </w:r>
      <w:proofErr w:type="spellStart"/>
      <w:r>
        <w:rPr>
          <w:rFonts w:ascii="Times New Roman"/>
          <w:sz w:val="40"/>
        </w:rPr>
        <w:t>Jackels</w:t>
      </w:r>
      <w:proofErr w:type="spellEnd"/>
      <w:r>
        <w:rPr>
          <w:rFonts w:ascii="Times New Roman"/>
          <w:sz w:val="40"/>
        </w:rPr>
        <w:t>, SRF</w:t>
      </w:r>
    </w:p>
    <w:p w14:paraId="0DD64215" w14:textId="77777777" w:rsidR="00305D2F" w:rsidRDefault="00305D2F">
      <w:pPr>
        <w:pStyle w:val="BodyText"/>
        <w:rPr>
          <w:rFonts w:ascii="Times New Roman"/>
          <w:sz w:val="44"/>
        </w:rPr>
      </w:pPr>
    </w:p>
    <w:p w14:paraId="0DD64216" w14:textId="77777777" w:rsidR="00305D2F" w:rsidRDefault="00305D2F">
      <w:pPr>
        <w:pStyle w:val="BodyText"/>
        <w:rPr>
          <w:rFonts w:ascii="Times New Roman"/>
          <w:sz w:val="44"/>
        </w:rPr>
      </w:pPr>
    </w:p>
    <w:p w14:paraId="0DD64217" w14:textId="77777777" w:rsidR="00305D2F" w:rsidRDefault="00305D2F">
      <w:pPr>
        <w:pStyle w:val="BodyText"/>
        <w:rPr>
          <w:rFonts w:ascii="Times New Roman"/>
          <w:sz w:val="40"/>
        </w:rPr>
      </w:pPr>
    </w:p>
    <w:p w14:paraId="0DD64218" w14:textId="1303D9AA" w:rsidR="00305D2F" w:rsidRDefault="003358EE">
      <w:pPr>
        <w:ind w:left="1629" w:right="1589"/>
        <w:jc w:val="center"/>
        <w:rPr>
          <w:rFonts w:ascii="Times New Roman"/>
          <w:b/>
          <w:sz w:val="40"/>
        </w:rPr>
      </w:pPr>
      <w:r>
        <w:rPr>
          <w:rFonts w:ascii="Times New Roman"/>
          <w:b/>
          <w:sz w:val="40"/>
        </w:rPr>
        <w:t>11-</w:t>
      </w:r>
      <w:r w:rsidR="00CD6CFA">
        <w:rPr>
          <w:rFonts w:ascii="Times New Roman"/>
          <w:b/>
          <w:sz w:val="40"/>
        </w:rPr>
        <w:t>30</w:t>
      </w:r>
      <w:r w:rsidR="00FF73E2">
        <w:rPr>
          <w:rFonts w:ascii="Times New Roman"/>
          <w:b/>
          <w:sz w:val="40"/>
        </w:rPr>
        <w:t>-2022</w:t>
      </w:r>
    </w:p>
    <w:p w14:paraId="0DD64219" w14:textId="77777777" w:rsidR="00305D2F" w:rsidRDefault="00305D2F">
      <w:pPr>
        <w:jc w:val="center"/>
        <w:rPr>
          <w:rFonts w:ascii="Times New Roman"/>
          <w:sz w:val="40"/>
        </w:rPr>
        <w:sectPr w:rsidR="00305D2F">
          <w:type w:val="continuous"/>
          <w:pgSz w:w="12240" w:h="15840"/>
          <w:pgMar w:top="1380" w:right="620" w:bottom="280" w:left="580" w:header="720" w:footer="720" w:gutter="0"/>
          <w:cols w:space="720"/>
        </w:sectPr>
      </w:pPr>
    </w:p>
    <w:p w14:paraId="0DD6421A" w14:textId="3EC463AF" w:rsidR="00305D2F" w:rsidRDefault="00FF73E2">
      <w:pPr>
        <w:tabs>
          <w:tab w:val="left" w:pos="4820"/>
        </w:tabs>
        <w:ind w:left="140"/>
        <w:rPr>
          <w:rFonts w:ascii="Times New Roman"/>
          <w:sz w:val="20"/>
        </w:rPr>
      </w:pPr>
      <w:r>
        <w:rPr>
          <w:rFonts w:ascii="Times New Roman"/>
          <w:noProof/>
          <w:sz w:val="20"/>
        </w:rPr>
        <w:lastRenderedPageBreak/>
        <w:drawing>
          <wp:inline distT="0" distB="0" distL="0" distR="0" wp14:anchorId="0DD64245" wp14:editId="0DD64246">
            <wp:extent cx="2723464" cy="5257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723464" cy="525779"/>
                    </a:xfrm>
                    <a:prstGeom prst="rect">
                      <a:avLst/>
                    </a:prstGeom>
                  </pic:spPr>
                </pic:pic>
              </a:graphicData>
            </a:graphic>
          </wp:inline>
        </w:drawing>
      </w:r>
      <w:r>
        <w:rPr>
          <w:rFonts w:ascii="Times New Roman"/>
          <w:sz w:val="20"/>
        </w:rPr>
        <w:tab/>
      </w:r>
      <w:r w:rsidR="00966A54">
        <w:rPr>
          <w:rFonts w:ascii="Times New Roman"/>
          <w:noProof/>
          <w:sz w:val="20"/>
        </w:rPr>
        <mc:AlternateContent>
          <mc:Choice Requires="wps">
            <w:drawing>
              <wp:inline distT="0" distB="0" distL="0" distR="0" wp14:anchorId="0DD64248" wp14:editId="6361ECC0">
                <wp:extent cx="3886200" cy="621665"/>
                <wp:effectExtent l="0" t="0" r="0" b="635"/>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21665"/>
                        </a:xfrm>
                        <a:prstGeom prst="rect">
                          <a:avLst/>
                        </a:prstGeom>
                        <a:solidFill>
                          <a:srgbClr val="5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64251" w14:textId="6559A072" w:rsidR="00305D2F" w:rsidRDefault="00FF73E2">
                            <w:pPr>
                              <w:spacing w:before="240"/>
                              <w:ind w:left="344"/>
                              <w:rPr>
                                <w:rFonts w:ascii="Arial"/>
                                <w:sz w:val="40"/>
                              </w:rPr>
                            </w:pPr>
                            <w:bookmarkStart w:id="1" w:name="Guidance_Document_10-12-2022"/>
                            <w:bookmarkEnd w:id="1"/>
                            <w:r>
                              <w:rPr>
                                <w:rFonts w:ascii="Arial"/>
                                <w:color w:val="FFFFFF"/>
                                <w:sz w:val="40"/>
                              </w:rPr>
                              <w:t>Guid</w:t>
                            </w:r>
                            <w:r w:rsidR="009D60C2">
                              <w:rPr>
                                <w:rFonts w:ascii="Arial"/>
                                <w:color w:val="FFFFFF"/>
                                <w:sz w:val="40"/>
                              </w:rPr>
                              <w:t>elines</w:t>
                            </w:r>
                            <w:r>
                              <w:rPr>
                                <w:rFonts w:ascii="Arial"/>
                                <w:color w:val="FFFFFF"/>
                                <w:sz w:val="40"/>
                              </w:rPr>
                              <w:t xml:space="preserve"> Document</w:t>
                            </w:r>
                          </w:p>
                        </w:txbxContent>
                      </wps:txbx>
                      <wps:bodyPr rot="0" vert="horz" wrap="square" lIns="0" tIns="0" rIns="0" bIns="0" anchor="t" anchorCtr="0" upright="1">
                        <a:noAutofit/>
                      </wps:bodyPr>
                    </wps:wsp>
                  </a:graphicData>
                </a:graphic>
              </wp:inline>
            </w:drawing>
          </mc:Choice>
          <mc:Fallback>
            <w:pict>
              <v:shape w14:anchorId="0DD64248" id="Text Box 5" o:spid="_x0000_s1027" type="#_x0000_t202" style="width:306pt;height: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" fillcolor="#500000" stroked="f">
                <v:textbox inset="0,0,0,0">
                  <w:txbxContent>
                    <w:p w14:paraId="0DD64251" w14:textId="6559A072" w:rsidR="00305D2F" w:rsidRDefault="00FF73E2">
                      <w:pPr>
                        <w:spacing w:before="240"/>
                        <w:ind w:left="344"/>
                        <w:rPr>
                          <w:rFonts w:ascii="Arial"/>
                          <w:sz w:val="40"/>
                        </w:rPr>
                      </w:pPr>
                      <w:bookmarkStart w:id="2" w:name="Guidance_Document_10-12-2022"/>
                      <w:bookmarkEnd w:id="2"/>
                      <w:r>
                        <w:rPr>
                          <w:rFonts w:ascii="Arial"/>
                          <w:color w:val="FFFFFF"/>
                          <w:sz w:val="40"/>
                        </w:rPr>
                        <w:t>Guid</w:t>
                      </w:r>
                      <w:r w:rsidR="009D60C2">
                        <w:rPr>
                          <w:rFonts w:ascii="Arial"/>
                          <w:color w:val="FFFFFF"/>
                          <w:sz w:val="40"/>
                        </w:rPr>
                        <w:t>elines</w:t>
                      </w:r>
                      <w:r>
                        <w:rPr>
                          <w:rFonts w:ascii="Arial"/>
                          <w:color w:val="FFFFFF"/>
                          <w:sz w:val="40"/>
                        </w:rPr>
                        <w:t xml:space="preserve"> Document</w:t>
                      </w:r>
                    </w:p>
                  </w:txbxContent>
                </v:textbox>
                <w10:anchorlock/>
              </v:shape>
            </w:pict>
          </mc:Fallback>
        </mc:AlternateContent>
      </w:r>
    </w:p>
    <w:p w14:paraId="0DD6421B" w14:textId="71FF0E89" w:rsidR="00305D2F" w:rsidRDefault="00FF73E2">
      <w:pPr>
        <w:tabs>
          <w:tab w:val="left" w:pos="10939"/>
        </w:tabs>
        <w:spacing w:before="130"/>
        <w:ind w:left="140"/>
        <w:rPr>
          <w:rFonts w:ascii="Arial"/>
          <w:b/>
          <w:color w:val="FFFFFF"/>
          <w:sz w:val="18"/>
          <w:shd w:val="clear" w:color="auto" w:fill="000000"/>
        </w:rPr>
      </w:pPr>
      <w:r>
        <w:rPr>
          <w:rFonts w:ascii="Times New Roman"/>
          <w:color w:val="FFFFFF"/>
          <w:sz w:val="18"/>
          <w:shd w:val="clear" w:color="auto" w:fill="000000"/>
        </w:rPr>
        <w:t xml:space="preserve">  </w:t>
      </w:r>
      <w:r>
        <w:rPr>
          <w:rFonts w:ascii="Times New Roman"/>
          <w:color w:val="FFFFFF"/>
          <w:spacing w:val="-15"/>
          <w:sz w:val="18"/>
          <w:shd w:val="clear" w:color="auto" w:fill="000000"/>
        </w:rPr>
        <w:t xml:space="preserve"> </w:t>
      </w:r>
      <w:r w:rsidR="009D60C2">
        <w:rPr>
          <w:rFonts w:ascii="Arial"/>
          <w:b/>
          <w:color w:val="FFFFFF"/>
          <w:sz w:val="18"/>
          <w:shd w:val="clear" w:color="auto" w:fill="000000"/>
        </w:rPr>
        <w:t xml:space="preserve">Web Only Document 354 - </w:t>
      </w:r>
      <w:r w:rsidR="009D60C2" w:rsidRPr="009D60C2">
        <w:rPr>
          <w:rFonts w:ascii="Arial"/>
          <w:b/>
          <w:color w:val="FFFFFF"/>
          <w:sz w:val="18"/>
          <w:shd w:val="clear" w:color="auto" w:fill="000000"/>
        </w:rPr>
        <w:t>S</w:t>
      </w:r>
      <w:r w:rsidR="009D60C2">
        <w:rPr>
          <w:rFonts w:ascii="Arial"/>
          <w:b/>
          <w:color w:val="FFFFFF"/>
          <w:sz w:val="18"/>
          <w:shd w:val="clear" w:color="auto" w:fill="000000"/>
        </w:rPr>
        <w:t>afe</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and</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Effective</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Temporary</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Traffic</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Control</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for</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Mobile</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Operations</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on</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Two-Lane</w:t>
      </w:r>
      <w:r w:rsidR="009D60C2" w:rsidRPr="009D60C2">
        <w:rPr>
          <w:rFonts w:ascii="Arial"/>
          <w:b/>
          <w:color w:val="FFFFFF"/>
          <w:sz w:val="18"/>
          <w:shd w:val="clear" w:color="auto" w:fill="000000"/>
        </w:rPr>
        <w:t xml:space="preserve"> </w:t>
      </w:r>
      <w:r w:rsidR="009D60C2">
        <w:rPr>
          <w:rFonts w:ascii="Arial"/>
          <w:b/>
          <w:color w:val="FFFFFF"/>
          <w:sz w:val="18"/>
          <w:shd w:val="clear" w:color="auto" w:fill="000000"/>
        </w:rPr>
        <w:t>Roadways</w:t>
      </w:r>
      <w:r>
        <w:rPr>
          <w:rFonts w:ascii="Arial"/>
          <w:b/>
          <w:color w:val="FFFFFF"/>
          <w:sz w:val="18"/>
          <w:shd w:val="clear" w:color="auto" w:fill="000000"/>
        </w:rPr>
        <w:tab/>
      </w:r>
    </w:p>
    <w:p w14:paraId="6B855C72" w14:textId="253628A9" w:rsidR="003358EE" w:rsidRDefault="003358EE">
      <w:pPr>
        <w:tabs>
          <w:tab w:val="left" w:pos="10939"/>
        </w:tabs>
        <w:spacing w:before="130"/>
        <w:ind w:left="140"/>
        <w:rPr>
          <w:rFonts w:ascii="Arial"/>
          <w:b/>
          <w:sz w:val="18"/>
        </w:rPr>
      </w:pPr>
    </w:p>
    <w:p w14:paraId="361F4B90" w14:textId="37D886CA" w:rsidR="003358EE" w:rsidRPr="003358EE" w:rsidRDefault="003358EE" w:rsidP="00AC42DF">
      <w:pPr>
        <w:pStyle w:val="Heading3"/>
        <w:ind w:left="168" w:right="240"/>
        <w:rPr>
          <w:color w:val="500000"/>
        </w:rPr>
      </w:pPr>
      <w:r>
        <w:rPr>
          <w:color w:val="500000"/>
        </w:rPr>
        <w:t>Background</w:t>
      </w:r>
    </w:p>
    <w:p w14:paraId="5CBA6CB6" w14:textId="2F5E7E16" w:rsidR="003358EE" w:rsidRDefault="003358EE" w:rsidP="00AC42DF">
      <w:pPr>
        <w:pStyle w:val="BodyText"/>
        <w:spacing w:before="100" w:beforeAutospacing="1"/>
        <w:ind w:left="158" w:right="240"/>
      </w:pPr>
      <w:r>
        <w:t>Mobile operations on two-lane two-way roadways present unique challenges to</w:t>
      </w:r>
      <w:bookmarkStart w:id="3" w:name="Background"/>
      <w:bookmarkEnd w:id="3"/>
      <w:r>
        <w:t xml:space="preserve"> highway agencies. </w:t>
      </w:r>
      <w:r w:rsidR="00AC42DF">
        <w:t>These</w:t>
      </w:r>
      <w:r>
        <w:t xml:space="preserve"> operations vary in speed and length of the </w:t>
      </w:r>
      <w:r w:rsidR="00AC42DF">
        <w:t xml:space="preserve">work </w:t>
      </w:r>
      <w:r>
        <w:t xml:space="preserve">convoy and are performed on roadways with a variety of traffic and geometric conditions. Unpredictable driver behavior presents additional safety hazards for workers. The objective of this research project was to develop </w:t>
      </w:r>
      <w:r w:rsidR="009D60C2">
        <w:t>guidelines</w:t>
      </w:r>
      <w:r>
        <w:t xml:space="preserve"> for temporary traffic control procedures to improve safety and effectiveness of these operations.</w:t>
      </w:r>
    </w:p>
    <w:p w14:paraId="5A7DEB41" w14:textId="77777777" w:rsidR="00030DC4" w:rsidRDefault="00030DC4" w:rsidP="00AC42DF">
      <w:pPr>
        <w:pStyle w:val="Heading3"/>
        <w:ind w:left="168" w:right="240"/>
        <w:rPr>
          <w:color w:val="500000"/>
        </w:rPr>
      </w:pPr>
    </w:p>
    <w:p w14:paraId="1E05236F" w14:textId="4F21B086" w:rsidR="003358EE" w:rsidRDefault="003358EE" w:rsidP="00AC42DF">
      <w:pPr>
        <w:pStyle w:val="Heading3"/>
        <w:ind w:left="168" w:right="240"/>
        <w:rPr>
          <w:color w:val="500000"/>
        </w:rPr>
      </w:pPr>
      <w:r>
        <w:rPr>
          <w:color w:val="500000"/>
        </w:rPr>
        <w:t>State of the Practice</w:t>
      </w:r>
    </w:p>
    <w:p w14:paraId="14F5A983" w14:textId="0A35C425" w:rsidR="00E32E83" w:rsidRDefault="00E32E83" w:rsidP="00AC42DF">
      <w:pPr>
        <w:pStyle w:val="BodyText"/>
        <w:spacing w:before="100" w:beforeAutospacing="1"/>
        <w:ind w:left="158" w:right="240"/>
      </w:pPr>
      <w:r>
        <w:t xml:space="preserve">A review of current practices nationally identified many factors that influence temporary traffic control </w:t>
      </w:r>
      <w:r w:rsidR="00CD6CFA">
        <w:t xml:space="preserve">(TTC) </w:t>
      </w:r>
      <w:r>
        <w:t>decisions for mobile operations, including:</w:t>
      </w:r>
    </w:p>
    <w:p w14:paraId="2F74CFF2" w14:textId="77777777" w:rsidR="00E32E83" w:rsidRPr="00220E5C" w:rsidRDefault="00E32E83" w:rsidP="00AC42DF">
      <w:pPr>
        <w:pStyle w:val="BodyText"/>
        <w:numPr>
          <w:ilvl w:val="0"/>
          <w:numId w:val="8"/>
        </w:numPr>
        <w:spacing w:before="100" w:beforeAutospacing="1"/>
        <w:ind w:left="900" w:right="240"/>
      </w:pPr>
      <w:r w:rsidRPr="00220E5C">
        <w:t>Land use (rural versus urban).</w:t>
      </w:r>
    </w:p>
    <w:p w14:paraId="2F5A4A16" w14:textId="77777777" w:rsidR="00E32E83" w:rsidRPr="00220E5C" w:rsidRDefault="00E32E83" w:rsidP="00AC42DF">
      <w:pPr>
        <w:pStyle w:val="BodyText"/>
        <w:numPr>
          <w:ilvl w:val="0"/>
          <w:numId w:val="8"/>
        </w:numPr>
        <w:spacing w:before="100" w:beforeAutospacing="1"/>
        <w:ind w:left="900" w:right="240"/>
      </w:pPr>
      <w:r w:rsidRPr="00220E5C">
        <w:t>Terrain (flat versus rolling versus mountainous).</w:t>
      </w:r>
    </w:p>
    <w:p w14:paraId="35D8F94C" w14:textId="77777777" w:rsidR="00E32E83" w:rsidRPr="00220E5C" w:rsidRDefault="00E32E83" w:rsidP="00AC42DF">
      <w:pPr>
        <w:pStyle w:val="BodyText"/>
        <w:numPr>
          <w:ilvl w:val="0"/>
          <w:numId w:val="8"/>
        </w:numPr>
        <w:spacing w:before="100" w:beforeAutospacing="1"/>
        <w:ind w:left="900" w:right="240"/>
      </w:pPr>
      <w:r w:rsidRPr="00220E5C">
        <w:t>Available sight distance for approaching vehicles (from both directions).</w:t>
      </w:r>
    </w:p>
    <w:p w14:paraId="5FE0A123" w14:textId="2C0CB3DF" w:rsidR="00E32E83" w:rsidRPr="00220E5C" w:rsidRDefault="00E32E83" w:rsidP="00AC42DF">
      <w:pPr>
        <w:pStyle w:val="BodyText"/>
        <w:numPr>
          <w:ilvl w:val="0"/>
          <w:numId w:val="8"/>
        </w:numPr>
        <w:spacing w:before="100" w:beforeAutospacing="1"/>
        <w:ind w:left="900" w:right="240"/>
      </w:pPr>
      <w:r w:rsidRPr="00220E5C">
        <w:t>Speed limit</w:t>
      </w:r>
      <w:r w:rsidR="00AC42DF">
        <w:t xml:space="preserve"> (either the normal speed limit</w:t>
      </w:r>
      <w:r w:rsidRPr="00220E5C">
        <w:t xml:space="preserve"> or</w:t>
      </w:r>
      <w:r w:rsidR="00AC42DF">
        <w:t>,</w:t>
      </w:r>
      <w:r w:rsidRPr="00220E5C">
        <w:t xml:space="preserve"> if the mobile operation occurs within a defined construction zone, the reduced work zone speed limit in that zone).</w:t>
      </w:r>
    </w:p>
    <w:p w14:paraId="4792B553" w14:textId="77777777" w:rsidR="00E32E83" w:rsidRPr="00220E5C" w:rsidRDefault="00E32E83" w:rsidP="00AC42DF">
      <w:pPr>
        <w:pStyle w:val="BodyText"/>
        <w:numPr>
          <w:ilvl w:val="0"/>
          <w:numId w:val="8"/>
        </w:numPr>
        <w:spacing w:before="100" w:beforeAutospacing="1"/>
        <w:ind w:left="900" w:right="240"/>
      </w:pPr>
      <w:r w:rsidRPr="00220E5C">
        <w:t>Pavement width.</w:t>
      </w:r>
    </w:p>
    <w:p w14:paraId="6243036C" w14:textId="77777777" w:rsidR="00E32E83" w:rsidRPr="00220E5C" w:rsidRDefault="00E32E83" w:rsidP="00AC42DF">
      <w:pPr>
        <w:pStyle w:val="BodyText"/>
        <w:numPr>
          <w:ilvl w:val="0"/>
          <w:numId w:val="8"/>
        </w:numPr>
        <w:spacing w:before="100" w:beforeAutospacing="1"/>
        <w:ind w:left="900" w:right="240"/>
      </w:pPr>
      <w:r w:rsidRPr="00220E5C">
        <w:t>Shoulder availability (type, width, condition).</w:t>
      </w:r>
    </w:p>
    <w:p w14:paraId="3FE73102" w14:textId="77777777" w:rsidR="00E32E83" w:rsidRPr="00220E5C" w:rsidRDefault="00E32E83" w:rsidP="00AC42DF">
      <w:pPr>
        <w:pStyle w:val="BodyText"/>
        <w:numPr>
          <w:ilvl w:val="0"/>
          <w:numId w:val="8"/>
        </w:numPr>
        <w:spacing w:before="100" w:beforeAutospacing="1"/>
        <w:ind w:left="900" w:right="240"/>
      </w:pPr>
      <w:r w:rsidRPr="00220E5C">
        <w:t>Traffic (multiple metrics mentioned, including average daily traffic, hourly volumes, vehicle mix, driver familiarity).</w:t>
      </w:r>
    </w:p>
    <w:p w14:paraId="234FED59" w14:textId="77777777" w:rsidR="00E32E83" w:rsidRPr="00220E5C" w:rsidRDefault="00E32E83" w:rsidP="00AC42DF">
      <w:pPr>
        <w:pStyle w:val="BodyText"/>
        <w:numPr>
          <w:ilvl w:val="0"/>
          <w:numId w:val="8"/>
        </w:numPr>
        <w:spacing w:before="100" w:beforeAutospacing="1"/>
        <w:ind w:left="900" w:right="240"/>
      </w:pPr>
      <w:r w:rsidRPr="00220E5C">
        <w:t>Frequency of side roads and driveways.</w:t>
      </w:r>
    </w:p>
    <w:p w14:paraId="4C513E15" w14:textId="77777777" w:rsidR="00E32E83" w:rsidRPr="00220E5C" w:rsidRDefault="00E32E83" w:rsidP="00AC42DF">
      <w:pPr>
        <w:pStyle w:val="BodyText"/>
        <w:numPr>
          <w:ilvl w:val="0"/>
          <w:numId w:val="8"/>
        </w:numPr>
        <w:spacing w:before="100" w:beforeAutospacing="1"/>
        <w:ind w:left="900" w:right="240"/>
      </w:pPr>
      <w:r w:rsidRPr="00220E5C">
        <w:t>Time of day of the work activity.</w:t>
      </w:r>
    </w:p>
    <w:p w14:paraId="63C781CB" w14:textId="77777777" w:rsidR="00E32E83" w:rsidRPr="00220E5C" w:rsidRDefault="00E32E83" w:rsidP="00AC42DF">
      <w:pPr>
        <w:pStyle w:val="BodyText"/>
        <w:numPr>
          <w:ilvl w:val="0"/>
          <w:numId w:val="8"/>
        </w:numPr>
        <w:spacing w:before="100" w:beforeAutospacing="1"/>
        <w:ind w:left="900" w:right="240"/>
      </w:pPr>
      <w:r w:rsidRPr="00220E5C">
        <w:t>Season/weather conditions (affecting expected pavement conditions, amount of daylight available, etc.).</w:t>
      </w:r>
    </w:p>
    <w:p w14:paraId="77CB4499" w14:textId="77777777" w:rsidR="00E32E83" w:rsidRPr="00220E5C" w:rsidRDefault="00E32E83" w:rsidP="00AC42DF">
      <w:pPr>
        <w:pStyle w:val="BodyText"/>
        <w:numPr>
          <w:ilvl w:val="0"/>
          <w:numId w:val="8"/>
        </w:numPr>
        <w:spacing w:before="100" w:beforeAutospacing="1"/>
        <w:ind w:left="900" w:right="240"/>
      </w:pPr>
      <w:r w:rsidRPr="00220E5C">
        <w:t>Location of work within the right-of-way.</w:t>
      </w:r>
    </w:p>
    <w:p w14:paraId="4C13AB73" w14:textId="77777777" w:rsidR="00E32E83" w:rsidRPr="00220E5C" w:rsidRDefault="00E32E83" w:rsidP="00AC42DF">
      <w:pPr>
        <w:pStyle w:val="BodyText"/>
        <w:numPr>
          <w:ilvl w:val="0"/>
          <w:numId w:val="8"/>
        </w:numPr>
        <w:spacing w:before="100" w:beforeAutospacing="1"/>
        <w:ind w:left="900" w:right="240"/>
      </w:pPr>
      <w:r w:rsidRPr="00220E5C">
        <w:t>Progression of work (typically dependent upon type of work needed and level of effort required to accomplish work).</w:t>
      </w:r>
    </w:p>
    <w:p w14:paraId="29A53D03" w14:textId="77777777" w:rsidR="00E32E83" w:rsidRPr="00220E5C" w:rsidRDefault="00E32E83" w:rsidP="00AC42DF">
      <w:pPr>
        <w:pStyle w:val="BodyText"/>
        <w:numPr>
          <w:ilvl w:val="0"/>
          <w:numId w:val="8"/>
        </w:numPr>
        <w:spacing w:before="100" w:beforeAutospacing="1"/>
        <w:ind w:left="900" w:right="240"/>
      </w:pPr>
      <w:r w:rsidRPr="00220E5C">
        <w:t xml:space="preserve">Length of required </w:t>
      </w:r>
      <w:proofErr w:type="gramStart"/>
      <w:r w:rsidRPr="00220E5C">
        <w:t>work space</w:t>
      </w:r>
      <w:proofErr w:type="gramEnd"/>
      <w:r w:rsidRPr="00220E5C">
        <w:t xml:space="preserve"> (number of vehicles, distances between those vehicles).</w:t>
      </w:r>
    </w:p>
    <w:p w14:paraId="43225496" w14:textId="77777777" w:rsidR="00E32E83" w:rsidRPr="00220E5C" w:rsidRDefault="00E32E83" w:rsidP="00AC42DF">
      <w:pPr>
        <w:pStyle w:val="BodyText"/>
        <w:numPr>
          <w:ilvl w:val="0"/>
          <w:numId w:val="8"/>
        </w:numPr>
        <w:spacing w:before="100" w:beforeAutospacing="1"/>
        <w:ind w:left="900" w:right="240"/>
      </w:pPr>
      <w:r w:rsidRPr="00220E5C">
        <w:t xml:space="preserve">Expected opportunities for passing (related to traffic volumes, sight distance, and </w:t>
      </w:r>
      <w:proofErr w:type="gramStart"/>
      <w:r w:rsidRPr="00220E5C">
        <w:t>work space</w:t>
      </w:r>
      <w:proofErr w:type="gramEnd"/>
      <w:r w:rsidRPr="00220E5C">
        <w:t xml:space="preserve"> length factors listed above).</w:t>
      </w:r>
    </w:p>
    <w:p w14:paraId="1713D6B0" w14:textId="77777777" w:rsidR="00E32E83" w:rsidRPr="00220E5C" w:rsidRDefault="00E32E83" w:rsidP="00AC42DF">
      <w:pPr>
        <w:pStyle w:val="BodyText"/>
        <w:numPr>
          <w:ilvl w:val="0"/>
          <w:numId w:val="8"/>
        </w:numPr>
        <w:spacing w:before="100" w:beforeAutospacing="1"/>
        <w:ind w:left="900" w:right="240"/>
      </w:pPr>
      <w:r w:rsidRPr="00220E5C">
        <w:t>Whether workers will be on foot to complete the work activity.</w:t>
      </w:r>
    </w:p>
    <w:p w14:paraId="6F1FC965" w14:textId="77777777" w:rsidR="00E32E83" w:rsidRPr="00220E5C" w:rsidRDefault="00E32E83" w:rsidP="00AC42DF">
      <w:pPr>
        <w:pStyle w:val="BodyText"/>
        <w:numPr>
          <w:ilvl w:val="0"/>
          <w:numId w:val="8"/>
        </w:numPr>
        <w:spacing w:before="100" w:beforeAutospacing="1"/>
        <w:ind w:left="900" w:right="240"/>
      </w:pPr>
      <w:r w:rsidRPr="00220E5C">
        <w:t>Agency policy (maximum allowable delays, requirements stated in the specifications).</w:t>
      </w:r>
    </w:p>
    <w:p w14:paraId="317E0F05" w14:textId="12C52963" w:rsidR="00E32E83" w:rsidRPr="00220E5C" w:rsidRDefault="00E32E83" w:rsidP="00AC42DF">
      <w:pPr>
        <w:pStyle w:val="BodyText"/>
        <w:numPr>
          <w:ilvl w:val="0"/>
          <w:numId w:val="8"/>
        </w:numPr>
        <w:spacing w:before="100" w:beforeAutospacing="1"/>
        <w:ind w:left="900" w:right="240"/>
      </w:pPr>
      <w:r w:rsidRPr="00220E5C">
        <w:t xml:space="preserve">Institutional knowledge of work crew </w:t>
      </w:r>
      <w:r w:rsidR="00CD6CFA">
        <w:t>supervisor</w:t>
      </w:r>
      <w:r w:rsidRPr="00220E5C">
        <w:t xml:space="preserve"> (which roadways require a stationary TTC set-up for a given activity versus which ones can be accomplished using mobile operation TTC).</w:t>
      </w:r>
    </w:p>
    <w:p w14:paraId="4C12F8E0" w14:textId="77777777" w:rsidR="00E32E83" w:rsidRPr="00220E5C" w:rsidRDefault="00E32E83" w:rsidP="00AC42DF">
      <w:pPr>
        <w:pStyle w:val="BodyText"/>
        <w:numPr>
          <w:ilvl w:val="0"/>
          <w:numId w:val="8"/>
        </w:numPr>
        <w:spacing w:before="100" w:beforeAutospacing="1"/>
        <w:ind w:left="900" w:right="240"/>
      </w:pPr>
      <w:r w:rsidRPr="00220E5C">
        <w:t>Observations of traffic responses to the chosen TTC approach (is the TTC approach causing excessive delays, are drivers screeching tires to stop in time, are motorists complaining, etc.).</w:t>
      </w:r>
    </w:p>
    <w:p w14:paraId="28455543" w14:textId="7C0C11C1" w:rsidR="00DE240C" w:rsidRPr="00030DC4" w:rsidRDefault="00E32E83" w:rsidP="00AC42DF">
      <w:pPr>
        <w:pStyle w:val="BodyText"/>
        <w:spacing w:before="100" w:beforeAutospacing="1"/>
        <w:ind w:left="158" w:right="240"/>
      </w:pPr>
      <w:r>
        <w:t xml:space="preserve">Because of the wide range of factors and conditions that influence </w:t>
      </w:r>
      <w:r w:rsidR="00FD4F62">
        <w:t xml:space="preserve">TTC </w:t>
      </w:r>
      <w:r>
        <w:t>decision-making, s</w:t>
      </w:r>
      <w:r w:rsidR="00DE240C" w:rsidRPr="00030DC4">
        <w:t xml:space="preserve">ignificant differences in TTC strategies exist between continuously moving operations (in which workers remain in work vehicles and the convoy progresses at a constant pace) and intermittently moving operations (in which workers are typically on foot, the work activity is stationary for a short period of time, and </w:t>
      </w:r>
      <w:r w:rsidR="00DE240C" w:rsidRPr="00030DC4">
        <w:lastRenderedPageBreak/>
        <w:t xml:space="preserve">then workers move quickly to the next location). </w:t>
      </w:r>
      <w:r w:rsidR="000A44E3">
        <w:t xml:space="preserve">Some </w:t>
      </w:r>
      <w:r w:rsidR="00FD4F62">
        <w:t>common practices include the following:</w:t>
      </w:r>
    </w:p>
    <w:p w14:paraId="06E4ACC2" w14:textId="1E056E34" w:rsidR="00DE240C" w:rsidRPr="00030DC4" w:rsidRDefault="00FD4F62" w:rsidP="00AC42DF">
      <w:pPr>
        <w:pStyle w:val="BodyText"/>
        <w:numPr>
          <w:ilvl w:val="0"/>
          <w:numId w:val="5"/>
        </w:numPr>
        <w:spacing w:before="100" w:beforeAutospacing="1"/>
        <w:ind w:right="240"/>
      </w:pPr>
      <w:r>
        <w:t>Some a</w:t>
      </w:r>
      <w:r w:rsidR="00DE240C" w:rsidRPr="00030DC4">
        <w:t xml:space="preserve">gencies </w:t>
      </w:r>
      <w:r w:rsidR="00220E5C">
        <w:t>base</w:t>
      </w:r>
      <w:r>
        <w:t xml:space="preserve"> their definition of a mobile operation</w:t>
      </w:r>
      <w:r w:rsidR="00220E5C">
        <w:t xml:space="preserve"> on how long the operation can stop in the lane, while others base</w:t>
      </w:r>
      <w:r>
        <w:t xml:space="preserve"> it </w:t>
      </w:r>
      <w:r w:rsidR="00220E5C">
        <w:t xml:space="preserve">on the </w:t>
      </w:r>
      <w:r>
        <w:t xml:space="preserve">average </w:t>
      </w:r>
      <w:r w:rsidR="00220E5C">
        <w:t xml:space="preserve">speed of </w:t>
      </w:r>
      <w:r w:rsidR="000A44E3">
        <w:t xml:space="preserve">the </w:t>
      </w:r>
      <w:r w:rsidR="00220E5C">
        <w:t>work convoy.</w:t>
      </w:r>
    </w:p>
    <w:p w14:paraId="0DC4318C" w14:textId="024E490D" w:rsidR="00DE240C" w:rsidRPr="00030DC4" w:rsidRDefault="00FD4F62" w:rsidP="00AC42DF">
      <w:pPr>
        <w:pStyle w:val="BodyText"/>
        <w:numPr>
          <w:ilvl w:val="0"/>
          <w:numId w:val="5"/>
        </w:numPr>
        <w:spacing w:before="100" w:beforeAutospacing="1"/>
        <w:ind w:right="240"/>
      </w:pPr>
      <w:r>
        <w:t>Some</w:t>
      </w:r>
      <w:r w:rsidR="00DE240C" w:rsidRPr="00030DC4">
        <w:t xml:space="preserve"> agencies do not allow workers on foot while using mobile operation traffic control. </w:t>
      </w:r>
    </w:p>
    <w:p w14:paraId="3AAD7BA3" w14:textId="65D69572" w:rsidR="00DE240C" w:rsidRPr="00030DC4" w:rsidRDefault="00FD4F62" w:rsidP="00AC42DF">
      <w:pPr>
        <w:pStyle w:val="BodyText"/>
        <w:numPr>
          <w:ilvl w:val="0"/>
          <w:numId w:val="5"/>
        </w:numPr>
        <w:spacing w:before="100" w:beforeAutospacing="1"/>
        <w:ind w:right="240"/>
      </w:pPr>
      <w:r>
        <w:t>D</w:t>
      </w:r>
      <w:r w:rsidR="00DE240C" w:rsidRPr="00030DC4">
        <w:t>epending on the type of work and speed limit of the roadway</w:t>
      </w:r>
      <w:r>
        <w:t>,</w:t>
      </w:r>
      <w:r w:rsidR="00DE240C" w:rsidRPr="00030DC4">
        <w:t xml:space="preserve"> mobile work convoys can vary in length from 100 ft to 1500 ft.</w:t>
      </w:r>
    </w:p>
    <w:p w14:paraId="2C6CE366" w14:textId="192564D8" w:rsidR="00DE240C" w:rsidRPr="00030DC4" w:rsidRDefault="00E92C5C" w:rsidP="00AC42DF">
      <w:pPr>
        <w:pStyle w:val="BodyText"/>
        <w:numPr>
          <w:ilvl w:val="0"/>
          <w:numId w:val="5"/>
        </w:numPr>
        <w:spacing w:before="100" w:beforeAutospacing="1"/>
        <w:ind w:right="240"/>
      </w:pPr>
      <w:r>
        <w:t>In addition to speed limit and sight distance considerations, s</w:t>
      </w:r>
      <w:r w:rsidR="00DE240C" w:rsidRPr="00030DC4">
        <w:t xml:space="preserve">pacings of the convoy </w:t>
      </w:r>
      <w:r w:rsidR="00220E5C">
        <w:t xml:space="preserve">vehicles </w:t>
      </w:r>
      <w:r w:rsidR="00FD4F62">
        <w:t>are</w:t>
      </w:r>
      <w:r w:rsidR="000A44E3">
        <w:t xml:space="preserve"> </w:t>
      </w:r>
      <w:r>
        <w:t xml:space="preserve">also sometimes </w:t>
      </w:r>
      <w:r w:rsidR="000A44E3">
        <w:t>based on</w:t>
      </w:r>
      <w:r w:rsidR="00DE240C" w:rsidRPr="00030DC4">
        <w:t xml:space="preserve"> paint drying time.</w:t>
      </w:r>
    </w:p>
    <w:p w14:paraId="685C88F5" w14:textId="22D97CF4" w:rsidR="00DE240C" w:rsidRPr="00030DC4" w:rsidRDefault="00E92C5C" w:rsidP="00AC42DF">
      <w:pPr>
        <w:pStyle w:val="BodyText"/>
        <w:numPr>
          <w:ilvl w:val="0"/>
          <w:numId w:val="5"/>
        </w:numPr>
        <w:spacing w:before="100" w:beforeAutospacing="1"/>
        <w:ind w:right="240"/>
      </w:pPr>
      <w:r>
        <w:t xml:space="preserve">Minimum </w:t>
      </w:r>
      <w:r w:rsidR="00DE240C" w:rsidRPr="00030DC4">
        <w:t>roll-ahead distances</w:t>
      </w:r>
      <w:r>
        <w:t xml:space="preserve"> between</w:t>
      </w:r>
      <w:r w:rsidR="00DE240C" w:rsidRPr="00030DC4">
        <w:t xml:space="preserve"> </w:t>
      </w:r>
      <w:r w:rsidRPr="00030DC4">
        <w:t xml:space="preserve">the shadow vehicle </w:t>
      </w:r>
      <w:r w:rsidR="000A44E3">
        <w:t xml:space="preserve">(with a truck-mounted attenuator) </w:t>
      </w:r>
      <w:r w:rsidRPr="00030DC4">
        <w:t xml:space="preserve">and </w:t>
      </w:r>
      <w:r>
        <w:t xml:space="preserve">downstream </w:t>
      </w:r>
      <w:r w:rsidRPr="00030DC4">
        <w:t xml:space="preserve">work vehicle </w:t>
      </w:r>
      <w:r>
        <w:t>also infl</w:t>
      </w:r>
      <w:r w:rsidR="000A44E3">
        <w:t>uence convoy spacing decisions.</w:t>
      </w:r>
    </w:p>
    <w:p w14:paraId="3D506274" w14:textId="7662E419" w:rsidR="00EB2547" w:rsidRDefault="00DE240C" w:rsidP="00AC42DF">
      <w:pPr>
        <w:pStyle w:val="BodyText"/>
        <w:numPr>
          <w:ilvl w:val="0"/>
          <w:numId w:val="5"/>
        </w:numPr>
        <w:spacing w:before="100" w:beforeAutospacing="1"/>
        <w:ind w:right="240"/>
      </w:pPr>
      <w:r w:rsidRPr="00030DC4">
        <w:t xml:space="preserve">Many </w:t>
      </w:r>
      <w:r w:rsidR="00E92C5C">
        <w:t xml:space="preserve">agency </w:t>
      </w:r>
      <w:r w:rsidRPr="00030DC4">
        <w:t xml:space="preserve">guidelines include </w:t>
      </w:r>
      <w:r w:rsidR="00E92C5C">
        <w:t>directives</w:t>
      </w:r>
      <w:r w:rsidRPr="00030DC4">
        <w:t xml:space="preserve"> to place the shadow vehicle where it is visible to oncoming drivers</w:t>
      </w:r>
      <w:r w:rsidR="00E92C5C">
        <w:t xml:space="preserve"> (</w:t>
      </w:r>
      <w:r w:rsidRPr="00030DC4">
        <w:t xml:space="preserve">either stopping sight distance or decision sight distance </w:t>
      </w:r>
      <w:r w:rsidR="00E92C5C">
        <w:t xml:space="preserve">are typically used to determine where to place </w:t>
      </w:r>
      <w:r w:rsidR="000011BA">
        <w:t xml:space="preserve">the </w:t>
      </w:r>
      <w:r w:rsidR="00E92C5C">
        <w:t>shadow vehicle)</w:t>
      </w:r>
      <w:r w:rsidRPr="00030DC4">
        <w:t>.</w:t>
      </w:r>
    </w:p>
    <w:p w14:paraId="62FAF443" w14:textId="4CC0E3FF" w:rsidR="00DE240C" w:rsidRPr="00030DC4" w:rsidRDefault="00DE240C" w:rsidP="00AC42DF">
      <w:pPr>
        <w:pStyle w:val="BodyText"/>
        <w:numPr>
          <w:ilvl w:val="0"/>
          <w:numId w:val="5"/>
        </w:numPr>
        <w:spacing w:before="100" w:beforeAutospacing="1"/>
        <w:ind w:right="240"/>
      </w:pPr>
      <w:r w:rsidRPr="00030DC4">
        <w:t xml:space="preserve">Although some agencies use stationary warning signs in advance of the operation, </w:t>
      </w:r>
      <w:r w:rsidR="00EF4AF6">
        <w:t xml:space="preserve">agencies recognize that </w:t>
      </w:r>
      <w:r w:rsidRPr="00030DC4">
        <w:t>drivers may not encounter the work operation until they are several miles past the signs.</w:t>
      </w:r>
      <w:r w:rsidR="00EF4AF6">
        <w:t xml:space="preserve"> Consequently, many agencies mount warning signs on </w:t>
      </w:r>
      <w:r w:rsidR="00EF4AF6" w:rsidRPr="00030DC4">
        <w:t xml:space="preserve">vehicles </w:t>
      </w:r>
      <w:r w:rsidR="00EF4AF6">
        <w:t>that</w:t>
      </w:r>
      <w:r w:rsidR="00EF4AF6" w:rsidRPr="00030DC4">
        <w:t xml:space="preserve"> advance </w:t>
      </w:r>
      <w:r w:rsidR="00CD6CFA">
        <w:t xml:space="preserve">along </w:t>
      </w:r>
      <w:r w:rsidR="00EF4AF6" w:rsidRPr="00030DC4">
        <w:t>with the work operation.</w:t>
      </w:r>
    </w:p>
    <w:p w14:paraId="50798927" w14:textId="7319BCAA" w:rsidR="00DE240C" w:rsidRPr="00030DC4" w:rsidRDefault="00EF4AF6" w:rsidP="00AC42DF">
      <w:pPr>
        <w:pStyle w:val="BodyText"/>
        <w:numPr>
          <w:ilvl w:val="0"/>
          <w:numId w:val="5"/>
        </w:numPr>
        <w:spacing w:before="100" w:beforeAutospacing="1"/>
        <w:ind w:right="240"/>
      </w:pPr>
      <w:r>
        <w:t>For striping operations, some agencies place t</w:t>
      </w:r>
      <w:r w:rsidR="00DE240C" w:rsidRPr="00030DC4">
        <w:t xml:space="preserve">raffic cones </w:t>
      </w:r>
      <w:r>
        <w:t xml:space="preserve">on the centerline </w:t>
      </w:r>
      <w:r w:rsidR="00DE240C" w:rsidRPr="00030DC4">
        <w:t xml:space="preserve">to reduce tracking of paint and discourage passing during striping operations. </w:t>
      </w:r>
    </w:p>
    <w:p w14:paraId="58AFCF92" w14:textId="1CACB141" w:rsidR="00DE240C" w:rsidRPr="00030DC4" w:rsidRDefault="00500D3C" w:rsidP="00AC42DF">
      <w:pPr>
        <w:pStyle w:val="BodyText"/>
        <w:numPr>
          <w:ilvl w:val="0"/>
          <w:numId w:val="5"/>
        </w:numPr>
        <w:spacing w:before="100" w:beforeAutospacing="1"/>
        <w:ind w:right="240"/>
      </w:pPr>
      <w:r>
        <w:t xml:space="preserve">Significant variations exist amongst agencies regarding allowances for vehicle operations around different work operations.  Some agencies allow </w:t>
      </w:r>
      <w:r w:rsidR="00DE240C" w:rsidRPr="00030DC4">
        <w:t xml:space="preserve">passing </w:t>
      </w:r>
      <w:r>
        <w:t xml:space="preserve">on </w:t>
      </w:r>
      <w:r w:rsidR="00DE240C" w:rsidRPr="00030DC4">
        <w:t>the left of the operation</w:t>
      </w:r>
      <w:r>
        <w:t xml:space="preserve">, although a few agencies prohibit drivers from passing certain operations by posting DO NOT PASS signs. A few agencies </w:t>
      </w:r>
      <w:r w:rsidR="00BE4233" w:rsidRPr="00030DC4">
        <w:t xml:space="preserve">allow passing on the right shoulder when a suitable driving surface is available. </w:t>
      </w:r>
    </w:p>
    <w:p w14:paraId="52D4BF4E" w14:textId="77777777" w:rsidR="00450789" w:rsidRDefault="00BE4233" w:rsidP="00AC42DF">
      <w:pPr>
        <w:pStyle w:val="BodyText"/>
        <w:numPr>
          <w:ilvl w:val="0"/>
          <w:numId w:val="5"/>
        </w:numPr>
        <w:spacing w:before="100" w:beforeAutospacing="1"/>
        <w:ind w:right="240"/>
      </w:pPr>
      <w:r>
        <w:t xml:space="preserve">Several agencies </w:t>
      </w:r>
      <w:r w:rsidR="00DE240C" w:rsidRPr="00030DC4">
        <w:t xml:space="preserve">incorporate the use of flaggers using a variety of strategies into their mobile operation traffic control. </w:t>
      </w:r>
    </w:p>
    <w:p w14:paraId="0AC0BECE" w14:textId="51C78965" w:rsidR="00450789" w:rsidRDefault="00450789" w:rsidP="00450789">
      <w:pPr>
        <w:pStyle w:val="BodyText"/>
        <w:numPr>
          <w:ilvl w:val="1"/>
          <w:numId w:val="5"/>
        </w:numPr>
        <w:spacing w:before="100" w:beforeAutospacing="1"/>
        <w:ind w:right="240"/>
      </w:pPr>
      <w:r>
        <w:t xml:space="preserve">One strategy is to use </w:t>
      </w:r>
      <w:r w:rsidR="00AE6011">
        <w:t>one or two flaggers on an occasional basis at locations where sight distance is limited. No advance warning signs or channelizing devices are used. If traffic volumes are low, the flagger server prim</w:t>
      </w:r>
      <w:r>
        <w:t xml:space="preserve">arily as spotters to ensure that vehicles can negotiate a passing maneuver around the work activity with encountering an oncoming vehicle. Figure 1 shows an example of how Iowa Department of Transportation uses this strategy. </w:t>
      </w:r>
      <w:r w:rsidR="00AE6011">
        <w:t xml:space="preserve"> </w:t>
      </w:r>
    </w:p>
    <w:p w14:paraId="6AF9AF5A" w14:textId="3814188D" w:rsidR="00450789" w:rsidRDefault="00450789" w:rsidP="00450789">
      <w:pPr>
        <w:pStyle w:val="BodyText"/>
        <w:numPr>
          <w:ilvl w:val="1"/>
          <w:numId w:val="5"/>
        </w:numPr>
        <w:spacing w:before="100" w:beforeAutospacing="1"/>
        <w:ind w:right="240"/>
      </w:pPr>
      <w:r>
        <w:t xml:space="preserve">Another strategy is to use one or two flaggers that move along with the work </w:t>
      </w:r>
      <w:proofErr w:type="gramStart"/>
      <w:r>
        <w:t>activity, but</w:t>
      </w:r>
      <w:proofErr w:type="gramEnd"/>
      <w:r>
        <w:t xml:space="preserve"> remain within the limits of stationary advance warning signs placed at each end of the planned work area. F</w:t>
      </w:r>
      <w:r w:rsidR="002F35A6">
        <w:t>igure 2 shows an</w:t>
      </w:r>
      <w:r>
        <w:t xml:space="preserve"> example of how I</w:t>
      </w:r>
      <w:r w:rsidR="002F35A6">
        <w:t>llinois</w:t>
      </w:r>
      <w:r>
        <w:t xml:space="preserve"> Department of Transportation uses this strategy.</w:t>
      </w:r>
    </w:p>
    <w:p w14:paraId="3A8605A4" w14:textId="3EE95E4A" w:rsidR="002F35A6" w:rsidRDefault="00450789" w:rsidP="002F35A6">
      <w:pPr>
        <w:pStyle w:val="BodyText"/>
        <w:numPr>
          <w:ilvl w:val="1"/>
          <w:numId w:val="5"/>
        </w:numPr>
        <w:spacing w:before="100" w:beforeAutospacing="1"/>
        <w:ind w:right="240"/>
      </w:pPr>
      <w:r>
        <w:t xml:space="preserve">A third strategy is to use two flaggers that </w:t>
      </w:r>
      <w:r w:rsidR="002F35A6">
        <w:t xml:space="preserve">move along with the work activity and use additional FLAGGER AHEAD advance warning signs to ensure that the distance between the last FLAGGER AHEAD warning sign and the work operation is not excessive. Figure 3 shows an example of how </w:t>
      </w:r>
      <w:r w:rsidR="00FC0E54">
        <w:t>Minnesota</w:t>
      </w:r>
      <w:r w:rsidR="002F35A6">
        <w:t xml:space="preserve"> Department of Transportation uses this strategy.</w:t>
      </w:r>
    </w:p>
    <w:p w14:paraId="60494A09" w14:textId="6A84B31B" w:rsidR="002F35A6" w:rsidRDefault="002F35A6" w:rsidP="00450789">
      <w:pPr>
        <w:pStyle w:val="BodyText"/>
        <w:numPr>
          <w:ilvl w:val="1"/>
          <w:numId w:val="5"/>
        </w:numPr>
        <w:spacing w:before="100" w:beforeAutospacing="1"/>
        <w:ind w:right="240"/>
      </w:pPr>
      <w:r>
        <w:t>A fourth strategy is to reposition the entire set of advance warning signs at predetermined intervals</w:t>
      </w:r>
      <w:r w:rsidR="00D32E45">
        <w:t xml:space="preserve"> as the work activity progresses. Figure 4 shows an example of how Missouri Department of Transportation uses this strategy.</w:t>
      </w:r>
    </w:p>
    <w:p w14:paraId="1D856706" w14:textId="57272C00" w:rsidR="00D32E45" w:rsidRDefault="00D32E45">
      <w:pPr>
        <w:rPr>
          <w:sz w:val="24"/>
          <w:szCs w:val="24"/>
        </w:rPr>
      </w:pPr>
      <w:r>
        <w:br w:type="page"/>
      </w:r>
    </w:p>
    <w:p w14:paraId="14CFE6C7" w14:textId="06D50D8E" w:rsidR="00AC42DF" w:rsidRDefault="00AC42DF" w:rsidP="00D32E45">
      <w:pPr>
        <w:pStyle w:val="BodyText"/>
        <w:spacing w:before="100" w:beforeAutospacing="1"/>
        <w:ind w:left="1238" w:right="240"/>
      </w:pPr>
    </w:p>
    <w:p w14:paraId="6569859E" w14:textId="52296CC8" w:rsidR="00D32E45" w:rsidRDefault="00DB00CB" w:rsidP="00FC0E54">
      <w:pPr>
        <w:pStyle w:val="BodyText"/>
        <w:jc w:val="center"/>
      </w:pPr>
      <w:r w:rsidRPr="00FC0E54">
        <w:rPr>
          <w:noProof/>
        </w:rPr>
        <w:drawing>
          <wp:inline distT="0" distB="0" distL="0" distR="0" wp14:anchorId="1A3F164A" wp14:editId="2FEC9062">
            <wp:extent cx="7010400" cy="4500880"/>
            <wp:effectExtent l="0" t="254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010400" cy="4500880"/>
                    </a:xfrm>
                    <a:prstGeom prst="rect">
                      <a:avLst/>
                    </a:prstGeom>
                  </pic:spPr>
                </pic:pic>
              </a:graphicData>
            </a:graphic>
          </wp:inline>
        </w:drawing>
      </w:r>
    </w:p>
    <w:p w14:paraId="2A2366C4" w14:textId="4809B93C" w:rsidR="00D32E45" w:rsidRDefault="00D32E45" w:rsidP="00D32E45">
      <w:pPr>
        <w:pStyle w:val="Caption-alt"/>
      </w:pPr>
      <w:r>
        <w:t xml:space="preserve">Figure 1. Iowa Department of Transportation </w:t>
      </w:r>
      <w:r w:rsidR="00FC0E54">
        <w:t>TC-231 for Slow Moving Vehicle Using Flaggers (</w:t>
      </w:r>
      <w:r w:rsidR="00FC0E54" w:rsidRPr="00FC0E54">
        <w:rPr>
          <w:i/>
        </w:rPr>
        <w:t>1</w:t>
      </w:r>
      <w:r w:rsidR="00FC0E54">
        <w:t>)</w:t>
      </w:r>
      <w:r>
        <w:t>.</w:t>
      </w:r>
    </w:p>
    <w:p w14:paraId="0DE91A35" w14:textId="23540245" w:rsidR="00D32E45" w:rsidRDefault="00D32E45">
      <w:pPr>
        <w:rPr>
          <w:b/>
        </w:rPr>
      </w:pPr>
      <w:r>
        <w:br w:type="page"/>
      </w:r>
    </w:p>
    <w:p w14:paraId="68E7E103" w14:textId="0DAB473B" w:rsidR="00D32E45" w:rsidRDefault="00D32E45" w:rsidP="00D32E45">
      <w:pPr>
        <w:pStyle w:val="Caption-alt"/>
      </w:pPr>
    </w:p>
    <w:p w14:paraId="7ED8498C" w14:textId="4A8A69A8" w:rsidR="00D32E45" w:rsidRDefault="00D32E45" w:rsidP="00D32E45">
      <w:pPr>
        <w:pStyle w:val="Caption-alt"/>
      </w:pPr>
    </w:p>
    <w:p w14:paraId="3B043E27" w14:textId="6B3B6558" w:rsidR="00D32E45" w:rsidRDefault="007A5C34" w:rsidP="00D32E45">
      <w:pPr>
        <w:pStyle w:val="Caption-alt"/>
      </w:pPr>
      <w:r>
        <w:rPr>
          <w:noProof/>
        </w:rPr>
        <w:drawing>
          <wp:inline distT="0" distB="0" distL="0" distR="0" wp14:anchorId="6A536515" wp14:editId="5F80B070">
            <wp:extent cx="4938395" cy="2682240"/>
            <wp:effectExtent l="19050" t="19050" r="1460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8395" cy="2682240"/>
                    </a:xfrm>
                    <a:prstGeom prst="rect">
                      <a:avLst/>
                    </a:prstGeom>
                    <a:noFill/>
                    <a:ln>
                      <a:solidFill>
                        <a:schemeClr val="tx1"/>
                      </a:solidFill>
                    </a:ln>
                  </pic:spPr>
                </pic:pic>
              </a:graphicData>
            </a:graphic>
          </wp:inline>
        </w:drawing>
      </w:r>
    </w:p>
    <w:p w14:paraId="61941D42" w14:textId="5549758B" w:rsidR="00D32E45" w:rsidRPr="00D32E45" w:rsidRDefault="00D32E45" w:rsidP="00D32E45">
      <w:pPr>
        <w:pStyle w:val="Caption-alt"/>
      </w:pPr>
      <w:r>
        <w:t xml:space="preserve">Figure 2. Illinois Department of Transportation </w:t>
      </w:r>
      <w:r w:rsidR="007A5C34">
        <w:t>WZ-22 for Moving Operations (</w:t>
      </w:r>
      <w:r w:rsidR="007A5C34" w:rsidRPr="007A5C34">
        <w:rPr>
          <w:i/>
        </w:rPr>
        <w:t>2</w:t>
      </w:r>
      <w:r w:rsidR="007A5C34">
        <w:t>).</w:t>
      </w:r>
    </w:p>
    <w:p w14:paraId="4BA77141" w14:textId="21101ECB" w:rsidR="00D32E45" w:rsidRDefault="00D32E45">
      <w:pPr>
        <w:rPr>
          <w:sz w:val="24"/>
          <w:szCs w:val="24"/>
        </w:rPr>
      </w:pPr>
      <w:r>
        <w:br w:type="page"/>
      </w:r>
    </w:p>
    <w:p w14:paraId="027A1BA1" w14:textId="77777777" w:rsidR="00D32E45" w:rsidRDefault="00D32E45" w:rsidP="00D32E45">
      <w:pPr>
        <w:pStyle w:val="BodyText"/>
        <w:spacing w:before="100" w:beforeAutospacing="1"/>
        <w:ind w:left="1238" w:right="240"/>
      </w:pPr>
    </w:p>
    <w:p w14:paraId="482B0E38" w14:textId="77777777" w:rsidR="00D32E45" w:rsidRDefault="00D32E45" w:rsidP="00D32E45">
      <w:pPr>
        <w:jc w:val="center"/>
      </w:pPr>
      <w:r>
        <w:rPr>
          <w:noProof/>
        </w:rPr>
        <w:drawing>
          <wp:inline distT="0" distB="0" distL="0" distR="0" wp14:anchorId="0248A993" wp14:editId="389E1337">
            <wp:extent cx="4389755" cy="6468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755" cy="6468110"/>
                    </a:xfrm>
                    <a:prstGeom prst="rect">
                      <a:avLst/>
                    </a:prstGeom>
                    <a:noFill/>
                  </pic:spPr>
                </pic:pic>
              </a:graphicData>
            </a:graphic>
          </wp:inline>
        </w:drawing>
      </w:r>
    </w:p>
    <w:p w14:paraId="36CD6066" w14:textId="77777777" w:rsidR="00D32E45" w:rsidRDefault="00D32E45" w:rsidP="00D32E45"/>
    <w:p w14:paraId="7FF7EBAA" w14:textId="02AFBB23" w:rsidR="00D32E45" w:rsidRDefault="00D32E45" w:rsidP="00D32E45">
      <w:pPr>
        <w:pStyle w:val="Caption-alt"/>
        <w:ind w:right="240"/>
      </w:pPr>
      <w:r>
        <w:t xml:space="preserve">Figure 3. Minnesota Department of Transportation Layout 17 for Moving </w:t>
      </w:r>
      <w:proofErr w:type="gramStart"/>
      <w:r>
        <w:t>Work Spaces</w:t>
      </w:r>
      <w:proofErr w:type="gramEnd"/>
      <w:r w:rsidR="00B82049">
        <w:t xml:space="preserve"> (</w:t>
      </w:r>
      <w:r w:rsidR="00B82049" w:rsidRPr="00B82049">
        <w:rPr>
          <w:i/>
        </w:rPr>
        <w:t>3</w:t>
      </w:r>
      <w:r w:rsidR="00B82049">
        <w:t>)</w:t>
      </w:r>
      <w:r>
        <w:t>.</w:t>
      </w:r>
    </w:p>
    <w:p w14:paraId="6518C4F4" w14:textId="77777777" w:rsidR="00D32E45" w:rsidRDefault="00D32E45" w:rsidP="00D32E45">
      <w:pPr>
        <w:rPr>
          <w:b/>
        </w:rPr>
      </w:pPr>
      <w:r>
        <w:br w:type="page"/>
      </w:r>
    </w:p>
    <w:p w14:paraId="53C202D1" w14:textId="77777777" w:rsidR="00D32E45" w:rsidRDefault="00D32E45" w:rsidP="00D32E45">
      <w:pPr>
        <w:pStyle w:val="BodyText"/>
        <w:spacing w:before="100" w:beforeAutospacing="1"/>
        <w:ind w:left="1238" w:right="240"/>
      </w:pPr>
    </w:p>
    <w:p w14:paraId="1346C445" w14:textId="77777777" w:rsidR="0062109C" w:rsidRDefault="0062109C" w:rsidP="0062109C">
      <w:pPr>
        <w:pStyle w:val="Caption-alt"/>
        <w:ind w:right="240"/>
      </w:pPr>
      <w:r>
        <w:rPr>
          <w:noProof/>
        </w:rPr>
        <w:drawing>
          <wp:inline distT="0" distB="0" distL="0" distR="0" wp14:anchorId="7CE0F96A" wp14:editId="2DFC7DF5">
            <wp:extent cx="4572000" cy="346526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65265"/>
                    </a:xfrm>
                    <a:prstGeom prst="rect">
                      <a:avLst/>
                    </a:prstGeom>
                    <a:noFill/>
                  </pic:spPr>
                </pic:pic>
              </a:graphicData>
            </a:graphic>
          </wp:inline>
        </w:drawing>
      </w:r>
    </w:p>
    <w:p w14:paraId="1CE44969" w14:textId="7744E3B5" w:rsidR="0062109C" w:rsidRDefault="0062109C" w:rsidP="0062109C">
      <w:pPr>
        <w:pStyle w:val="Caption-alt"/>
        <w:ind w:right="240"/>
      </w:pPr>
      <w:r>
        <w:t xml:space="preserve">Figure </w:t>
      </w:r>
      <w:r w:rsidR="00D32E45">
        <w:t>4</w:t>
      </w:r>
      <w:r>
        <w:t xml:space="preserve">. Missouri Department of Transportation </w:t>
      </w:r>
      <w:r w:rsidR="00AE6011">
        <w:t>TA-10d</w:t>
      </w:r>
      <w:r>
        <w:t xml:space="preserve"> for </w:t>
      </w:r>
      <w:r w:rsidR="00AE6011">
        <w:t>Flagger Control Resurfacing or Moving Operation</w:t>
      </w:r>
      <w:r w:rsidR="00B82049">
        <w:t xml:space="preserve"> (</w:t>
      </w:r>
      <w:r w:rsidR="00B82049" w:rsidRPr="00B82049">
        <w:rPr>
          <w:i/>
        </w:rPr>
        <w:t>4</w:t>
      </w:r>
      <w:r w:rsidR="00B82049">
        <w:t>)</w:t>
      </w:r>
      <w:r>
        <w:t>.</w:t>
      </w:r>
    </w:p>
    <w:p w14:paraId="49507B35" w14:textId="4AE785C0" w:rsidR="00220E5C" w:rsidRDefault="000B2DE5" w:rsidP="00AC42DF">
      <w:pPr>
        <w:pStyle w:val="BodyText"/>
        <w:spacing w:before="100" w:beforeAutospacing="1"/>
        <w:ind w:left="158" w:right="240"/>
      </w:pPr>
      <w:r>
        <w:t xml:space="preserve">Despite the TTC </w:t>
      </w:r>
      <w:r w:rsidR="009D60C2">
        <w:t>guidelines</w:t>
      </w:r>
      <w:r>
        <w:t xml:space="preserve"> that agencies have developed for their mobile operations on two-lane highways, m</w:t>
      </w:r>
      <w:r w:rsidR="00BE4233">
        <w:t xml:space="preserve">any agencies </w:t>
      </w:r>
      <w:r>
        <w:t xml:space="preserve">still </w:t>
      </w:r>
      <w:r w:rsidR="00DB1ABB" w:rsidRPr="00DB1ABB">
        <w:t>struggle with the trade-offs between using stationary lane closures that are perceived to provide a higher level of safety and control (but are not practical for the conditions) and using mobile TTC operations.</w:t>
      </w:r>
      <w:r w:rsidR="00DB1ABB">
        <w:t xml:space="preserve"> </w:t>
      </w:r>
      <w:r>
        <w:t>Other challenges to mobile operations cited by agencies include the following:</w:t>
      </w:r>
    </w:p>
    <w:p w14:paraId="62EF9FB0" w14:textId="77777777" w:rsidR="00DB1ABB" w:rsidRPr="00DB1ABB" w:rsidRDefault="00DB1ABB" w:rsidP="00AC42DF">
      <w:pPr>
        <w:pStyle w:val="BodyText"/>
        <w:numPr>
          <w:ilvl w:val="0"/>
          <w:numId w:val="6"/>
        </w:numPr>
        <w:spacing w:before="100" w:beforeAutospacing="1"/>
        <w:ind w:left="900" w:right="240"/>
      </w:pPr>
      <w:r w:rsidRPr="00DB1ABB">
        <w:t>Unpredictable driver behavior (disobeying DO NOT PASS signs, passing errors, distracted/inattentive, impaired, speeding, tailgating, striking TMA or end of queue).</w:t>
      </w:r>
    </w:p>
    <w:p w14:paraId="1DCE0818" w14:textId="2645815E" w:rsidR="00DB1ABB" w:rsidRPr="00DB1ABB" w:rsidRDefault="00DB1ABB" w:rsidP="00AC42DF">
      <w:pPr>
        <w:pStyle w:val="BodyText"/>
        <w:numPr>
          <w:ilvl w:val="0"/>
          <w:numId w:val="6"/>
        </w:numPr>
        <w:spacing w:before="100" w:beforeAutospacing="1"/>
        <w:ind w:left="900" w:right="240"/>
      </w:pPr>
      <w:r w:rsidRPr="00DB1ABB">
        <w:t>Communicating passing instructions (or prohibitions) to motorist</w:t>
      </w:r>
      <w:r w:rsidR="000B2DE5">
        <w:t>s</w:t>
      </w:r>
      <w:r w:rsidRPr="00DB1ABB">
        <w:t>.</w:t>
      </w:r>
    </w:p>
    <w:p w14:paraId="04193C71" w14:textId="77777777" w:rsidR="00DB1ABB" w:rsidRPr="00DB1ABB" w:rsidRDefault="00DB1ABB" w:rsidP="00AC42DF">
      <w:pPr>
        <w:pStyle w:val="BodyText"/>
        <w:numPr>
          <w:ilvl w:val="0"/>
          <w:numId w:val="6"/>
        </w:numPr>
        <w:spacing w:before="100" w:beforeAutospacing="1"/>
        <w:ind w:left="900" w:right="240"/>
      </w:pPr>
      <w:r w:rsidRPr="00DB1ABB">
        <w:t>Managing side road traffic, pedestrians, and school zones.</w:t>
      </w:r>
    </w:p>
    <w:p w14:paraId="2B8BB2CE" w14:textId="054D43A4" w:rsidR="00EB2547" w:rsidRDefault="00DB1ABB" w:rsidP="00AC42DF">
      <w:pPr>
        <w:pStyle w:val="BodyText"/>
        <w:numPr>
          <w:ilvl w:val="0"/>
          <w:numId w:val="6"/>
        </w:numPr>
        <w:spacing w:before="100" w:beforeAutospacing="1"/>
        <w:ind w:left="900" w:right="240"/>
      </w:pPr>
      <w:r w:rsidRPr="00DB1ABB">
        <w:t xml:space="preserve">Determining acceptable distance between </w:t>
      </w:r>
      <w:r w:rsidR="00EB2547">
        <w:t xml:space="preserve">the </w:t>
      </w:r>
      <w:r w:rsidR="00CD6CFA">
        <w:t xml:space="preserve">work </w:t>
      </w:r>
      <w:r w:rsidRPr="00DB1ABB">
        <w:t>operation and stationary</w:t>
      </w:r>
      <w:r w:rsidR="00EB2547">
        <w:t xml:space="preserve"> advance warning signs.</w:t>
      </w:r>
    </w:p>
    <w:p w14:paraId="76B6F21A" w14:textId="40CA4A28" w:rsidR="00DB1ABB" w:rsidRPr="00DB1ABB" w:rsidRDefault="00DB1ABB" w:rsidP="00AC42DF">
      <w:pPr>
        <w:pStyle w:val="BodyText"/>
        <w:numPr>
          <w:ilvl w:val="0"/>
          <w:numId w:val="6"/>
        </w:numPr>
        <w:spacing w:before="100" w:beforeAutospacing="1"/>
        <w:ind w:left="900" w:right="240"/>
      </w:pPr>
      <w:r w:rsidRPr="00DB1ABB">
        <w:t>Insufficient staffing and equipment resources.</w:t>
      </w:r>
    </w:p>
    <w:p w14:paraId="6372C6E1" w14:textId="77777777" w:rsidR="00DB1ABB" w:rsidRPr="00DB1ABB" w:rsidRDefault="00DB1ABB" w:rsidP="00AC42DF">
      <w:pPr>
        <w:pStyle w:val="BodyText"/>
        <w:numPr>
          <w:ilvl w:val="0"/>
          <w:numId w:val="6"/>
        </w:numPr>
        <w:spacing w:before="100" w:beforeAutospacing="1"/>
        <w:ind w:left="900" w:right="240"/>
      </w:pPr>
      <w:r w:rsidRPr="00DB1ABB">
        <w:t>Managing the length of the work convoy (number and spacing of vehicles).</w:t>
      </w:r>
    </w:p>
    <w:p w14:paraId="07D381E5" w14:textId="77777777" w:rsidR="00AC42DF" w:rsidRDefault="00AC42DF" w:rsidP="00AC42DF">
      <w:pPr>
        <w:ind w:right="240"/>
      </w:pPr>
    </w:p>
    <w:p w14:paraId="560A8E8F" w14:textId="4FAC415A" w:rsidR="003358EE" w:rsidRDefault="000B2DE5" w:rsidP="00AC42DF">
      <w:pPr>
        <w:pStyle w:val="Heading3"/>
        <w:ind w:left="168" w:right="240"/>
        <w:rPr>
          <w:color w:val="500000"/>
        </w:rPr>
      </w:pPr>
      <w:r>
        <w:rPr>
          <w:color w:val="500000"/>
        </w:rPr>
        <w:t xml:space="preserve">Driver Passing Behavior </w:t>
      </w:r>
      <w:proofErr w:type="gramStart"/>
      <w:r w:rsidR="000A44E3">
        <w:rPr>
          <w:color w:val="500000"/>
        </w:rPr>
        <w:t>around</w:t>
      </w:r>
      <w:proofErr w:type="gramEnd"/>
      <w:r>
        <w:rPr>
          <w:color w:val="500000"/>
        </w:rPr>
        <w:t xml:space="preserve"> Mobile Work Operations</w:t>
      </w:r>
    </w:p>
    <w:p w14:paraId="1F29C1D2" w14:textId="77777777" w:rsidR="00B82049" w:rsidRDefault="00B82049" w:rsidP="00B82049">
      <w:pPr>
        <w:pStyle w:val="BodyText"/>
      </w:pPr>
    </w:p>
    <w:p w14:paraId="07D7E958" w14:textId="1531E5C4" w:rsidR="00B82049" w:rsidRDefault="00B82049" w:rsidP="00B82049">
      <w:pPr>
        <w:pStyle w:val="BodyText"/>
      </w:pPr>
      <w:r>
        <w:t xml:space="preserve">Observations of driver behaviors around mobile work operations in Texas and Minnesota yielded </w:t>
      </w:r>
      <w:proofErr w:type="gramStart"/>
      <w:r>
        <w:t>a number of</w:t>
      </w:r>
      <w:proofErr w:type="gramEnd"/>
      <w:r>
        <w:t xml:space="preserve"> important insights into potential strategies to improve safety around these types of operations. Specifically, improper passing by motorists farther back in a queue following a mobile work operation frequently created vehicle-to-vehicle conflicts (see Figure 5) that have the potential to adversely affect both motorist and worker safety. </w:t>
      </w:r>
    </w:p>
    <w:p w14:paraId="1F899993" w14:textId="7B3E67B4" w:rsidR="00B82049" w:rsidRDefault="00B82049" w:rsidP="00B82049">
      <w:pPr>
        <w:pStyle w:val="BodyText"/>
      </w:pPr>
    </w:p>
    <w:p w14:paraId="241D4F04" w14:textId="6D574809" w:rsidR="00B82049" w:rsidRDefault="00B82049" w:rsidP="00B82049">
      <w:pPr>
        <w:pStyle w:val="BodyText"/>
      </w:pPr>
    </w:p>
    <w:p w14:paraId="1891E535" w14:textId="77777777" w:rsidR="00B82049" w:rsidRDefault="00B82049" w:rsidP="00B82049">
      <w:pPr>
        <w:pStyle w:val="Caption-alt"/>
      </w:pPr>
      <w:r>
        <w:rPr>
          <w:noProof/>
        </w:rPr>
        <w:lastRenderedPageBreak/>
        <w:drawing>
          <wp:inline distT="0" distB="0" distL="0" distR="0" wp14:anchorId="6C2FBCAE" wp14:editId="7E664AA8">
            <wp:extent cx="3711575" cy="1983105"/>
            <wp:effectExtent l="0" t="0" r="3175"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1575" cy="1983105"/>
                    </a:xfrm>
                    <a:prstGeom prst="rect">
                      <a:avLst/>
                    </a:prstGeom>
                  </pic:spPr>
                </pic:pic>
              </a:graphicData>
            </a:graphic>
          </wp:inline>
        </w:drawing>
      </w:r>
    </w:p>
    <w:p w14:paraId="0CC5F470" w14:textId="354AFB27" w:rsidR="000A44E3" w:rsidRPr="000A44E3" w:rsidRDefault="00F005FC" w:rsidP="00B82049">
      <w:pPr>
        <w:pStyle w:val="Caption-alt"/>
      </w:pPr>
      <w:r>
        <w:t xml:space="preserve">Figure </w:t>
      </w:r>
      <w:r w:rsidR="00B82049">
        <w:t>5</w:t>
      </w:r>
      <w:r>
        <w:t>. Example of a Passing Conflict.</w:t>
      </w:r>
    </w:p>
    <w:p w14:paraId="5FBDC932" w14:textId="0377AA18" w:rsidR="00F005FC" w:rsidRDefault="00966A54" w:rsidP="00AC42DF">
      <w:pPr>
        <w:pStyle w:val="BodyText"/>
        <w:spacing w:before="100" w:beforeAutospacing="1"/>
        <w:ind w:right="240"/>
      </w:pPr>
      <w:r>
        <w:t xml:space="preserve">Based on the observed data, it appears that the likelihood of such improper passing maneuvers is dependent upon how long vehicles must follow one another in queue while following the mobile operation.  As shown in Figure </w:t>
      </w:r>
      <w:r w:rsidR="00B82049">
        <w:t>6</w:t>
      </w:r>
      <w:r>
        <w:t xml:space="preserve">, there is a 20 percent likelihood that impatient drivers will pass a mobile operation from an undesirable position in the vehicle queue following the work operation even when the amount of time spent waiting to reach the first position in the queue is </w:t>
      </w:r>
      <w:proofErr w:type="gramStart"/>
      <w:r>
        <w:t>fairly low</w:t>
      </w:r>
      <w:proofErr w:type="gramEnd"/>
      <w:r>
        <w:t xml:space="preserve"> (2 minutes or less). However, as the amount of time spent waiting to reach the first position in the queue approaches 4 to 5 minutes, the probability of undesirable passing maneuvers occurring increases significantly (exceeding 50 percent). Finally, when the amount of time spent waiting to reach the first position in the queue is 6 minutes or more, there is a high probability of impatient drivers passing a mobile operation from an undesirable position in the queue </w:t>
      </w:r>
      <w:r w:rsidR="000A44E3">
        <w:t>following the mobile operation.</w:t>
      </w:r>
    </w:p>
    <w:p w14:paraId="165D6BDA" w14:textId="77777777" w:rsidR="000A44E3" w:rsidRDefault="000A44E3" w:rsidP="00AC42DF">
      <w:pPr>
        <w:pStyle w:val="BodyText"/>
        <w:spacing w:before="100" w:beforeAutospacing="1"/>
        <w:ind w:right="240"/>
      </w:pPr>
    </w:p>
    <w:p w14:paraId="1338D677" w14:textId="1583647F" w:rsidR="00F005FC" w:rsidRDefault="001E10F4" w:rsidP="00AC42DF">
      <w:pPr>
        <w:pStyle w:val="BodyText"/>
        <w:spacing w:before="82" w:line="290" w:lineRule="auto"/>
        <w:ind w:left="153" w:right="240"/>
        <w:jc w:val="center"/>
      </w:pPr>
      <w:r>
        <w:rPr>
          <w:noProof/>
        </w:rPr>
        <w:drawing>
          <wp:inline distT="0" distB="0" distL="0" distR="0" wp14:anchorId="6E205E7B" wp14:editId="7B27D7B2">
            <wp:extent cx="3965775" cy="291379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41" cy="2946321"/>
                    </a:xfrm>
                    <a:prstGeom prst="rect">
                      <a:avLst/>
                    </a:prstGeom>
                    <a:noFill/>
                  </pic:spPr>
                </pic:pic>
              </a:graphicData>
            </a:graphic>
          </wp:inline>
        </w:drawing>
      </w:r>
    </w:p>
    <w:p w14:paraId="06884B81" w14:textId="5D61DB52" w:rsidR="00F005FC" w:rsidRDefault="00F005FC" w:rsidP="00AC42DF">
      <w:pPr>
        <w:pStyle w:val="Caption-alt"/>
        <w:ind w:right="240"/>
      </w:pPr>
      <w:r>
        <w:t xml:space="preserve">Figure </w:t>
      </w:r>
      <w:r w:rsidR="00B82049">
        <w:t>6</w:t>
      </w:r>
      <w:r>
        <w:t>. Probability of Occurrence of Undesirable Passing Maneuvers.</w:t>
      </w:r>
    </w:p>
    <w:p w14:paraId="7A7352F8" w14:textId="0B59F719" w:rsidR="001E10F4" w:rsidRDefault="001E10F4" w:rsidP="00AC42DF">
      <w:pPr>
        <w:pStyle w:val="BodyText"/>
        <w:spacing w:before="100" w:beforeAutospacing="1"/>
        <w:ind w:left="135" w:right="240"/>
      </w:pPr>
      <w:r>
        <w:t xml:space="preserve">Based on the findings, </w:t>
      </w:r>
      <w:r w:rsidR="00966A54">
        <w:t xml:space="preserve">it is recommended </w:t>
      </w:r>
      <w:r>
        <w:t>that:</w:t>
      </w:r>
    </w:p>
    <w:p w14:paraId="62507338" w14:textId="7D9DD930" w:rsidR="001E10F4" w:rsidRDefault="003D3062" w:rsidP="00AC42DF">
      <w:pPr>
        <w:pStyle w:val="BodyText"/>
        <w:numPr>
          <w:ilvl w:val="0"/>
          <w:numId w:val="3"/>
        </w:numPr>
        <w:spacing w:before="100" w:beforeAutospacing="1"/>
        <w:ind w:left="720" w:right="240" w:hanging="360"/>
      </w:pPr>
      <w:r>
        <w:t>Transportation agencies</w:t>
      </w:r>
      <w:r w:rsidR="001E10F4" w:rsidRPr="001E10F4">
        <w:t xml:space="preserve"> strive to avoid creating conditions where multiple vehicles will queue (or platoon) behind the work operation and </w:t>
      </w:r>
      <w:proofErr w:type="gramStart"/>
      <w:r w:rsidR="001E10F4" w:rsidRPr="001E10F4">
        <w:t>have to</w:t>
      </w:r>
      <w:proofErr w:type="gramEnd"/>
      <w:r w:rsidR="001E10F4" w:rsidRPr="001E10F4">
        <w:t xml:space="preserve"> remain in that queue for more than </w:t>
      </w:r>
      <w:r w:rsidR="00CD6CFA">
        <w:t>four</w:t>
      </w:r>
      <w:r w:rsidR="001E10F4" w:rsidRPr="001E10F4">
        <w:t xml:space="preserve"> minutes</w:t>
      </w:r>
      <w:r w:rsidR="001E10F4">
        <w:t>.</w:t>
      </w:r>
      <w:r w:rsidR="00C4190C">
        <w:t xml:space="preserve"> Selecting work periods where traffic volumes are lower is recommended.</w:t>
      </w:r>
    </w:p>
    <w:p w14:paraId="6CC4CC68" w14:textId="52961577" w:rsidR="001E10F4" w:rsidRPr="001E10F4" w:rsidRDefault="001E10F4" w:rsidP="00AC42DF">
      <w:pPr>
        <w:pStyle w:val="ListParagraph"/>
        <w:numPr>
          <w:ilvl w:val="0"/>
          <w:numId w:val="3"/>
        </w:numPr>
        <w:spacing w:before="100" w:beforeAutospacing="1"/>
        <w:ind w:left="720" w:right="240" w:hanging="360"/>
        <w:rPr>
          <w:sz w:val="24"/>
          <w:szCs w:val="24"/>
        </w:rPr>
      </w:pPr>
      <w:r w:rsidRPr="001E10F4">
        <w:rPr>
          <w:sz w:val="24"/>
          <w:szCs w:val="24"/>
        </w:rPr>
        <w:t xml:space="preserve">If roadway and traffic conditions are such that longer elapsed times following the queue </w:t>
      </w:r>
      <w:r w:rsidR="00966A54">
        <w:rPr>
          <w:sz w:val="24"/>
          <w:szCs w:val="24"/>
        </w:rPr>
        <w:t xml:space="preserve">are likely </w:t>
      </w:r>
      <w:r w:rsidR="00966A54">
        <w:rPr>
          <w:sz w:val="24"/>
          <w:szCs w:val="24"/>
        </w:rPr>
        <w:lastRenderedPageBreak/>
        <w:t xml:space="preserve">to </w:t>
      </w:r>
      <w:r w:rsidRPr="001E10F4">
        <w:rPr>
          <w:sz w:val="24"/>
          <w:szCs w:val="24"/>
        </w:rPr>
        <w:t xml:space="preserve">occur, the work crew should </w:t>
      </w:r>
      <w:r w:rsidR="00966A54">
        <w:rPr>
          <w:sz w:val="24"/>
          <w:szCs w:val="24"/>
        </w:rPr>
        <w:t xml:space="preserve">be directed to </w:t>
      </w:r>
      <w:r w:rsidRPr="001E10F4">
        <w:rPr>
          <w:sz w:val="24"/>
          <w:szCs w:val="24"/>
        </w:rPr>
        <w:t xml:space="preserve">plan to </w:t>
      </w:r>
      <w:r w:rsidR="003D3062">
        <w:rPr>
          <w:sz w:val="24"/>
          <w:szCs w:val="24"/>
        </w:rPr>
        <w:t xml:space="preserve">pull over and </w:t>
      </w:r>
      <w:r w:rsidRPr="001E10F4">
        <w:rPr>
          <w:sz w:val="24"/>
          <w:szCs w:val="24"/>
        </w:rPr>
        <w:t>vacate the travel lane to allow vehicles to pass.</w:t>
      </w:r>
      <w:r w:rsidR="00966A54">
        <w:rPr>
          <w:sz w:val="24"/>
          <w:szCs w:val="24"/>
        </w:rPr>
        <w:t xml:space="preserve"> Agency pre-planning of potential pull-off locations along a section of roadway would help work crews implement these directions.</w:t>
      </w:r>
    </w:p>
    <w:p w14:paraId="686031C2" w14:textId="73AE7B0E" w:rsidR="001E10F4" w:rsidRDefault="001E10F4" w:rsidP="00AC42DF">
      <w:pPr>
        <w:pStyle w:val="ListParagraph"/>
        <w:numPr>
          <w:ilvl w:val="0"/>
          <w:numId w:val="3"/>
        </w:numPr>
        <w:spacing w:before="100" w:beforeAutospacing="1"/>
        <w:ind w:left="720" w:right="240" w:hanging="360"/>
        <w:rPr>
          <w:sz w:val="24"/>
          <w:szCs w:val="24"/>
        </w:rPr>
      </w:pPr>
      <w:r w:rsidRPr="001E10F4">
        <w:rPr>
          <w:sz w:val="24"/>
          <w:szCs w:val="24"/>
        </w:rPr>
        <w:t xml:space="preserve">If </w:t>
      </w:r>
      <w:r w:rsidR="00966A54">
        <w:rPr>
          <w:sz w:val="24"/>
          <w:szCs w:val="24"/>
        </w:rPr>
        <w:t xml:space="preserve">prior experiences or analysis of a planned mobile operation on a roadway suggests that queues are likely to be created with </w:t>
      </w:r>
      <w:r w:rsidRPr="001E10F4">
        <w:rPr>
          <w:sz w:val="24"/>
          <w:szCs w:val="24"/>
        </w:rPr>
        <w:t xml:space="preserve">long elapsed </w:t>
      </w:r>
      <w:r w:rsidR="00966A54">
        <w:rPr>
          <w:sz w:val="24"/>
          <w:szCs w:val="24"/>
        </w:rPr>
        <w:t xml:space="preserve">following </w:t>
      </w:r>
      <w:r w:rsidRPr="001E10F4">
        <w:rPr>
          <w:sz w:val="24"/>
          <w:szCs w:val="24"/>
        </w:rPr>
        <w:t xml:space="preserve">times </w:t>
      </w:r>
      <w:r w:rsidR="00966A54">
        <w:rPr>
          <w:sz w:val="24"/>
          <w:szCs w:val="24"/>
        </w:rPr>
        <w:t xml:space="preserve">and there are not suitable locations for the work convoy to pull over </w:t>
      </w:r>
      <w:r w:rsidRPr="001E10F4">
        <w:rPr>
          <w:sz w:val="24"/>
          <w:szCs w:val="24"/>
        </w:rPr>
        <w:t>to allow vehicles to pass, a stationary work zone with positive traffic control methods (</w:t>
      </w:r>
      <w:proofErr w:type="gramStart"/>
      <w:r w:rsidRPr="001E10F4">
        <w:rPr>
          <w:sz w:val="24"/>
          <w:szCs w:val="24"/>
        </w:rPr>
        <w:t>e.g.</w:t>
      </w:r>
      <w:proofErr w:type="gramEnd"/>
      <w:r w:rsidRPr="001E10F4">
        <w:rPr>
          <w:sz w:val="24"/>
          <w:szCs w:val="24"/>
        </w:rPr>
        <w:t xml:space="preserve"> flaggers, portable signals, etc.) should be </w:t>
      </w:r>
      <w:r w:rsidR="00966A54">
        <w:rPr>
          <w:sz w:val="24"/>
          <w:szCs w:val="24"/>
        </w:rPr>
        <w:t>considered</w:t>
      </w:r>
      <w:r w:rsidRPr="001E10F4">
        <w:rPr>
          <w:sz w:val="24"/>
          <w:szCs w:val="24"/>
        </w:rPr>
        <w:t>.</w:t>
      </w:r>
    </w:p>
    <w:p w14:paraId="5C13C308" w14:textId="37C87CFF" w:rsidR="001E10F4" w:rsidRDefault="001E10F4" w:rsidP="00AC42DF">
      <w:pPr>
        <w:ind w:right="240"/>
        <w:rPr>
          <w:rFonts w:ascii="Arial"/>
          <w:b/>
          <w:sz w:val="18"/>
        </w:rPr>
      </w:pPr>
    </w:p>
    <w:p w14:paraId="6EC578DB" w14:textId="77BEE103" w:rsidR="00DB00CB" w:rsidRDefault="00DB00CB" w:rsidP="00DB00CB">
      <w:pPr>
        <w:pStyle w:val="Heading3"/>
        <w:ind w:left="168" w:right="240"/>
        <w:rPr>
          <w:color w:val="500000"/>
        </w:rPr>
      </w:pPr>
      <w:r>
        <w:rPr>
          <w:color w:val="500000"/>
        </w:rPr>
        <w:t>References</w:t>
      </w:r>
    </w:p>
    <w:p w14:paraId="70CB20B4" w14:textId="285022E0" w:rsidR="00DB00CB" w:rsidRPr="00DB00CB" w:rsidRDefault="00DB00CB" w:rsidP="00DB00CB">
      <w:pPr>
        <w:pStyle w:val="BodyText"/>
      </w:pPr>
    </w:p>
    <w:p w14:paraId="2556A0E0" w14:textId="7306CC93" w:rsidR="00DB00CB" w:rsidRDefault="00DB00CB" w:rsidP="00DB00CB">
      <w:pPr>
        <w:pStyle w:val="BodyText"/>
        <w:numPr>
          <w:ilvl w:val="0"/>
          <w:numId w:val="9"/>
        </w:numPr>
      </w:pPr>
      <w:r w:rsidRPr="00DB00CB">
        <w:t>“Slow Moving Vehicle Operating in the Traffic Lane,” TC-231, Standard Road Plans, Iowa Department of Transportation, October 2017, Available at:</w:t>
      </w:r>
      <w:r>
        <w:t xml:space="preserve"> </w:t>
      </w:r>
      <w:hyperlink r:id="rId15" w:history="1">
        <w:r w:rsidRPr="001C2729">
          <w:rPr>
            <w:rStyle w:val="Hyperlink"/>
          </w:rPr>
          <w:t>https://iowadot.gov/design/SRP/IndividualStandards/tc231.pdf</w:t>
        </w:r>
      </w:hyperlink>
      <w:r w:rsidRPr="00DB00CB">
        <w:t xml:space="preserve">. Accessed </w:t>
      </w:r>
      <w:r>
        <w:t>November 30</w:t>
      </w:r>
      <w:r w:rsidRPr="00DB00CB">
        <w:t>, 202</w:t>
      </w:r>
      <w:r>
        <w:t>2</w:t>
      </w:r>
      <w:r w:rsidRPr="00DB00CB">
        <w:t>.</w:t>
      </w:r>
    </w:p>
    <w:p w14:paraId="3C6B2370" w14:textId="153D7DA8" w:rsidR="00FC0E54" w:rsidRDefault="00FC0E54" w:rsidP="0004180A">
      <w:pPr>
        <w:pStyle w:val="BodyText"/>
        <w:numPr>
          <w:ilvl w:val="0"/>
          <w:numId w:val="9"/>
        </w:numPr>
      </w:pPr>
      <w:r>
        <w:t xml:space="preserve">Traffic Control Field Manual for IDOT Employees, Illinois Department of Transportation, Springfield, Illinois, April 2016. Available at: </w:t>
      </w:r>
      <w:hyperlink r:id="rId16" w:history="1">
        <w:r w:rsidRPr="001C2729">
          <w:rPr>
            <w:rStyle w:val="Hyperlink"/>
          </w:rPr>
          <w:t>https://idot.illinois.gov/Assets/uploads/files/Doing-Business/Manuals-Guides-&amp;-Handbooks/Highways/Safety-Engineering/Traffic%20Control%20Field%20Manual%20for%20IDOT%20Employees%20(April%202016).pdf</w:t>
        </w:r>
      </w:hyperlink>
      <w:r>
        <w:t>. Accessed November 30</w:t>
      </w:r>
      <w:r w:rsidRPr="00DB00CB">
        <w:t>, 202</w:t>
      </w:r>
      <w:r>
        <w:t>2.</w:t>
      </w:r>
    </w:p>
    <w:p w14:paraId="2CE885F6" w14:textId="6C8D942E" w:rsidR="00FC0E54" w:rsidRPr="00FC0E54" w:rsidRDefault="00FC0E54" w:rsidP="007A5C34">
      <w:pPr>
        <w:pStyle w:val="BodyText"/>
        <w:numPr>
          <w:ilvl w:val="0"/>
          <w:numId w:val="9"/>
        </w:numPr>
      </w:pPr>
      <w:r w:rsidRPr="00FC0E54">
        <w:t xml:space="preserve">Minnesota Temporary Traffic Control Field Manual, Minnesota Department of Transportation, St. Paul, Minnesota, January 2018. Available at: </w:t>
      </w:r>
      <w:hyperlink r:id="rId17" w:history="1">
        <w:r w:rsidRPr="001C2729">
          <w:rPr>
            <w:rStyle w:val="Hyperlink"/>
          </w:rPr>
          <w:t>https://www.dot.state.mn.us/trafficeng/publ/fieldmanual/fieldmanual.pdf</w:t>
        </w:r>
      </w:hyperlink>
      <w:r w:rsidRPr="00FC0E54">
        <w:t xml:space="preserve">. Accessed </w:t>
      </w:r>
      <w:r w:rsidR="007A5C34">
        <w:t>November 30, 2022.</w:t>
      </w:r>
    </w:p>
    <w:p w14:paraId="6F6ED01B" w14:textId="071012C9" w:rsidR="007A5C34" w:rsidRPr="007A5C34" w:rsidRDefault="007A5C34" w:rsidP="007A5C34">
      <w:pPr>
        <w:pStyle w:val="BodyText"/>
        <w:numPr>
          <w:ilvl w:val="0"/>
          <w:numId w:val="9"/>
        </w:numPr>
      </w:pPr>
      <w:r w:rsidRPr="007A5C34">
        <w:t xml:space="preserve">“Flagger Control Resurfacing or Moving Operation One-Lane Two-Way Operation-DE/CM,” Design/Construction and Materials Figure Number 616.8.10d, Engineering Policy Guide, Missouri Department of Transportation, Jefferson City, Missouri, August 2019. Available at: </w:t>
      </w:r>
      <w:hyperlink r:id="rId18" w:history="1">
        <w:r w:rsidRPr="001C2729">
          <w:rPr>
            <w:rStyle w:val="Hyperlink"/>
          </w:rPr>
          <w:t>https://epg.modot.org/files/0/0a/616.8.10d_DECM_2016.pdf</w:t>
        </w:r>
      </w:hyperlink>
      <w:r w:rsidRPr="007A5C34">
        <w:t xml:space="preserve">. Accessed </w:t>
      </w:r>
      <w:r>
        <w:t>November 30, 2022</w:t>
      </w:r>
      <w:r w:rsidRPr="007A5C34">
        <w:t>.</w:t>
      </w:r>
    </w:p>
    <w:p w14:paraId="66E31178" w14:textId="77777777" w:rsidR="00FC0E54" w:rsidRPr="00DB00CB" w:rsidRDefault="00FC0E54" w:rsidP="007A5C34">
      <w:pPr>
        <w:pStyle w:val="BodyText"/>
        <w:ind w:left="360"/>
      </w:pPr>
    </w:p>
    <w:p w14:paraId="4EC928C4" w14:textId="20C51444" w:rsidR="00C4190C" w:rsidRDefault="00C4190C" w:rsidP="00AC42DF">
      <w:pPr>
        <w:spacing w:before="95"/>
        <w:ind w:left="114" w:right="240"/>
        <w:jc w:val="both"/>
        <w:rPr>
          <w:rFonts w:ascii="Arial"/>
          <w:b/>
          <w:sz w:val="14"/>
        </w:rPr>
      </w:pPr>
    </w:p>
    <w:p w14:paraId="43A73B5C" w14:textId="520F2868" w:rsidR="00B82049" w:rsidRDefault="00B82049" w:rsidP="00AC42DF">
      <w:pPr>
        <w:spacing w:before="95"/>
        <w:ind w:left="114" w:right="240"/>
        <w:jc w:val="both"/>
        <w:rPr>
          <w:rFonts w:ascii="Arial"/>
          <w:b/>
          <w:sz w:val="14"/>
        </w:rPr>
      </w:pPr>
    </w:p>
    <w:p w14:paraId="2A8E0837" w14:textId="3D049458" w:rsidR="00B82049" w:rsidRDefault="00B82049" w:rsidP="00AC42DF">
      <w:pPr>
        <w:spacing w:before="95"/>
        <w:ind w:left="114" w:right="240"/>
        <w:jc w:val="both"/>
        <w:rPr>
          <w:rFonts w:ascii="Arial"/>
          <w:b/>
          <w:sz w:val="14"/>
        </w:rPr>
      </w:pPr>
    </w:p>
    <w:p w14:paraId="73BBBA2C" w14:textId="46670827" w:rsidR="00B82049" w:rsidRDefault="00B82049" w:rsidP="00AC42DF">
      <w:pPr>
        <w:spacing w:before="95"/>
        <w:ind w:left="114" w:right="240"/>
        <w:jc w:val="both"/>
        <w:rPr>
          <w:rFonts w:ascii="Arial"/>
          <w:b/>
          <w:sz w:val="14"/>
        </w:rPr>
      </w:pPr>
    </w:p>
    <w:p w14:paraId="79B0A8FD" w14:textId="7CCCE68C" w:rsidR="00B82049" w:rsidRDefault="00B82049" w:rsidP="00AC42DF">
      <w:pPr>
        <w:spacing w:before="95"/>
        <w:ind w:left="114" w:right="240"/>
        <w:jc w:val="both"/>
        <w:rPr>
          <w:rFonts w:ascii="Arial"/>
          <w:b/>
          <w:sz w:val="14"/>
        </w:rPr>
      </w:pPr>
    </w:p>
    <w:p w14:paraId="5BB58012" w14:textId="50E68253" w:rsidR="00B82049" w:rsidRDefault="00B82049" w:rsidP="00AC42DF">
      <w:pPr>
        <w:spacing w:before="95"/>
        <w:ind w:left="114" w:right="240"/>
        <w:jc w:val="both"/>
        <w:rPr>
          <w:rFonts w:ascii="Arial"/>
          <w:b/>
          <w:sz w:val="14"/>
        </w:rPr>
      </w:pPr>
    </w:p>
    <w:p w14:paraId="3622948D" w14:textId="092D515A" w:rsidR="00B82049" w:rsidRDefault="00B82049" w:rsidP="00AC42DF">
      <w:pPr>
        <w:spacing w:before="95"/>
        <w:ind w:left="114" w:right="240"/>
        <w:jc w:val="both"/>
        <w:rPr>
          <w:rFonts w:ascii="Arial"/>
          <w:b/>
          <w:sz w:val="14"/>
        </w:rPr>
      </w:pPr>
    </w:p>
    <w:p w14:paraId="2A969814" w14:textId="193C6AFF" w:rsidR="00B82049" w:rsidRDefault="00B82049" w:rsidP="00AC42DF">
      <w:pPr>
        <w:spacing w:before="95"/>
        <w:ind w:left="114" w:right="240"/>
        <w:jc w:val="both"/>
        <w:rPr>
          <w:rFonts w:ascii="Arial"/>
          <w:b/>
          <w:sz w:val="14"/>
        </w:rPr>
      </w:pPr>
    </w:p>
    <w:p w14:paraId="3DE1673E" w14:textId="37FDDE31" w:rsidR="00B82049" w:rsidRDefault="00B82049" w:rsidP="00AC42DF">
      <w:pPr>
        <w:spacing w:before="95"/>
        <w:ind w:left="114" w:right="240"/>
        <w:jc w:val="both"/>
        <w:rPr>
          <w:rFonts w:ascii="Arial"/>
          <w:b/>
          <w:sz w:val="14"/>
        </w:rPr>
      </w:pPr>
    </w:p>
    <w:p w14:paraId="2141CEBA" w14:textId="6C28C1BF" w:rsidR="00B82049" w:rsidRDefault="00B82049" w:rsidP="00AC42DF">
      <w:pPr>
        <w:spacing w:before="95"/>
        <w:ind w:left="114" w:right="240"/>
        <w:jc w:val="both"/>
        <w:rPr>
          <w:rFonts w:ascii="Arial"/>
          <w:b/>
          <w:sz w:val="14"/>
        </w:rPr>
      </w:pPr>
    </w:p>
    <w:p w14:paraId="729DA549" w14:textId="649B38D6" w:rsidR="00B82049" w:rsidRDefault="00B82049" w:rsidP="00AC42DF">
      <w:pPr>
        <w:spacing w:before="95"/>
        <w:ind w:left="114" w:right="240"/>
        <w:jc w:val="both"/>
        <w:rPr>
          <w:rFonts w:ascii="Arial"/>
          <w:b/>
          <w:sz w:val="14"/>
        </w:rPr>
      </w:pPr>
    </w:p>
    <w:p w14:paraId="31E05E1B" w14:textId="1D4A76D4" w:rsidR="00B82049" w:rsidRDefault="00B82049" w:rsidP="00AC42DF">
      <w:pPr>
        <w:spacing w:before="95"/>
        <w:ind w:left="114" w:right="240"/>
        <w:jc w:val="both"/>
        <w:rPr>
          <w:rFonts w:ascii="Arial"/>
          <w:b/>
          <w:sz w:val="14"/>
        </w:rPr>
      </w:pPr>
    </w:p>
    <w:p w14:paraId="4CBD6879" w14:textId="1BAC4934" w:rsidR="00B82049" w:rsidRDefault="00B82049" w:rsidP="00AC42DF">
      <w:pPr>
        <w:spacing w:before="95"/>
        <w:ind w:left="114" w:right="240"/>
        <w:jc w:val="both"/>
        <w:rPr>
          <w:rFonts w:ascii="Arial"/>
          <w:b/>
          <w:sz w:val="14"/>
        </w:rPr>
      </w:pPr>
    </w:p>
    <w:p w14:paraId="3B80FF9F" w14:textId="363009B5" w:rsidR="00B82049" w:rsidRDefault="00B82049" w:rsidP="00AC42DF">
      <w:pPr>
        <w:spacing w:before="95"/>
        <w:ind w:left="114" w:right="240"/>
        <w:jc w:val="both"/>
        <w:rPr>
          <w:rFonts w:ascii="Arial"/>
          <w:b/>
          <w:sz w:val="14"/>
        </w:rPr>
      </w:pPr>
    </w:p>
    <w:p w14:paraId="6BF134B3" w14:textId="4AD8B418" w:rsidR="00B82049" w:rsidRDefault="00B82049" w:rsidP="00AC42DF">
      <w:pPr>
        <w:spacing w:before="95"/>
        <w:ind w:left="114" w:right="240"/>
        <w:jc w:val="both"/>
        <w:rPr>
          <w:rFonts w:ascii="Arial"/>
          <w:b/>
          <w:sz w:val="14"/>
        </w:rPr>
      </w:pPr>
    </w:p>
    <w:p w14:paraId="7681CB64" w14:textId="5F63444B" w:rsidR="00B82049" w:rsidRDefault="00B82049" w:rsidP="00AC42DF">
      <w:pPr>
        <w:spacing w:before="95"/>
        <w:ind w:left="114" w:right="240"/>
        <w:jc w:val="both"/>
        <w:rPr>
          <w:rFonts w:ascii="Arial"/>
          <w:b/>
          <w:sz w:val="14"/>
        </w:rPr>
      </w:pPr>
    </w:p>
    <w:p w14:paraId="7E3FE6A8" w14:textId="3E62583D" w:rsidR="00B82049" w:rsidRDefault="00B82049" w:rsidP="00AC42DF">
      <w:pPr>
        <w:spacing w:before="95"/>
        <w:ind w:left="114" w:right="240"/>
        <w:jc w:val="both"/>
        <w:rPr>
          <w:rFonts w:ascii="Arial"/>
          <w:b/>
          <w:sz w:val="14"/>
        </w:rPr>
      </w:pPr>
    </w:p>
    <w:p w14:paraId="5DDFF52C" w14:textId="77777777" w:rsidR="00B82049" w:rsidRDefault="00B82049" w:rsidP="00AC42DF">
      <w:pPr>
        <w:spacing w:before="95"/>
        <w:ind w:left="114" w:right="240"/>
        <w:jc w:val="both"/>
        <w:rPr>
          <w:rFonts w:ascii="Arial"/>
          <w:b/>
          <w:sz w:val="14"/>
        </w:rPr>
      </w:pPr>
    </w:p>
    <w:p w14:paraId="7B610D37" w14:textId="5D365BEA" w:rsidR="000011BA" w:rsidRDefault="000011BA" w:rsidP="00AC42DF">
      <w:pPr>
        <w:spacing w:before="95"/>
        <w:ind w:left="114" w:right="240"/>
        <w:jc w:val="both"/>
        <w:rPr>
          <w:rFonts w:ascii="Arial"/>
          <w:b/>
          <w:sz w:val="14"/>
        </w:rPr>
      </w:pPr>
    </w:p>
    <w:p w14:paraId="09711AF8" w14:textId="3B6A70F4" w:rsidR="000011BA" w:rsidRDefault="000011BA" w:rsidP="00AC42DF">
      <w:pPr>
        <w:spacing w:before="95"/>
        <w:ind w:left="114" w:right="240"/>
        <w:jc w:val="both"/>
        <w:rPr>
          <w:rFonts w:ascii="Arial"/>
          <w:b/>
          <w:sz w:val="14"/>
        </w:rPr>
      </w:pPr>
    </w:p>
    <w:p w14:paraId="7D7C238B" w14:textId="77777777" w:rsidR="000011BA" w:rsidRDefault="000011BA" w:rsidP="00AC42DF">
      <w:pPr>
        <w:spacing w:before="95"/>
        <w:ind w:left="114" w:right="240"/>
        <w:jc w:val="both"/>
        <w:rPr>
          <w:rFonts w:ascii="Arial"/>
          <w:b/>
          <w:sz w:val="14"/>
        </w:rPr>
      </w:pPr>
    </w:p>
    <w:p w14:paraId="5405A5EA" w14:textId="1F16BF8E" w:rsidR="001E10F4" w:rsidRDefault="001E10F4" w:rsidP="00AC42DF">
      <w:pPr>
        <w:spacing w:before="95"/>
        <w:ind w:left="114" w:right="240"/>
        <w:jc w:val="both"/>
        <w:rPr>
          <w:rFonts w:ascii="Arial"/>
          <w:b/>
          <w:sz w:val="14"/>
        </w:rPr>
      </w:pPr>
      <w:r>
        <w:rPr>
          <w:rFonts w:ascii="Arial"/>
          <w:b/>
          <w:sz w:val="14"/>
        </w:rPr>
        <w:t xml:space="preserve">This research was performed in cooperation with the National Cooperative Highway Research Program (NCHRP).  The contents of this report reflect the views of the authors, who are responsible for the facts and accuracy of the data presented here. The contents do not necessarily reflect the official view or policies of the NCHRP. This report does not constitute a standard, specification, or regulation, nor is it intended for construction, bidding, or permit purposes. This </w:t>
      </w:r>
      <w:r w:rsidR="009D60C2">
        <w:rPr>
          <w:rFonts w:ascii="Arial"/>
          <w:b/>
          <w:sz w:val="14"/>
        </w:rPr>
        <w:t>guidelines</w:t>
      </w:r>
      <w:r>
        <w:rPr>
          <w:rFonts w:ascii="Arial"/>
          <w:b/>
          <w:sz w:val="14"/>
        </w:rPr>
        <w:t xml:space="preserve"> document is furnished only for review by members of the NCHRP project panel and is regarded as fully privileged. Dissemination of information included herein must be approved by the</w:t>
      </w:r>
      <w:r>
        <w:rPr>
          <w:rFonts w:ascii="Arial"/>
          <w:b/>
          <w:spacing w:val="-10"/>
          <w:sz w:val="14"/>
        </w:rPr>
        <w:t xml:space="preserve"> </w:t>
      </w:r>
      <w:r>
        <w:rPr>
          <w:rFonts w:ascii="Arial"/>
          <w:b/>
          <w:sz w:val="14"/>
        </w:rPr>
        <w:t>NCHRP.</w:t>
      </w:r>
    </w:p>
    <w:sectPr w:rsidR="001E10F4" w:rsidSect="00030DC4">
      <w:pgSz w:w="12240" w:h="15840"/>
      <w:pgMar w:top="760" w:right="620" w:bottom="90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701B1"/>
    <w:multiLevelType w:val="hybridMultilevel"/>
    <w:tmpl w:val="472E3260"/>
    <w:lvl w:ilvl="0" w:tplc="988A5848">
      <w:numFmt w:val="bullet"/>
      <w:lvlText w:val="•"/>
      <w:lvlJc w:val="left"/>
      <w:pPr>
        <w:ind w:left="495" w:hanging="360"/>
      </w:pPr>
      <w:rPr>
        <w:rFonts w:ascii="Cambria" w:eastAsia="Cambria" w:hAnsi="Cambria" w:cs="Cambria" w:hint="default"/>
        <w:w w:val="100"/>
        <w:sz w:val="24"/>
        <w:szCs w:val="24"/>
      </w:rPr>
    </w:lvl>
    <w:lvl w:ilvl="1" w:tplc="B73AB1C4">
      <w:numFmt w:val="bullet"/>
      <w:lvlText w:val="•"/>
      <w:lvlJc w:val="left"/>
      <w:pPr>
        <w:ind w:left="961" w:hanging="360"/>
      </w:pPr>
      <w:rPr>
        <w:rFonts w:hint="default"/>
      </w:rPr>
    </w:lvl>
    <w:lvl w:ilvl="2" w:tplc="4D1CAF82">
      <w:numFmt w:val="bullet"/>
      <w:lvlText w:val="•"/>
      <w:lvlJc w:val="left"/>
      <w:pPr>
        <w:ind w:left="1423" w:hanging="360"/>
      </w:pPr>
      <w:rPr>
        <w:rFonts w:hint="default"/>
      </w:rPr>
    </w:lvl>
    <w:lvl w:ilvl="3" w:tplc="C296A996">
      <w:numFmt w:val="bullet"/>
      <w:lvlText w:val="•"/>
      <w:lvlJc w:val="left"/>
      <w:pPr>
        <w:ind w:left="1885" w:hanging="360"/>
      </w:pPr>
      <w:rPr>
        <w:rFonts w:hint="default"/>
      </w:rPr>
    </w:lvl>
    <w:lvl w:ilvl="4" w:tplc="8E1892B6">
      <w:numFmt w:val="bullet"/>
      <w:lvlText w:val="•"/>
      <w:lvlJc w:val="left"/>
      <w:pPr>
        <w:ind w:left="2347" w:hanging="360"/>
      </w:pPr>
      <w:rPr>
        <w:rFonts w:hint="default"/>
      </w:rPr>
    </w:lvl>
    <w:lvl w:ilvl="5" w:tplc="E28E0DC4">
      <w:numFmt w:val="bullet"/>
      <w:lvlText w:val="•"/>
      <w:lvlJc w:val="left"/>
      <w:pPr>
        <w:ind w:left="2809" w:hanging="360"/>
      </w:pPr>
      <w:rPr>
        <w:rFonts w:hint="default"/>
      </w:rPr>
    </w:lvl>
    <w:lvl w:ilvl="6" w:tplc="77F46054">
      <w:numFmt w:val="bullet"/>
      <w:lvlText w:val="•"/>
      <w:lvlJc w:val="left"/>
      <w:pPr>
        <w:ind w:left="3270" w:hanging="360"/>
      </w:pPr>
      <w:rPr>
        <w:rFonts w:hint="default"/>
      </w:rPr>
    </w:lvl>
    <w:lvl w:ilvl="7" w:tplc="F5CC4CE0">
      <w:numFmt w:val="bullet"/>
      <w:lvlText w:val="•"/>
      <w:lvlJc w:val="left"/>
      <w:pPr>
        <w:ind w:left="3732" w:hanging="360"/>
      </w:pPr>
      <w:rPr>
        <w:rFonts w:hint="default"/>
      </w:rPr>
    </w:lvl>
    <w:lvl w:ilvl="8" w:tplc="9D3A4F50">
      <w:numFmt w:val="bullet"/>
      <w:lvlText w:val="•"/>
      <w:lvlJc w:val="left"/>
      <w:pPr>
        <w:ind w:left="4194" w:hanging="360"/>
      </w:pPr>
      <w:rPr>
        <w:rFonts w:hint="default"/>
      </w:rPr>
    </w:lvl>
  </w:abstractNum>
  <w:abstractNum w:abstractNumId="1" w15:restartNumberingAfterBreak="0">
    <w:nsid w:val="0F0B572D"/>
    <w:multiLevelType w:val="hybridMultilevel"/>
    <w:tmpl w:val="4122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4403BF"/>
    <w:multiLevelType w:val="hybridMultilevel"/>
    <w:tmpl w:val="49F0E42E"/>
    <w:lvl w:ilvl="0" w:tplc="988A5848">
      <w:numFmt w:val="bullet"/>
      <w:lvlText w:val="•"/>
      <w:lvlJc w:val="left"/>
      <w:pPr>
        <w:ind w:left="713" w:hanging="555"/>
      </w:pPr>
      <w:rPr>
        <w:rFonts w:ascii="Cambria" w:eastAsia="Cambria" w:hAnsi="Cambria" w:cs="Cambria" w:hint="default"/>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3" w15:restartNumberingAfterBreak="0">
    <w:nsid w:val="5C7F2EC1"/>
    <w:multiLevelType w:val="hybridMultilevel"/>
    <w:tmpl w:val="0AA24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402017"/>
    <w:multiLevelType w:val="hybridMultilevel"/>
    <w:tmpl w:val="97C864A6"/>
    <w:lvl w:ilvl="0" w:tplc="988A5848">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675C3"/>
    <w:multiLevelType w:val="hybridMultilevel"/>
    <w:tmpl w:val="0B92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AE29E5"/>
    <w:multiLevelType w:val="hybridMultilevel"/>
    <w:tmpl w:val="057EF8D2"/>
    <w:lvl w:ilvl="0" w:tplc="23A277C2">
      <w:numFmt w:val="bullet"/>
      <w:lvlText w:val=""/>
      <w:lvlJc w:val="left"/>
      <w:pPr>
        <w:ind w:left="495" w:hanging="360"/>
      </w:pPr>
      <w:rPr>
        <w:rFonts w:ascii="Symbol" w:eastAsia="Symbol" w:hAnsi="Symbol" w:cs="Symbol" w:hint="default"/>
        <w:w w:val="100"/>
        <w:sz w:val="24"/>
        <w:szCs w:val="24"/>
      </w:rPr>
    </w:lvl>
    <w:lvl w:ilvl="1" w:tplc="B73AB1C4">
      <w:numFmt w:val="bullet"/>
      <w:lvlText w:val="•"/>
      <w:lvlJc w:val="left"/>
      <w:pPr>
        <w:ind w:left="961" w:hanging="360"/>
      </w:pPr>
      <w:rPr>
        <w:rFonts w:hint="default"/>
      </w:rPr>
    </w:lvl>
    <w:lvl w:ilvl="2" w:tplc="4D1CAF82">
      <w:numFmt w:val="bullet"/>
      <w:lvlText w:val="•"/>
      <w:lvlJc w:val="left"/>
      <w:pPr>
        <w:ind w:left="1423" w:hanging="360"/>
      </w:pPr>
      <w:rPr>
        <w:rFonts w:hint="default"/>
      </w:rPr>
    </w:lvl>
    <w:lvl w:ilvl="3" w:tplc="C296A996">
      <w:numFmt w:val="bullet"/>
      <w:lvlText w:val="•"/>
      <w:lvlJc w:val="left"/>
      <w:pPr>
        <w:ind w:left="1885" w:hanging="360"/>
      </w:pPr>
      <w:rPr>
        <w:rFonts w:hint="default"/>
      </w:rPr>
    </w:lvl>
    <w:lvl w:ilvl="4" w:tplc="8E1892B6">
      <w:numFmt w:val="bullet"/>
      <w:lvlText w:val="•"/>
      <w:lvlJc w:val="left"/>
      <w:pPr>
        <w:ind w:left="2347" w:hanging="360"/>
      </w:pPr>
      <w:rPr>
        <w:rFonts w:hint="default"/>
      </w:rPr>
    </w:lvl>
    <w:lvl w:ilvl="5" w:tplc="E28E0DC4">
      <w:numFmt w:val="bullet"/>
      <w:lvlText w:val="•"/>
      <w:lvlJc w:val="left"/>
      <w:pPr>
        <w:ind w:left="2809" w:hanging="360"/>
      </w:pPr>
      <w:rPr>
        <w:rFonts w:hint="default"/>
      </w:rPr>
    </w:lvl>
    <w:lvl w:ilvl="6" w:tplc="77F46054">
      <w:numFmt w:val="bullet"/>
      <w:lvlText w:val="•"/>
      <w:lvlJc w:val="left"/>
      <w:pPr>
        <w:ind w:left="3270" w:hanging="360"/>
      </w:pPr>
      <w:rPr>
        <w:rFonts w:hint="default"/>
      </w:rPr>
    </w:lvl>
    <w:lvl w:ilvl="7" w:tplc="F5CC4CE0">
      <w:numFmt w:val="bullet"/>
      <w:lvlText w:val="•"/>
      <w:lvlJc w:val="left"/>
      <w:pPr>
        <w:ind w:left="3732" w:hanging="360"/>
      </w:pPr>
      <w:rPr>
        <w:rFonts w:hint="default"/>
      </w:rPr>
    </w:lvl>
    <w:lvl w:ilvl="8" w:tplc="9D3A4F50">
      <w:numFmt w:val="bullet"/>
      <w:lvlText w:val="•"/>
      <w:lvlJc w:val="left"/>
      <w:pPr>
        <w:ind w:left="4194" w:hanging="360"/>
      </w:pPr>
      <w:rPr>
        <w:rFonts w:hint="default"/>
      </w:rPr>
    </w:lvl>
  </w:abstractNum>
  <w:abstractNum w:abstractNumId="7" w15:restartNumberingAfterBreak="0">
    <w:nsid w:val="756B5C60"/>
    <w:multiLevelType w:val="hybridMultilevel"/>
    <w:tmpl w:val="5498C376"/>
    <w:lvl w:ilvl="0" w:tplc="04090001">
      <w:start w:val="1"/>
      <w:numFmt w:val="bullet"/>
      <w:lvlText w:val=""/>
      <w:lvlJc w:val="left"/>
      <w:pPr>
        <w:ind w:left="878" w:hanging="360"/>
      </w:pPr>
      <w:rPr>
        <w:rFonts w:ascii="Symbol" w:hAnsi="Symbol" w:hint="default"/>
      </w:rPr>
    </w:lvl>
    <w:lvl w:ilvl="1" w:tplc="04090003">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8" w15:restartNumberingAfterBreak="0">
    <w:nsid w:val="76597CBC"/>
    <w:multiLevelType w:val="hybridMultilevel"/>
    <w:tmpl w:val="0E8C6B1E"/>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16cid:durableId="1159805322">
    <w:abstractNumId w:val="6"/>
  </w:num>
  <w:num w:numId="2" w16cid:durableId="1795906631">
    <w:abstractNumId w:val="8"/>
  </w:num>
  <w:num w:numId="3" w16cid:durableId="892273938">
    <w:abstractNumId w:val="2"/>
  </w:num>
  <w:num w:numId="4" w16cid:durableId="1235512330">
    <w:abstractNumId w:val="0"/>
  </w:num>
  <w:num w:numId="5" w16cid:durableId="1828277404">
    <w:abstractNumId w:val="7"/>
  </w:num>
  <w:num w:numId="6" w16cid:durableId="1972859724">
    <w:abstractNumId w:val="5"/>
  </w:num>
  <w:num w:numId="7" w16cid:durableId="55976790">
    <w:abstractNumId w:val="4"/>
  </w:num>
  <w:num w:numId="8" w16cid:durableId="1144080465">
    <w:abstractNumId w:val="1"/>
  </w:num>
  <w:num w:numId="9" w16cid:durableId="9275461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2F"/>
    <w:rsid w:val="000011BA"/>
    <w:rsid w:val="00030DC4"/>
    <w:rsid w:val="000A44E3"/>
    <w:rsid w:val="000B2DE5"/>
    <w:rsid w:val="00165E42"/>
    <w:rsid w:val="001E10F4"/>
    <w:rsid w:val="00220E5C"/>
    <w:rsid w:val="002F35A6"/>
    <w:rsid w:val="00305D2F"/>
    <w:rsid w:val="003358EE"/>
    <w:rsid w:val="003D3062"/>
    <w:rsid w:val="00450789"/>
    <w:rsid w:val="0047761A"/>
    <w:rsid w:val="004E01D7"/>
    <w:rsid w:val="00500D3C"/>
    <w:rsid w:val="005F43E9"/>
    <w:rsid w:val="00613249"/>
    <w:rsid w:val="0062109C"/>
    <w:rsid w:val="007A5C34"/>
    <w:rsid w:val="0080203F"/>
    <w:rsid w:val="008547B4"/>
    <w:rsid w:val="00966A54"/>
    <w:rsid w:val="009C5957"/>
    <w:rsid w:val="009D60C2"/>
    <w:rsid w:val="00AC42DF"/>
    <w:rsid w:val="00AE6011"/>
    <w:rsid w:val="00B82049"/>
    <w:rsid w:val="00BE4233"/>
    <w:rsid w:val="00C4190C"/>
    <w:rsid w:val="00CD18DE"/>
    <w:rsid w:val="00CD6CFA"/>
    <w:rsid w:val="00D32E45"/>
    <w:rsid w:val="00DB00CB"/>
    <w:rsid w:val="00DB1ABB"/>
    <w:rsid w:val="00DE240C"/>
    <w:rsid w:val="00E32E83"/>
    <w:rsid w:val="00E92C5C"/>
    <w:rsid w:val="00E97CC1"/>
    <w:rsid w:val="00EB2547"/>
    <w:rsid w:val="00EF4AF6"/>
    <w:rsid w:val="00F005FC"/>
    <w:rsid w:val="00FC0E54"/>
    <w:rsid w:val="00FD4F62"/>
    <w:rsid w:val="00FF7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64202"/>
  <w15:docId w15:val="{CAC77786-3A9D-4F6F-8278-9660650E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1628" w:right="1591"/>
      <w:jc w:val="center"/>
      <w:outlineLvl w:val="0"/>
    </w:pPr>
    <w:rPr>
      <w:rFonts w:ascii="Times New Roman" w:eastAsia="Times New Roman" w:hAnsi="Times New Roman" w:cs="Times New Roman"/>
      <w:sz w:val="40"/>
      <w:szCs w:val="40"/>
    </w:rPr>
  </w:style>
  <w:style w:type="paragraph" w:styleId="Heading2">
    <w:name w:val="heading 2"/>
    <w:basedOn w:val="Normal"/>
    <w:uiPriority w:val="1"/>
    <w:qFormat/>
    <w:pPr>
      <w:ind w:left="1629" w:right="1589"/>
      <w:jc w:val="center"/>
      <w:outlineLvl w:val="1"/>
    </w:pPr>
    <w:rPr>
      <w:rFonts w:ascii="Times New Roman" w:eastAsia="Times New Roman" w:hAnsi="Times New Roman" w:cs="Times New Roman"/>
      <w:b/>
      <w:bCs/>
      <w:sz w:val="32"/>
      <w:szCs w:val="32"/>
    </w:rPr>
  </w:style>
  <w:style w:type="paragraph" w:styleId="Heading3">
    <w:name w:val="heading 3"/>
    <w:basedOn w:val="Normal"/>
    <w:uiPriority w:val="1"/>
    <w:qFormat/>
    <w:pPr>
      <w:ind w:left="135"/>
      <w:outlineLvl w:val="2"/>
    </w:pPr>
    <w:rPr>
      <w:rFonts w:ascii="Arial" w:eastAsia="Arial" w:hAnsi="Arial" w:cs="Arial"/>
      <w:b/>
      <w:bCs/>
      <w:sz w:val="24"/>
      <w:szCs w:val="24"/>
    </w:rPr>
  </w:style>
  <w:style w:type="paragraph" w:styleId="Heading4">
    <w:name w:val="heading 4"/>
    <w:basedOn w:val="Normal"/>
    <w:next w:val="Normal"/>
    <w:link w:val="Heading4Char"/>
    <w:uiPriority w:val="9"/>
    <w:unhideWhenUsed/>
    <w:qFormat/>
    <w:rsid w:val="00DE240C"/>
    <w:pPr>
      <w:keepNext/>
      <w:keepLines/>
      <w:spacing w:before="240"/>
      <w:ind w:left="13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56"/>
      <w:ind w:left="495" w:right="38"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3358EE"/>
    <w:rPr>
      <w:rFonts w:ascii="Cambria" w:eastAsia="Cambria" w:hAnsi="Cambria" w:cs="Cambria"/>
      <w:sz w:val="24"/>
      <w:szCs w:val="24"/>
    </w:rPr>
  </w:style>
  <w:style w:type="paragraph" w:customStyle="1" w:styleId="Caption-alt">
    <w:name w:val="Caption-alt"/>
    <w:basedOn w:val="TableParagraph"/>
    <w:link w:val="Caption-altChar"/>
    <w:uiPriority w:val="1"/>
    <w:qFormat/>
    <w:rsid w:val="00F005FC"/>
    <w:pPr>
      <w:ind w:left="158" w:right="29"/>
      <w:jc w:val="center"/>
    </w:pPr>
    <w:rPr>
      <w:b/>
    </w:rPr>
  </w:style>
  <w:style w:type="character" w:customStyle="1" w:styleId="Heading4Char">
    <w:name w:val="Heading 4 Char"/>
    <w:basedOn w:val="DefaultParagraphFont"/>
    <w:link w:val="Heading4"/>
    <w:uiPriority w:val="9"/>
    <w:rsid w:val="00DE240C"/>
    <w:rPr>
      <w:rFonts w:asciiTheme="majorHAnsi" w:eastAsiaTheme="majorEastAsia" w:hAnsiTheme="majorHAnsi" w:cstheme="majorBidi"/>
      <w:i/>
      <w:iCs/>
    </w:rPr>
  </w:style>
  <w:style w:type="character" w:customStyle="1" w:styleId="Caption-altChar">
    <w:name w:val="Caption-alt Char"/>
    <w:basedOn w:val="BodyTextChar"/>
    <w:link w:val="Caption-alt"/>
    <w:uiPriority w:val="1"/>
    <w:rsid w:val="00F005FC"/>
    <w:rPr>
      <w:rFonts w:ascii="Cambria" w:eastAsia="Cambria" w:hAnsi="Cambria" w:cs="Cambria"/>
      <w:b/>
      <w:sz w:val="24"/>
      <w:szCs w:val="24"/>
    </w:rPr>
  </w:style>
  <w:style w:type="character" w:styleId="CommentReference">
    <w:name w:val="annotation reference"/>
    <w:basedOn w:val="DefaultParagraphFont"/>
    <w:uiPriority w:val="99"/>
    <w:semiHidden/>
    <w:unhideWhenUsed/>
    <w:rsid w:val="00C4190C"/>
    <w:rPr>
      <w:sz w:val="16"/>
      <w:szCs w:val="16"/>
    </w:rPr>
  </w:style>
  <w:style w:type="paragraph" w:styleId="CommentText">
    <w:name w:val="annotation text"/>
    <w:basedOn w:val="Normal"/>
    <w:link w:val="CommentTextChar"/>
    <w:uiPriority w:val="99"/>
    <w:unhideWhenUsed/>
    <w:rsid w:val="00C4190C"/>
    <w:rPr>
      <w:sz w:val="20"/>
      <w:szCs w:val="20"/>
    </w:rPr>
  </w:style>
  <w:style w:type="character" w:customStyle="1" w:styleId="CommentTextChar">
    <w:name w:val="Comment Text Char"/>
    <w:basedOn w:val="DefaultParagraphFont"/>
    <w:link w:val="CommentText"/>
    <w:uiPriority w:val="99"/>
    <w:rsid w:val="00C4190C"/>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C4190C"/>
    <w:rPr>
      <w:b/>
      <w:bCs/>
    </w:rPr>
  </w:style>
  <w:style w:type="character" w:customStyle="1" w:styleId="CommentSubjectChar">
    <w:name w:val="Comment Subject Char"/>
    <w:basedOn w:val="CommentTextChar"/>
    <w:link w:val="CommentSubject"/>
    <w:uiPriority w:val="99"/>
    <w:semiHidden/>
    <w:rsid w:val="00C4190C"/>
    <w:rPr>
      <w:rFonts w:ascii="Cambria" w:eastAsia="Cambria" w:hAnsi="Cambria" w:cs="Cambria"/>
      <w:b/>
      <w:bCs/>
      <w:sz w:val="20"/>
      <w:szCs w:val="20"/>
    </w:rPr>
  </w:style>
  <w:style w:type="paragraph" w:styleId="BalloonText">
    <w:name w:val="Balloon Text"/>
    <w:basedOn w:val="Normal"/>
    <w:link w:val="BalloonTextChar"/>
    <w:uiPriority w:val="99"/>
    <w:semiHidden/>
    <w:unhideWhenUsed/>
    <w:rsid w:val="00C41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90C"/>
    <w:rPr>
      <w:rFonts w:ascii="Segoe UI" w:eastAsia="Cambria" w:hAnsi="Segoe UI" w:cs="Segoe UI"/>
      <w:sz w:val="18"/>
      <w:szCs w:val="18"/>
    </w:rPr>
  </w:style>
  <w:style w:type="paragraph" w:styleId="Revision">
    <w:name w:val="Revision"/>
    <w:hidden/>
    <w:uiPriority w:val="99"/>
    <w:semiHidden/>
    <w:rsid w:val="00E32E83"/>
    <w:pPr>
      <w:widowControl/>
      <w:autoSpaceDE/>
      <w:autoSpaceDN/>
    </w:pPr>
    <w:rPr>
      <w:rFonts w:ascii="Cambria" w:eastAsia="Cambria" w:hAnsi="Cambria" w:cs="Cambria"/>
    </w:rPr>
  </w:style>
  <w:style w:type="character" w:styleId="Hyperlink">
    <w:name w:val="Hyperlink"/>
    <w:basedOn w:val="DefaultParagraphFont"/>
    <w:uiPriority w:val="99"/>
    <w:unhideWhenUsed/>
    <w:rsid w:val="00DB00CB"/>
    <w:rPr>
      <w:color w:val="0000FF" w:themeColor="hyperlink"/>
      <w:u w:val="single"/>
    </w:rPr>
  </w:style>
  <w:style w:type="character" w:styleId="FollowedHyperlink">
    <w:name w:val="FollowedHyperlink"/>
    <w:basedOn w:val="DefaultParagraphFont"/>
    <w:uiPriority w:val="99"/>
    <w:semiHidden/>
    <w:unhideWhenUsed/>
    <w:rsid w:val="00DB00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epg.modot.org/files/0/0a/616.8.10d_DECM_2016.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dot.state.mn.us/trafficeng/publ/fieldmanual/fieldmanual.pdf" TargetMode="External"/><Relationship Id="rId2" Type="http://schemas.openxmlformats.org/officeDocument/2006/relationships/customXml" Target="../customXml/item2.xml"/><Relationship Id="rId16" Type="http://schemas.openxmlformats.org/officeDocument/2006/relationships/hyperlink" Target="https://idot.illinois.gov/Assets/uploads/files/Doing-Business/Manuals-Guides-&amp;-Handbooks/Highways/Safety-Engineering/Traffic%20Control%20Field%20Manual%20for%20IDOT%20Employees%20(April%202016).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iowadot.gov/design/SRP/IndividualStandards/tc231.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65E3D7727615479BF7755699F578B4" ma:contentTypeVersion="14" ma:contentTypeDescription="Create a new document." ma:contentTypeScope="" ma:versionID="84259742267ae77b945242d63fe90463">
  <xsd:schema xmlns:xsd="http://www.w3.org/2001/XMLSchema" xmlns:xs="http://www.w3.org/2001/XMLSchema" xmlns:p="http://schemas.microsoft.com/office/2006/metadata/properties" xmlns:ns3="406dcfda-f8b7-46e1-af48-4f5c8b9c4725" xmlns:ns4="2994546f-c489-4520-b277-bf19da63acd8" targetNamespace="http://schemas.microsoft.com/office/2006/metadata/properties" ma:root="true" ma:fieldsID="d9d586d6848f1d8cb409dd59e7b2fe9c" ns3:_="" ns4:_="">
    <xsd:import namespace="406dcfda-f8b7-46e1-af48-4f5c8b9c4725"/>
    <xsd:import namespace="2994546f-c489-4520-b277-bf19da63acd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dcfda-f8b7-46e1-af48-4f5c8b9c4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94546f-c489-4520-b277-bf19da63ac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5912E-6BA6-4466-946E-34DC11EC4A66}">
  <ds:schemaRefs>
    <ds:schemaRef ds:uri="http://schemas.microsoft.com/office/2006/documentManagement/types"/>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metadata/properties"/>
    <ds:schemaRef ds:uri="2994546f-c489-4520-b277-bf19da63acd8"/>
    <ds:schemaRef ds:uri="406dcfda-f8b7-46e1-af48-4f5c8b9c4725"/>
    <ds:schemaRef ds:uri="http://www.w3.org/XML/1998/namespace"/>
  </ds:schemaRefs>
</ds:datastoreItem>
</file>

<file path=customXml/itemProps2.xml><?xml version="1.0" encoding="utf-8"?>
<ds:datastoreItem xmlns:ds="http://schemas.openxmlformats.org/officeDocument/2006/customXml" ds:itemID="{60CD04C2-976A-4ADF-9B74-E5F9E288D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dcfda-f8b7-46e1-af48-4f5c8b9c4725"/>
    <ds:schemaRef ds:uri="2994546f-c489-4520-b277-bf19da63a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BDAFFF-9F7F-46F8-9E99-50CDFE010B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Microsoft Word - Document2</vt:lpstr>
    </vt:vector>
  </TitlesOfParts>
  <Company>Texas A&amp;M Transportation Institute</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Document2</dc:title>
  <dc:creator>l-theiss</dc:creator>
  <cp:lastModifiedBy>Mackie, Paul</cp:lastModifiedBy>
  <cp:revision>2</cp:revision>
  <dcterms:created xsi:type="dcterms:W3CDTF">2023-02-06T14:15:00Z</dcterms:created>
  <dcterms:modified xsi:type="dcterms:W3CDTF">2023-02-06T14:15:00Z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2022-10-12T00:00:00Z</vt:filetime>
  </property>
  <property fmtid="{D5CDD505-2E9C-101B-9397-08002B2CF9AE}" pid="3" name="Creator">
    <vt:lpwstr>Adobe Acrobat Pro 2017 17.12.30262</vt:lpwstr>
  </property>
  <property fmtid="{D5CDD505-2E9C-101B-9397-08002B2CF9AE}" pid="4" name="LastSaved">
    <vt:filetime>2022-10-17T00:00:00Z</vt:filetime>
  </property>
  <property fmtid="{D5CDD505-2E9C-101B-9397-08002B2CF9AE}" pid="5" name="ContentTypeId">
    <vt:lpwstr>0x010100D565E3D7727615479BF7755699F578B4</vt:lpwstr>
  </property>
</Properties>
</file>